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732A6B" w:rsidRPr="006D01FF" w:rsidRDefault="00732A6B">
      <w:pPr>
        <w:spacing w:line="360" w:lineRule="auto"/>
        <w:rPr>
          <w:rFonts w:ascii="仿宋_GB2312" w:eastAsia="仿宋_GB2312"/>
          <w:sz w:val="24"/>
        </w:rPr>
      </w:pPr>
    </w:p>
    <w:p w:rsidR="00732A6B" w:rsidRPr="006D01FF" w:rsidRDefault="00732A6B">
      <w:pPr>
        <w:spacing w:line="360" w:lineRule="auto"/>
        <w:rPr>
          <w:rFonts w:ascii="仿宋_GB2312" w:eastAsia="仿宋_GB2312"/>
          <w:sz w:val="24"/>
        </w:rPr>
      </w:pPr>
    </w:p>
    <w:p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jc w:val="center"/>
        <w:rPr>
          <w:rFonts w:ascii="宋体"/>
          <w:b/>
          <w:bCs/>
          <w:sz w:val="44"/>
        </w:rPr>
      </w:pPr>
      <w:r w:rsidRPr="006D01FF">
        <w:rPr>
          <w:rFonts w:ascii="宋体" w:hint="eastAsia"/>
          <w:b/>
          <w:bCs/>
          <w:sz w:val="44"/>
        </w:rPr>
        <w:t>交银施罗德</w:t>
      </w:r>
      <w:r w:rsidR="002A0EB7" w:rsidRPr="006D01FF">
        <w:rPr>
          <w:rFonts w:ascii="宋体" w:hint="eastAsia"/>
          <w:b/>
          <w:bCs/>
          <w:sz w:val="44"/>
        </w:rPr>
        <w:t>消费</w:t>
      </w:r>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证券投资基金基金合同</w:t>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564BB9">
      <w:pPr>
        <w:spacing w:line="360" w:lineRule="auto"/>
        <w:jc w:val="center"/>
        <w:rPr>
          <w:rFonts w:ascii="宋体"/>
          <w:b/>
          <w:bCs/>
          <w:sz w:val="30"/>
        </w:rPr>
      </w:pPr>
      <w:r w:rsidRPr="006D01FF">
        <w:rPr>
          <w:rFonts w:ascii="宋体" w:hint="eastAsia"/>
          <w:b/>
          <w:bCs/>
          <w:sz w:val="30"/>
        </w:rPr>
        <w:t>二零一五年</w:t>
      </w:r>
      <w:r>
        <w:rPr>
          <w:rFonts w:ascii="宋体" w:hint="eastAsia"/>
          <w:b/>
          <w:bCs/>
          <w:sz w:val="30"/>
        </w:rPr>
        <w:t>十</w:t>
      </w:r>
      <w:r w:rsidRPr="006D01FF">
        <w:rPr>
          <w:rFonts w:ascii="宋体" w:hint="eastAsia"/>
          <w:b/>
          <w:bCs/>
          <w:sz w:val="30"/>
        </w:rPr>
        <w:t>月</w:t>
      </w:r>
    </w:p>
    <w:p w:rsidR="00D26817" w:rsidRPr="006D01FF" w:rsidRDefault="00D26817">
      <w:pPr>
        <w:spacing w:line="360" w:lineRule="auto"/>
        <w:rPr>
          <w:rFonts w:ascii="仿宋_GB2312" w:eastAsia="仿宋_GB2312"/>
          <w:sz w:val="24"/>
        </w:rPr>
        <w:sectPr w:rsidR="00D26817" w:rsidRPr="006D01FF" w:rsidSect="00436D0C">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cols w:space="720"/>
          <w:titlePg/>
          <w:docGrid w:type="lines" w:linePitch="312"/>
        </w:sectPr>
      </w:pPr>
    </w:p>
    <w:p w:rsidR="00D26817" w:rsidRPr="006D01FF" w:rsidRDefault="00D26817">
      <w:pPr>
        <w:spacing w:line="360" w:lineRule="auto"/>
        <w:rPr>
          <w:rFonts w:ascii="仿宋_GB2312" w:eastAsia="仿宋_GB2312"/>
          <w:sz w:val="24"/>
        </w:rPr>
      </w:pPr>
    </w:p>
    <w:p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rsidR="00D26817" w:rsidRPr="006D01FF" w:rsidRDefault="00D26817">
      <w:pPr>
        <w:spacing w:line="360" w:lineRule="auto"/>
        <w:jc w:val="center"/>
        <w:rPr>
          <w:rFonts w:ascii="仿宋_GB2312" w:eastAsia="仿宋_GB2312"/>
          <w:sz w:val="24"/>
        </w:rPr>
      </w:pPr>
    </w:p>
    <w:p w:rsidR="00FF73E7" w:rsidRPr="006D01FF" w:rsidRDefault="002C227A" w:rsidP="007F7984">
      <w:pPr>
        <w:pStyle w:val="14"/>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2</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8</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8</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9</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10</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18</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24</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32</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34</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34</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35</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43</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44</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49</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51</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52</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53</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57</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60</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61</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61</w:t>
        </w:r>
        <w:r w:rsidRPr="006D01FF">
          <w:rPr>
            <w:rStyle w:val="a4"/>
            <w:noProof/>
            <w:webHidden/>
            <w:color w:val="auto"/>
            <w:u w:val="none"/>
          </w:rPr>
          <w:fldChar w:fldCharType="end"/>
        </w:r>
      </w:hyperlink>
    </w:p>
    <w:p w:rsidR="00FF73E7" w:rsidRPr="006D01FF" w:rsidRDefault="002C227A" w:rsidP="007F7984">
      <w:pPr>
        <w:pStyle w:val="14"/>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62</w:t>
        </w:r>
        <w:r w:rsidRPr="006D01FF">
          <w:rPr>
            <w:rStyle w:val="a4"/>
            <w:noProof/>
            <w:webHidden/>
            <w:color w:val="auto"/>
            <w:u w:val="none"/>
          </w:rPr>
          <w:fldChar w:fldCharType="end"/>
        </w:r>
      </w:hyperlink>
    </w:p>
    <w:p w:rsidR="00D26817" w:rsidRPr="006D01FF" w:rsidRDefault="00D26817" w:rsidP="00BF5147">
      <w:pPr>
        <w:pStyle w:val="14"/>
        <w:tabs>
          <w:tab w:val="right" w:leader="dot" w:pos="8494"/>
        </w:tabs>
        <w:spacing w:line="360" w:lineRule="auto"/>
        <w:rPr>
          <w:rFonts w:ascii="宋体" w:hAnsi="宋体"/>
          <w:noProof/>
          <w:sz w:val="24"/>
        </w:rPr>
      </w:pPr>
    </w:p>
    <w:p w:rsidR="00D26817" w:rsidRPr="006D01FF" w:rsidRDefault="002C227A" w:rsidP="00295FA8">
      <w:pPr>
        <w:spacing w:line="360" w:lineRule="auto"/>
        <w:rPr>
          <w:rFonts w:ascii="仿宋_GB2312" w:eastAsia="仿宋_GB2312"/>
          <w:sz w:val="24"/>
        </w:rPr>
      </w:pPr>
      <w:r w:rsidRPr="006D01FF">
        <w:rPr>
          <w:rFonts w:ascii="宋体" w:hAnsi="宋体"/>
          <w:sz w:val="24"/>
        </w:rPr>
        <w:fldChar w:fldCharType="end"/>
      </w:r>
    </w:p>
    <w:p w:rsidR="00D26817" w:rsidRPr="006D01FF" w:rsidRDefault="00D26817">
      <w:pPr>
        <w:pStyle w:val="1"/>
        <w:rPr>
          <w:sz w:val="24"/>
        </w:rPr>
      </w:pPr>
      <w:bookmarkStart w:id="0" w:name="_Toc90742318"/>
      <w:bookmarkStart w:id="1" w:name="_Toc90742387"/>
      <w:bookmarkStart w:id="2" w:name="_Toc402275697"/>
      <w:bookmarkStart w:id="3" w:name="_Toc402326449"/>
      <w:r w:rsidRPr="006D01FF">
        <w:rPr>
          <w:rFonts w:hint="eastAsia"/>
          <w:sz w:val="24"/>
        </w:rPr>
        <w:lastRenderedPageBreak/>
        <w:t>一、前言</w:t>
      </w:r>
      <w:bookmarkEnd w:id="0"/>
      <w:bookmarkEnd w:id="1"/>
      <w:bookmarkEnd w:id="2"/>
      <w:bookmarkEnd w:id="3"/>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(一)订立本基金合同的目的、依据和原则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)和其他有关法律法规</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基金募集的</w:t>
      </w:r>
      <w:r w:rsidRPr="006D01FF">
        <w:rPr>
          <w:rFonts w:ascii="仿宋_GB2312" w:eastAsia="仿宋_GB2312" w:hint="eastAsia"/>
          <w:sz w:val="24"/>
        </w:rPr>
        <w:t>核准</w:t>
      </w:r>
      <w:r w:rsidR="00283FB9" w:rsidRPr="006D01FF">
        <w:rPr>
          <w:rFonts w:ascii="仿宋_GB2312" w:eastAsia="仿宋_GB2312" w:hint="eastAsia"/>
          <w:sz w:val="24"/>
        </w:rPr>
        <w:t>以及变更注册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中国证监会不对基金的投资价值及市场前景等作出实质性判断或者保证。</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投资人应当认真阅读基金合同、基金招募说明书等信息披露文件，自主判断基金的投资价值，自主做出投资决策，自行承担投资风险。</w:t>
      </w:r>
    </w:p>
    <w:p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rsidR="005C1EC2" w:rsidRPr="006D01FF" w:rsidRDefault="00283FB9" w:rsidP="005C1EC2">
      <w:pPr>
        <w:spacing w:line="360" w:lineRule="auto"/>
        <w:ind w:firstLine="480"/>
        <w:rPr>
          <w:rFonts w:ascii="仿宋_GB2312" w:eastAsia="仿宋_GB2312"/>
          <w:sz w:val="24"/>
        </w:rPr>
      </w:pPr>
      <w:r w:rsidRPr="006D01FF">
        <w:rPr>
          <w:rFonts w:ascii="仿宋_GB2312" w:eastAsia="仿宋_GB2312" w:hint="eastAsia"/>
          <w:sz w:val="24"/>
        </w:rPr>
        <w:t>（</w:t>
      </w:r>
      <w:r w:rsidR="005C1EC2" w:rsidRPr="006D01FF">
        <w:rPr>
          <w:rFonts w:ascii="仿宋_GB2312" w:eastAsia="仿宋_GB2312" w:hint="eastAsia"/>
          <w:sz w:val="24"/>
        </w:rPr>
        <w:t>五</w:t>
      </w:r>
      <w:r w:rsidRPr="006D01FF">
        <w:rPr>
          <w:rFonts w:ascii="仿宋_GB2312" w:eastAsia="仿宋_GB2312" w:hint="eastAsia"/>
          <w:sz w:val="24"/>
        </w:rPr>
        <w:t>）</w:t>
      </w:r>
      <w:r w:rsidR="005C1EC2" w:rsidRPr="006D01FF">
        <w:rPr>
          <w:rFonts w:ascii="仿宋_GB2312" w:eastAsia="仿宋_GB2312" w:hint="eastAsia"/>
          <w:sz w:val="24"/>
        </w:rPr>
        <w:t>本基金按照中国法律法规成立并运作，若</w:t>
      </w:r>
      <w:r w:rsidR="005C1EC2" w:rsidRPr="006D01FF">
        <w:rPr>
          <w:rFonts w:ascii="仿宋_GB2312" w:eastAsia="仿宋_GB2312"/>
          <w:sz w:val="24"/>
        </w:rPr>
        <w:t>基金合同的内容与届时有效的法律法规的强制性规定不一致，应当以届时有效的法律法规的规定为准。</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4" w:name="_Toc90742319"/>
      <w:bookmarkStart w:id="5" w:name="_Toc90742388"/>
      <w:bookmarkStart w:id="6" w:name="_Toc402275698"/>
      <w:bookmarkStart w:id="7" w:name="_Toc402326450"/>
      <w:r w:rsidRPr="006D01FF">
        <w:rPr>
          <w:rFonts w:hint="eastAsia"/>
          <w:sz w:val="24"/>
        </w:rPr>
        <w:t>二、释义</w:t>
      </w:r>
      <w:bookmarkEnd w:id="4"/>
      <w:bookmarkEnd w:id="5"/>
      <w:bookmarkEnd w:id="6"/>
      <w:bookmarkEnd w:id="7"/>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及其定期的更新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lastRenderedPageBreak/>
        <w:t>8</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Year" w:val="2003"/>
          <w:attr w:name="Month" w:val="10"/>
          <w:attr w:name="Day" w:val="28"/>
          <w:attr w:name="IsLunarDate" w:val="False"/>
          <w:attr w:name="IsROCDate" w:val="False"/>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rsidR="00D26817" w:rsidRPr="006D01FF" w:rsidRDefault="003B22F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0</w:t>
      </w:r>
      <w:r w:rsidRPr="006D01FF">
        <w:rPr>
          <w:rFonts w:ascii="仿宋_GB2312" w:eastAsia="仿宋_GB2312" w:hint="eastAsia"/>
          <w:sz w:val="24"/>
        </w:rPr>
        <w:t>.</w:t>
      </w:r>
      <w:r w:rsidRPr="006D01FF">
        <w:rPr>
          <w:rFonts w:ascii="仿宋_GB2312" w:eastAsia="仿宋_GB2312"/>
          <w:sz w:val="24"/>
        </w:rPr>
        <w:t>《信息披露办法》：指</w:t>
      </w:r>
      <w:r w:rsidRPr="006D01FF">
        <w:rPr>
          <w:rFonts w:ascii="仿宋_GB2312" w:eastAsia="仿宋_GB2312" w:hint="eastAsia"/>
          <w:sz w:val="24"/>
        </w:rPr>
        <w:t>中国证监会</w:t>
      </w:r>
      <w:smartTag w:uri="urn:schemas-microsoft-com:office:smarttags" w:element="chsdate">
        <w:smartTagPr>
          <w:attr w:name="Year" w:val="2004"/>
          <w:attr w:name="Month" w:val="6"/>
          <w:attr w:name="Day" w:val="8"/>
          <w:attr w:name="IsLunarDate" w:val="False"/>
          <w:attr w:name="IsROCDate" w:val="False"/>
        </w:smartTagPr>
        <w:r w:rsidRPr="006D01FF">
          <w:rPr>
            <w:rFonts w:ascii="仿宋_GB2312" w:eastAsia="仿宋_GB2312" w:hint="eastAsia"/>
            <w:sz w:val="24"/>
          </w:rPr>
          <w:t>2004年6月8日</w:t>
        </w:r>
      </w:smartTag>
      <w:r w:rsidRPr="006D01FF">
        <w:rPr>
          <w:rFonts w:ascii="仿宋_GB2312" w:eastAsia="仿宋_GB2312" w:hint="eastAsia"/>
          <w:sz w:val="24"/>
        </w:rPr>
        <w:t>颁布、同年7月1日实施的</w:t>
      </w:r>
      <w:r w:rsidRPr="006D01FF">
        <w:rPr>
          <w:rFonts w:ascii="仿宋_GB2312" w:eastAsia="仿宋_GB2312"/>
          <w:sz w:val="24"/>
        </w:rPr>
        <w:t>《证券投资基金信息披露管理办法》</w:t>
      </w:r>
      <w:r w:rsidRPr="006D01FF">
        <w:rPr>
          <w:rFonts w:ascii="仿宋_GB2312" w:eastAsia="仿宋_GB2312" w:hint="eastAsia"/>
          <w:sz w:val="24"/>
        </w:rPr>
        <w:t>及颁布机关对其不时做出的修订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《运作办法》</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Pr="006D01FF">
        <w:rPr>
          <w:rFonts w:ascii="仿宋_GB2312" w:eastAsia="仿宋_GB2312" w:hint="eastAsia"/>
          <w:sz w:val="24"/>
        </w:rPr>
        <w:t>实施的</w:t>
      </w:r>
      <w:r w:rsidRPr="006D01FF">
        <w:rPr>
          <w:rFonts w:ascii="仿宋_GB2312" w:eastAsia="仿宋_GB2312"/>
          <w:sz w:val="24"/>
        </w:rPr>
        <w:t>《</w:t>
      </w:r>
      <w:r w:rsidR="00825EF2" w:rsidRPr="006D01FF">
        <w:rPr>
          <w:rFonts w:ascii="仿宋_GB2312" w:eastAsia="仿宋_GB2312" w:hint="eastAsia"/>
          <w:sz w:val="24"/>
        </w:rPr>
        <w:t>公开募集</w:t>
      </w:r>
      <w:r w:rsidRPr="006D01FF">
        <w:rPr>
          <w:rFonts w:ascii="仿宋_GB2312" w:eastAsia="仿宋_GB2312"/>
          <w:sz w:val="24"/>
        </w:rPr>
        <w:t>证券投资基金运作管理办法》</w:t>
      </w:r>
      <w:r w:rsidRPr="006D01FF">
        <w:rPr>
          <w:rFonts w:ascii="仿宋_GB2312" w:eastAsia="仿宋_GB2312" w:hint="eastAsia"/>
          <w:sz w:val="24"/>
        </w:rPr>
        <w:t>及颁布机关对其不时做出的修订</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12</w:t>
      </w:r>
      <w:r w:rsidR="00D26817" w:rsidRPr="006D01FF">
        <w:rPr>
          <w:rFonts w:ascii="仿宋_GB2312" w:eastAsia="仿宋_GB2312" w:hint="eastAsia"/>
          <w:sz w:val="24"/>
        </w:rPr>
        <w:t>.中国：指中华人民共和国，就本基金合同而言，不包括香港特别行政区、澳门特别行政区和台湾地区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13</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14</w:t>
      </w:r>
      <w:r w:rsidR="00D26817" w:rsidRPr="006D01FF">
        <w:rPr>
          <w:rFonts w:ascii="仿宋_GB2312" w:eastAsia="仿宋_GB2312" w:hint="eastAsia"/>
          <w:sz w:val="24"/>
        </w:rPr>
        <w:t>.中国银监会：指中国银行业监督管理委员会</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15</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16</w:t>
      </w:r>
      <w:r w:rsidR="00D26817" w:rsidRPr="006D01FF">
        <w:rPr>
          <w:rFonts w:ascii="仿宋_GB2312" w:eastAsia="仿宋_GB2312" w:hint="eastAsia"/>
          <w:sz w:val="24"/>
        </w:rPr>
        <w:t>.个人投资者：指依据有关法律法规规定可投资于证券投资基金的自然人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17</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rsidR="005E5785"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18</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rsidR="00D26817" w:rsidRPr="006D01FF" w:rsidRDefault="005E5785" w:rsidP="00AC5916">
      <w:pPr>
        <w:spacing w:line="360" w:lineRule="auto"/>
        <w:ind w:firstLineChars="200" w:firstLine="480"/>
        <w:rPr>
          <w:rFonts w:ascii="仿宋_GB2312" w:eastAsia="仿宋_GB2312"/>
          <w:sz w:val="24"/>
        </w:rPr>
      </w:pPr>
      <w:r w:rsidRPr="006D01FF">
        <w:rPr>
          <w:rFonts w:ascii="仿宋_GB2312" w:eastAsia="仿宋_GB2312" w:hint="eastAsia"/>
          <w:sz w:val="24"/>
        </w:rPr>
        <w:t>19.人民币合格境外机构投资者：指按照《人民币合格境外机构投资者境内证券投资试点办法》及相关法律法规规定，运用来自境外的人民币资金进行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20.</w:t>
      </w: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：指个人投资者、机构投资者</w:t>
      </w:r>
      <w:r w:rsidR="005E5785" w:rsidRPr="006D01FF">
        <w:rPr>
          <w:rFonts w:ascii="仿宋_GB2312" w:eastAsia="仿宋_GB2312" w:hint="eastAsia"/>
          <w:sz w:val="24"/>
        </w:rPr>
        <w:t>、</w:t>
      </w:r>
      <w:r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Pr="006D01FF">
        <w:rPr>
          <w:rFonts w:ascii="仿宋_GB2312" w:eastAsia="仿宋_GB2312" w:hint="eastAsia"/>
          <w:sz w:val="24"/>
        </w:rPr>
        <w:t>以及法律法规或中国证监会允许购买证券投资基金的其他投资人</w:t>
      </w:r>
      <w:r w:rsidRPr="006D01FF">
        <w:rPr>
          <w:rFonts w:ascii="仿宋_GB2312" w:eastAsia="仿宋_GB2312"/>
          <w:sz w:val="24"/>
        </w:rPr>
        <w:t>的合称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21.</w:t>
      </w:r>
      <w:r w:rsidRPr="006D01FF">
        <w:rPr>
          <w:rFonts w:ascii="仿宋_GB2312" w:eastAsia="仿宋_GB2312"/>
          <w:sz w:val="24"/>
        </w:rPr>
        <w:t>基金份额持有人：指依基金合同</w:t>
      </w:r>
      <w:r w:rsidRPr="006D01FF">
        <w:rPr>
          <w:rFonts w:ascii="仿宋_GB2312" w:eastAsia="仿宋_GB2312" w:hint="eastAsia"/>
          <w:sz w:val="24"/>
        </w:rPr>
        <w:t>和</w:t>
      </w:r>
      <w:r w:rsidRPr="006D01FF">
        <w:rPr>
          <w:rFonts w:ascii="仿宋_GB2312" w:eastAsia="仿宋_GB2312"/>
          <w:sz w:val="24"/>
        </w:rPr>
        <w:t>招募说明书</w:t>
      </w:r>
      <w:r w:rsidRPr="006D01FF">
        <w:rPr>
          <w:rFonts w:ascii="仿宋_GB2312" w:eastAsia="仿宋_GB2312" w:hint="eastAsia"/>
          <w:sz w:val="24"/>
        </w:rPr>
        <w:t>合法</w:t>
      </w:r>
      <w:r w:rsidRPr="006D01FF">
        <w:rPr>
          <w:rFonts w:ascii="仿宋_GB2312" w:eastAsia="仿宋_GB2312"/>
          <w:sz w:val="24"/>
        </w:rPr>
        <w:t>取得基金份额的投资</w:t>
      </w:r>
      <w:r w:rsidRPr="006D01FF">
        <w:rPr>
          <w:rFonts w:ascii="仿宋_GB2312" w:eastAsia="仿宋_GB2312" w:hint="eastAsia"/>
          <w:sz w:val="24"/>
        </w:rPr>
        <w:t>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22.</w:t>
      </w:r>
      <w:r w:rsidRPr="006D01FF">
        <w:rPr>
          <w:rFonts w:ascii="仿宋_GB2312" w:eastAsia="仿宋_GB2312"/>
          <w:sz w:val="24"/>
        </w:rPr>
        <w:t>基金销售业务：指</w:t>
      </w:r>
      <w:r w:rsidRPr="006D01FF">
        <w:rPr>
          <w:rFonts w:ascii="仿宋_GB2312" w:eastAsia="仿宋_GB2312" w:hint="eastAsia"/>
          <w:sz w:val="24"/>
        </w:rPr>
        <w:t>基金管理人或</w:t>
      </w:r>
      <w:r w:rsidR="00291361" w:rsidRPr="006D01FF">
        <w:rPr>
          <w:rFonts w:ascii="仿宋_GB2312" w:eastAsia="仿宋_GB2312"/>
          <w:sz w:val="24"/>
        </w:rPr>
        <w:t>销售</w:t>
      </w:r>
      <w:r w:rsidRPr="006D01FF">
        <w:rPr>
          <w:rFonts w:ascii="仿宋_GB2312" w:eastAsia="仿宋_GB2312" w:hint="eastAsia"/>
          <w:sz w:val="24"/>
        </w:rPr>
        <w:t>机构宣传推介基金，</w:t>
      </w:r>
      <w:r w:rsidR="00BE4019" w:rsidRPr="006D01FF">
        <w:rPr>
          <w:rFonts w:ascii="仿宋_GB2312" w:eastAsia="仿宋_GB2312" w:hint="eastAsia"/>
          <w:sz w:val="24"/>
        </w:rPr>
        <w:t>销</w:t>
      </w:r>
      <w:r w:rsidRPr="006D01FF">
        <w:rPr>
          <w:rFonts w:ascii="仿宋_GB2312" w:eastAsia="仿宋_GB2312" w:hint="eastAsia"/>
          <w:sz w:val="24"/>
        </w:rPr>
        <w:t>售基金份额，办理基金份额的</w:t>
      </w:r>
      <w:r w:rsidRPr="006D01FF">
        <w:rPr>
          <w:rFonts w:ascii="仿宋_GB2312" w:eastAsia="仿宋_GB2312"/>
          <w:sz w:val="24"/>
        </w:rPr>
        <w:t>申购、赎回、转换、转托管及定期定额投资等业务</w:t>
      </w:r>
    </w:p>
    <w:p w:rsidR="006D5121"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23.</w:t>
      </w:r>
      <w:r w:rsidRPr="006D01FF">
        <w:rPr>
          <w:rFonts w:ascii="仿宋_GB2312" w:eastAsia="仿宋_GB2312"/>
          <w:sz w:val="24"/>
        </w:rPr>
        <w:t>销售机构</w:t>
      </w:r>
      <w:r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D5121" w:rsidRPr="006D01FF">
        <w:rPr>
          <w:rFonts w:ascii="仿宋_GB2312" w:eastAsia="仿宋_GB2312" w:hint="eastAsia"/>
          <w:sz w:val="24"/>
        </w:rPr>
        <w:t>4</w:t>
      </w:r>
      <w:r w:rsidRPr="006D01FF">
        <w:rPr>
          <w:rFonts w:ascii="仿宋_GB2312" w:eastAsia="仿宋_GB2312" w:hint="eastAsia"/>
          <w:sz w:val="24"/>
        </w:rPr>
        <w:t>.</w:t>
      </w:r>
      <w:r w:rsidRPr="006D01FF">
        <w:rPr>
          <w:rFonts w:ascii="仿宋_GB2312" w:eastAsia="仿宋_GB2312"/>
          <w:sz w:val="24"/>
        </w:rPr>
        <w:t>注册登记业务：指基金登记、存管、过户、清算和结算业务，具体内容包括投资</w:t>
      </w:r>
      <w:r w:rsidRPr="006D01FF">
        <w:rPr>
          <w:rFonts w:ascii="仿宋_GB2312" w:eastAsia="仿宋_GB2312" w:hint="eastAsia"/>
          <w:sz w:val="24"/>
        </w:rPr>
        <w:t>人</w:t>
      </w:r>
      <w:r w:rsidRPr="006D01FF">
        <w:rPr>
          <w:rFonts w:ascii="仿宋_GB2312" w:eastAsia="仿宋_GB2312"/>
          <w:sz w:val="24"/>
        </w:rPr>
        <w:t>基金账户的建立和管理、基金份额注册登记、基金</w:t>
      </w:r>
      <w:r w:rsidRPr="006D01FF">
        <w:rPr>
          <w:rFonts w:ascii="仿宋_GB2312" w:eastAsia="仿宋_GB2312" w:hint="eastAsia"/>
          <w:sz w:val="24"/>
        </w:rPr>
        <w:t>销售业务的</w:t>
      </w:r>
      <w:r w:rsidRPr="006D01FF">
        <w:rPr>
          <w:rFonts w:ascii="仿宋_GB2312" w:eastAsia="仿宋_GB2312"/>
          <w:sz w:val="24"/>
        </w:rPr>
        <w:t>确认、清算和结算、代理发放红利、建立并保管基金份额持有人名册</w:t>
      </w:r>
      <w:r w:rsidRPr="006D01FF">
        <w:rPr>
          <w:rFonts w:ascii="仿宋_GB2312" w:eastAsia="仿宋_GB2312" w:hint="eastAsia"/>
          <w:sz w:val="24"/>
        </w:rPr>
        <w:t>、办理非交易过户业务等</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25</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26</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。投资人通过场外销售机构办理基金份额的申购和赎回等业务时需持有基金账户。记录在该账户下的基金份额登记在注册登记机构的注册登记系统</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rsidR="00291361" w:rsidRPr="006D01FF" w:rsidRDefault="00BC603F" w:rsidP="00C243BA">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rsidR="00C243BA" w:rsidRPr="006D01FF" w:rsidRDefault="00C243BA" w:rsidP="00C243BA">
      <w:pPr>
        <w:spacing w:line="360" w:lineRule="auto"/>
        <w:ind w:firstLineChars="200" w:firstLine="480"/>
        <w:rPr>
          <w:rFonts w:ascii="仿宋_GB2312" w:eastAsia="仿宋_GB2312"/>
          <w:sz w:val="24"/>
        </w:rPr>
      </w:pPr>
      <w:r w:rsidRPr="006D01FF">
        <w:rPr>
          <w:rFonts w:ascii="仿宋_GB2312" w:eastAsia="仿宋_GB2312" w:hint="eastAsia"/>
          <w:sz w:val="24"/>
        </w:rPr>
        <w:t>30.基金转型实施日：指</w:t>
      </w:r>
      <w:r w:rsidR="006B04CE" w:rsidRPr="006D01FF">
        <w:rPr>
          <w:rFonts w:ascii="仿宋_GB2312" w:eastAsia="仿宋_GB2312" w:hint="eastAsia"/>
          <w:sz w:val="24"/>
        </w:rPr>
        <w:t>基金管理人公告的</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转型为交银施罗德消费新驱动股票型</w:t>
      </w:r>
      <w:r w:rsidRPr="006D01FF">
        <w:rPr>
          <w:rFonts w:ascii="仿宋_GB2312" w:eastAsia="仿宋_GB2312"/>
          <w:sz w:val="24"/>
        </w:rPr>
        <w:t>证券投资基金</w:t>
      </w:r>
      <w:r w:rsidRPr="006D01FF">
        <w:rPr>
          <w:rFonts w:ascii="仿宋_GB2312" w:eastAsia="仿宋_GB2312" w:hint="eastAsia"/>
          <w:sz w:val="24"/>
        </w:rPr>
        <w:t>的</w:t>
      </w:r>
      <w:r w:rsidR="006B04CE" w:rsidRPr="006D01FF">
        <w:rPr>
          <w:rFonts w:ascii="仿宋_GB2312" w:eastAsia="仿宋_GB2312" w:hint="eastAsia"/>
          <w:sz w:val="24"/>
        </w:rPr>
        <w:t>实施日期。</w:t>
      </w:r>
      <w:r w:rsidRPr="006D01FF">
        <w:rPr>
          <w:rFonts w:ascii="仿宋_GB2312" w:eastAsia="仿宋_GB2312" w:hint="eastAsia"/>
          <w:sz w:val="24"/>
        </w:rPr>
        <w:t>《交银施罗德消费新驱动股票型</w:t>
      </w:r>
      <w:r w:rsidRPr="006D01FF">
        <w:rPr>
          <w:rFonts w:ascii="仿宋_GB2312" w:eastAsia="仿宋_GB2312"/>
          <w:sz w:val="24"/>
        </w:rPr>
        <w:t>证券投资基金</w:t>
      </w:r>
      <w:r w:rsidRPr="006D01FF">
        <w:rPr>
          <w:rFonts w:ascii="仿宋_GB2312" w:eastAsia="仿宋_GB2312" w:hint="eastAsia"/>
          <w:sz w:val="24"/>
        </w:rPr>
        <w:t>基金合同》经基金管理人和基金托管人加盖公章以及双方法定代表人或授权代表签章，自基金转型实施日起生效，</w:t>
      </w:r>
      <w:r w:rsidRPr="006D01FF">
        <w:rPr>
          <w:rFonts w:ascii="仿宋_GB2312" w:eastAsia="仿宋_GB2312" w:hint="eastAsia"/>
          <w:sz w:val="24"/>
        </w:rPr>
        <w:lastRenderedPageBreak/>
        <w:t>《交银施罗德沪深300行业分层等权重指数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基金合同》自同一日起失效</w:t>
      </w:r>
    </w:p>
    <w:p w:rsidR="006B04CE" w:rsidRPr="006D01FF" w:rsidRDefault="00C243BA">
      <w:pPr>
        <w:spacing w:line="360" w:lineRule="auto"/>
        <w:ind w:firstLineChars="200" w:firstLine="480"/>
        <w:rPr>
          <w:rFonts w:ascii="仿宋_GB2312" w:eastAsia="仿宋_GB2312"/>
          <w:bCs/>
          <w:sz w:val="24"/>
        </w:rPr>
      </w:pPr>
      <w:r w:rsidRPr="006D01FF">
        <w:rPr>
          <w:rFonts w:ascii="仿宋_GB2312" w:eastAsia="仿宋_GB2312" w:hint="eastAsia"/>
          <w:bCs/>
          <w:sz w:val="24"/>
        </w:rPr>
        <w:t>3</w:t>
      </w:r>
      <w:r w:rsidR="006B04CE" w:rsidRPr="006D01FF">
        <w:rPr>
          <w:rFonts w:ascii="仿宋_GB2312" w:eastAsia="仿宋_GB2312" w:hint="eastAsia"/>
          <w:bCs/>
          <w:sz w:val="24"/>
        </w:rPr>
        <w:t>1</w:t>
      </w:r>
      <w:r w:rsidR="003E59FF" w:rsidRPr="006D01FF">
        <w:rPr>
          <w:rFonts w:ascii="仿宋_GB2312" w:eastAsia="仿宋_GB2312" w:hint="eastAsia"/>
          <w:sz w:val="24"/>
        </w:rPr>
        <w:t>.</w:t>
      </w:r>
      <w:r w:rsidRPr="006D01FF">
        <w:rPr>
          <w:rFonts w:ascii="仿宋_GB2312" w:eastAsia="仿宋_GB2312"/>
          <w:bCs/>
          <w:sz w:val="24"/>
        </w:rPr>
        <w:t>基金合同终止日：指基金合同规定的基金合同终止事由出现后，基金财产清算完毕，清算结果报中国证监会备案并予以公告的日期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04CE"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3</w:t>
      </w:r>
      <w:r w:rsidR="00D26817" w:rsidRPr="006D01FF">
        <w:rPr>
          <w:rFonts w:ascii="仿宋_GB2312" w:eastAsia="仿宋_GB2312" w:hint="eastAsia"/>
          <w:sz w:val="24"/>
        </w:rPr>
        <w:t>.日/天：指公历日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4</w:t>
      </w:r>
      <w:r w:rsidR="00D26817" w:rsidRPr="006D01FF">
        <w:rPr>
          <w:rFonts w:ascii="仿宋_GB2312" w:eastAsia="仿宋_GB2312" w:hint="eastAsia"/>
          <w:sz w:val="24"/>
        </w:rPr>
        <w:t>.月：指公历月</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9</w:t>
      </w:r>
      <w:r w:rsidR="00D26817" w:rsidRPr="006D01FF">
        <w:rPr>
          <w:rFonts w:ascii="仿宋_GB2312" w:eastAsia="仿宋_GB2312" w:hint="eastAsia"/>
          <w:sz w:val="24"/>
        </w:rPr>
        <w:t>.</w:t>
      </w:r>
      <w:r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40</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41</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AC5916"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AC5916" w:rsidRPr="006D01FF">
        <w:rPr>
          <w:rFonts w:ascii="仿宋_GB2312" w:eastAsia="仿宋_GB2312" w:hint="eastAsia"/>
          <w:sz w:val="24"/>
        </w:rPr>
        <w:t>3</w:t>
      </w:r>
      <w:r w:rsidRPr="006D01FF">
        <w:rPr>
          <w:rFonts w:ascii="仿宋_GB2312" w:eastAsia="仿宋_GB2312" w:hint="eastAsia"/>
          <w:sz w:val="24"/>
        </w:rPr>
        <w:t>.场外：</w:t>
      </w:r>
      <w:r w:rsidR="00C84820" w:rsidRPr="006D01FF">
        <w:rPr>
          <w:rFonts w:ascii="仿宋_GB2312" w:eastAsia="仿宋_GB2312" w:hint="eastAsia"/>
          <w:sz w:val="24"/>
        </w:rPr>
        <w:t>指</w:t>
      </w:r>
      <w:r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Pr="006D01FF">
        <w:rPr>
          <w:rFonts w:ascii="仿宋_GB2312" w:eastAsia="仿宋_GB2312" w:hint="eastAsia"/>
          <w:sz w:val="24"/>
        </w:rPr>
        <w:t>系统办理基金份额申购和赎回等业务的销售机构和场所</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3260A" w:rsidRPr="006D01FF">
        <w:rPr>
          <w:rFonts w:ascii="仿宋_GB2312" w:eastAsia="仿宋_GB2312" w:hint="eastAsia"/>
          <w:sz w:val="24"/>
        </w:rPr>
        <w:t>4</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3260A" w:rsidRPr="006D01FF">
        <w:rPr>
          <w:rFonts w:ascii="仿宋_GB2312" w:eastAsia="仿宋_GB2312" w:hint="eastAsia"/>
          <w:sz w:val="24"/>
        </w:rPr>
        <w:t>5</w:t>
      </w:r>
      <w:r w:rsidR="00D26817" w:rsidRPr="006D01FF">
        <w:rPr>
          <w:rFonts w:ascii="仿宋_GB2312" w:eastAsia="仿宋_GB2312" w:hint="eastAsia"/>
          <w:sz w:val="24"/>
        </w:rPr>
        <w:t>.注册登记系统：指中国证券登记结算有限责任公司开放式基金登记结算系统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w:t>
      </w:r>
      <w:r w:rsidR="007423DA" w:rsidRPr="006D01FF">
        <w:rPr>
          <w:rFonts w:ascii="仿宋_GB2312" w:eastAsia="仿宋_GB2312" w:hint="eastAsia"/>
          <w:sz w:val="24"/>
        </w:rPr>
        <w:t>6</w:t>
      </w:r>
      <w:r w:rsidR="00D26817" w:rsidRPr="006D01FF">
        <w:rPr>
          <w:rFonts w:ascii="仿宋_GB2312" w:eastAsia="仿宋_GB2312" w:hint="eastAsia"/>
          <w:sz w:val="24"/>
        </w:rPr>
        <w:t>.证券登记结算系统：指中国证券登记结算有限责任公司上海分公司证券登记结算系统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7</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8</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9</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50</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51</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7</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D26817" w:rsidRPr="006D01FF">
        <w:rPr>
          <w:rFonts w:ascii="仿宋_GB2312" w:eastAsia="仿宋_GB2312"/>
          <w:sz w:val="24"/>
        </w:rPr>
        <w:t>指中国证监会指定的用以进行信息披露的报刊、互联网网站及其他</w:t>
      </w:r>
      <w:r w:rsidR="00A3083E" w:rsidRPr="006D01FF">
        <w:rPr>
          <w:rFonts w:ascii="仿宋_GB2312" w:eastAsia="仿宋_GB2312"/>
          <w:sz w:val="24"/>
        </w:rPr>
        <w:t>媒介</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770926"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8" w:name="_Toc90742320"/>
      <w:bookmarkStart w:id="9" w:name="_Toc90742389"/>
      <w:bookmarkStart w:id="10" w:name="_Toc402275699"/>
      <w:bookmarkStart w:id="11" w:name="_Toc402326451"/>
      <w:r w:rsidRPr="006D01FF">
        <w:rPr>
          <w:rFonts w:hint="eastAsia"/>
          <w:sz w:val="24"/>
        </w:rPr>
        <w:t>三、基金的基本情况</w:t>
      </w:r>
      <w:bookmarkEnd w:id="8"/>
      <w:bookmarkEnd w:id="9"/>
      <w:bookmarkEnd w:id="10"/>
      <w:bookmarkEnd w:id="11"/>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rsidR="009807C8" w:rsidRPr="006D01FF" w:rsidRDefault="009807C8">
      <w:pPr>
        <w:spacing w:line="360" w:lineRule="auto"/>
        <w:ind w:firstLineChars="200" w:firstLine="480"/>
        <w:rPr>
          <w:rFonts w:ascii="仿宋_GB2312" w:eastAsia="仿宋_GB2312"/>
          <w:sz w:val="24"/>
        </w:rPr>
      </w:pPr>
    </w:p>
    <w:p w:rsidR="009807C8" w:rsidRPr="006D01FF" w:rsidRDefault="009807C8" w:rsidP="009807C8">
      <w:pPr>
        <w:pStyle w:val="1"/>
        <w:rPr>
          <w:sz w:val="24"/>
        </w:rPr>
      </w:pPr>
      <w:bookmarkStart w:id="12" w:name="_Toc402275700"/>
      <w:bookmarkStart w:id="13" w:name="_Toc402326452"/>
      <w:r w:rsidRPr="006D01FF">
        <w:rPr>
          <w:rFonts w:hint="eastAsia"/>
          <w:sz w:val="24"/>
        </w:rPr>
        <w:t>四、</w:t>
      </w:r>
      <w:r w:rsidRPr="006D01FF">
        <w:rPr>
          <w:sz w:val="24"/>
        </w:rPr>
        <w:t>基金的</w:t>
      </w:r>
      <w:r w:rsidRPr="006D01FF">
        <w:rPr>
          <w:rFonts w:hint="eastAsia"/>
          <w:sz w:val="24"/>
        </w:rPr>
        <w:t>历史沿革</w:t>
      </w:r>
      <w:bookmarkEnd w:id="12"/>
      <w:bookmarkEnd w:id="13"/>
    </w:p>
    <w:p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rsidR="009807C8" w:rsidRPr="006D01FF" w:rsidRDefault="009807C8">
      <w:pPr>
        <w:spacing w:line="360" w:lineRule="auto"/>
        <w:ind w:firstLineChars="200" w:firstLine="480"/>
        <w:rPr>
          <w:rFonts w:ascii="仿宋_GB2312" w:eastAsia="仿宋_GB2312"/>
          <w:sz w:val="24"/>
        </w:rPr>
      </w:pPr>
    </w:p>
    <w:p w:rsidR="00B77B8C" w:rsidRPr="006D01FF" w:rsidRDefault="00B77B8C" w:rsidP="00B77B8C">
      <w:pPr>
        <w:pStyle w:val="1"/>
        <w:rPr>
          <w:sz w:val="24"/>
        </w:rPr>
      </w:pPr>
      <w:bookmarkStart w:id="14" w:name="_Toc402275701"/>
      <w:bookmarkStart w:id="15" w:name="_Toc402326453"/>
      <w:r w:rsidRPr="006D01FF">
        <w:rPr>
          <w:rFonts w:hint="eastAsia"/>
          <w:sz w:val="24"/>
        </w:rPr>
        <w:t>五、</w:t>
      </w:r>
      <w:r w:rsidRPr="006D01FF">
        <w:rPr>
          <w:sz w:val="24"/>
        </w:rPr>
        <w:t>基金的</w:t>
      </w:r>
      <w:r w:rsidRPr="006D01FF">
        <w:rPr>
          <w:rFonts w:hint="eastAsia"/>
          <w:sz w:val="24"/>
        </w:rPr>
        <w:t>存续</w:t>
      </w:r>
      <w:bookmarkEnd w:id="14"/>
      <w:bookmarkEnd w:id="15"/>
    </w:p>
    <w:p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rsidR="00D26817" w:rsidRPr="006D01FF" w:rsidRDefault="00D26817">
      <w:pPr>
        <w:pStyle w:val="210"/>
        <w:rPr>
          <w:color w:val="auto"/>
        </w:rPr>
      </w:pPr>
      <w:bookmarkStart w:id="16" w:name="_Hlt54601699"/>
      <w:bookmarkEnd w:id="16"/>
    </w:p>
    <w:p w:rsidR="00D26817" w:rsidRPr="006D01FF" w:rsidRDefault="00D26817">
      <w:pPr>
        <w:pStyle w:val="1"/>
        <w:rPr>
          <w:sz w:val="24"/>
        </w:rPr>
      </w:pPr>
      <w:bookmarkStart w:id="17" w:name="_Toc90742323"/>
      <w:bookmarkStart w:id="18" w:name="_Toc90742392"/>
      <w:bookmarkStart w:id="19" w:name="_Toc402275702"/>
      <w:bookmarkStart w:id="20" w:name="_Toc402326454"/>
      <w:r w:rsidRPr="006D01FF">
        <w:rPr>
          <w:rFonts w:hint="eastAsia"/>
          <w:sz w:val="24"/>
        </w:rPr>
        <w:lastRenderedPageBreak/>
        <w:t>六、</w:t>
      </w:r>
      <w:r w:rsidRPr="006D01FF">
        <w:rPr>
          <w:sz w:val="24"/>
        </w:rPr>
        <w:t>基金份额的申购与赎回</w:t>
      </w:r>
      <w:bookmarkEnd w:id="17"/>
      <w:bookmarkEnd w:id="18"/>
      <w:bookmarkEnd w:id="19"/>
      <w:bookmarkEnd w:id="20"/>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机构，并予以公告。投资人应当在销售机构办理基金销售业务的营业场所或按销售机构提供的其他方式办理基金份额的申购与赎回。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w:t>
      </w:r>
      <w:r w:rsidRPr="006D01FF">
        <w:rPr>
          <w:rFonts w:ascii="仿宋_GB2312" w:eastAsia="仿宋_GB2312" w:hint="eastAsia"/>
          <w:sz w:val="24"/>
          <w:szCs w:val="18"/>
        </w:rPr>
        <w:lastRenderedPageBreak/>
        <w:t>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1.申购和赎回的申请方式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到销售网点柜台或以销售机构规定的其他方式查询申请的确认情况</w:t>
      </w:r>
      <w:r w:rsidRPr="006D01FF">
        <w:rPr>
          <w:rFonts w:ascii="仿宋_GB2312" w:eastAsia="仿宋_GB2312" w:hint="eastAsia"/>
          <w:sz w:val="24"/>
          <w:szCs w:val="21"/>
        </w:rPr>
        <w:t>，否则如因申请未得到注册登记机构的确认而产生的后果，由投资人自行承担。</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lastRenderedPageBreak/>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4.基金管理人可以根据市场情况，在法律法规允许的情况下，调整上述规定申购金额、赎回份额以及最低保留余额的数量限制。基金管理人必须在调整前依照《信息披露办法》的有关规定在指定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上公告并报中国证监会备案。</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w:t>
      </w:r>
      <w:r w:rsidRPr="006D01FF">
        <w:rPr>
          <w:rFonts w:ascii="仿宋_GB2312" w:eastAsia="仿宋_GB2312" w:hint="eastAsia"/>
          <w:sz w:val="24"/>
          <w:szCs w:val="21"/>
        </w:rPr>
        <w:lastRenderedPageBreak/>
        <w:t>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rsidR="00D26817" w:rsidRPr="006D01FF" w:rsidRDefault="00D26817" w:rsidP="00F07B6B">
      <w:pPr>
        <w:spacing w:line="360" w:lineRule="auto"/>
        <w:ind w:firstLineChars="200" w:firstLine="480"/>
        <w:rPr>
          <w:rFonts w:ascii="仿宋_GB2312" w:eastAsia="仿宋_GB2312"/>
          <w:sz w:val="24"/>
          <w:szCs w:val="21"/>
        </w:rPr>
      </w:pPr>
      <w:bookmarkStart w:id="21" w:name="_Hlt70481650"/>
      <w:bookmarkEnd w:id="21"/>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w:t>
      </w:r>
      <w:r w:rsidRPr="006D01FF">
        <w:rPr>
          <w:rFonts w:ascii="仿宋_GB2312" w:eastAsia="仿宋_GB2312" w:hint="eastAsia"/>
          <w:sz w:val="24"/>
          <w:szCs w:val="21"/>
        </w:rPr>
        <w:lastRenderedPageBreak/>
        <w:t>常情况发生导致基金销售系统或基金注册登记系统或基金会计系统无法正常运行。</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w:t>
      </w:r>
      <w:r w:rsidRPr="006D01FF">
        <w:rPr>
          <w:rFonts w:ascii="仿宋_GB2312" w:eastAsia="仿宋_GB2312"/>
          <w:sz w:val="24"/>
          <w:szCs w:val="21"/>
        </w:rPr>
        <w:t>法律法规规定或中国证监会认定的其他情形</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发生上述除第4项以外的暂停申购情形且基金管理人决定暂停申购的，基金管理人应当根据有关规定在指定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发生下列情形时，基金管理人可暂停接受投资人的赎回申请或延缓支付赎回款项：</w:t>
      </w:r>
    </w:p>
    <w:p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rsidR="00D26817" w:rsidRPr="006D01FF" w:rsidRDefault="00FC545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w:t>
      </w:r>
      <w:r w:rsidRPr="006D01FF">
        <w:rPr>
          <w:rFonts w:ascii="仿宋_GB2312" w:eastAsia="仿宋_GB2312"/>
          <w:sz w:val="24"/>
          <w:szCs w:val="21"/>
        </w:rPr>
        <w:lastRenderedPageBreak/>
        <w:t>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D26817" w:rsidRPr="006D01FF">
        <w:rPr>
          <w:rFonts w:ascii="仿宋_GB2312" w:eastAsia="仿宋_GB2312" w:hint="eastAsia"/>
          <w:sz w:val="24"/>
          <w:szCs w:val="21"/>
        </w:rPr>
        <w:t>全额赎回：当基金管理人认为有能力支付投资人的全部赎回申请时，按正常赎回程序执行。</w:t>
      </w:r>
    </w:p>
    <w:p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当通过邮寄、传真、公告或者招募说明书规定的其他方式在3个工作日内通知基金份额持有人，说明有关处理方法，同时在指定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发生上述暂停申购或赎回情况的，基金管理人当日应立即向中国证监会备</w:t>
      </w:r>
      <w:r w:rsidRPr="006D01FF">
        <w:rPr>
          <w:rFonts w:ascii="仿宋_GB2312" w:eastAsia="仿宋_GB2312"/>
          <w:sz w:val="24"/>
          <w:szCs w:val="21"/>
        </w:rPr>
        <w:lastRenderedPageBreak/>
        <w:t>案</w:t>
      </w:r>
      <w:r w:rsidRPr="006D01FF">
        <w:rPr>
          <w:rFonts w:ascii="仿宋_GB2312" w:eastAsia="仿宋_GB2312" w:hint="eastAsia"/>
          <w:sz w:val="24"/>
          <w:szCs w:val="21"/>
        </w:rPr>
        <w:t>，</w:t>
      </w:r>
      <w:r w:rsidRPr="006D01FF">
        <w:rPr>
          <w:rFonts w:ascii="仿宋_GB2312" w:eastAsia="仿宋_GB2312"/>
          <w:sz w:val="24"/>
          <w:szCs w:val="21"/>
        </w:rPr>
        <w:t>并在规定期限内在指定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基金份额登记在注册登记系统的基金份额持有人在变更办理基金赎回业务的销售机构（网点）时，销售机构（网点）之间不能通存通兑时的，可办理已持有基金份额的系统内转托管。</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22" w:name="_Toc90742324"/>
      <w:bookmarkStart w:id="23" w:name="_Toc90742393"/>
      <w:r w:rsidRPr="006D01FF">
        <w:rPr>
          <w:rFonts w:hint="eastAsia"/>
          <w:sz w:val="24"/>
        </w:rPr>
        <w:lastRenderedPageBreak/>
        <w:t>七</w:t>
      </w:r>
      <w:bookmarkStart w:id="24" w:name="_Toc402275703"/>
      <w:bookmarkStart w:id="25" w:name="_Toc402326455"/>
      <w:r w:rsidRPr="006D01FF">
        <w:rPr>
          <w:rFonts w:hint="eastAsia"/>
          <w:sz w:val="24"/>
        </w:rPr>
        <w:t>、</w:t>
      </w:r>
      <w:r w:rsidRPr="006D01FF">
        <w:rPr>
          <w:sz w:val="24"/>
        </w:rPr>
        <w:t>基金合同当事人及权利义务</w:t>
      </w:r>
      <w:bookmarkEnd w:id="22"/>
      <w:bookmarkEnd w:id="23"/>
      <w:bookmarkEnd w:id="24"/>
      <w:bookmarkEnd w:id="25"/>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住所：上海市浦东新区银城中路188号交通银行大楼二层（裙）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FC11D7" w:rsidRPr="006D01FF">
        <w:rPr>
          <w:rFonts w:ascii="仿宋_GB2312" w:eastAsia="仿宋_GB2312" w:hint="eastAsia"/>
          <w:sz w:val="24"/>
        </w:rPr>
        <w:t>阮红（代任）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Year" w:val="2005"/>
          <w:attr w:name="Month" w:val="8"/>
          <w:attr w:name="Day" w:val="4"/>
          <w:attr w:name="IsLunarDate" w:val="False"/>
          <w:attr w:name="IsROCDate" w:val="False"/>
        </w:smartTagPr>
        <w:r w:rsidRPr="006D01FF">
          <w:rPr>
            <w:rFonts w:ascii="仿宋_GB2312" w:eastAsia="仿宋_GB2312" w:hint="eastAsia"/>
            <w:sz w:val="24"/>
          </w:rPr>
          <w:t>2005年8月4日</w:t>
        </w:r>
      </w:smartTag>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邮政编码：100033</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DF4831" w:rsidRPr="006D01FF">
        <w:rPr>
          <w:rFonts w:ascii="仿宋_GB2312" w:eastAsia="仿宋_GB2312" w:hint="eastAsia"/>
          <w:sz w:val="24"/>
        </w:rPr>
        <w:t>王洪章</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(三)基金份额持有人</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13.以基金管理人的名义，代表基金份额持有人的利益行使诉讼权利或者实施</w:t>
      </w:r>
      <w:r w:rsidRPr="006D01FF">
        <w:rPr>
          <w:rFonts w:ascii="仿宋_GB2312" w:eastAsia="仿宋_GB2312" w:hint="eastAsia"/>
          <w:sz w:val="24"/>
        </w:rPr>
        <w:lastRenderedPageBreak/>
        <w:t>其他法律行为；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除依据《基金法》、基金合同及其他有关规定外，不得为自己及任何第三人谋取利益，不得委托第三人运作基金财产；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8.计算并公告基金资产净值，确定基金份额申购、赎回价格；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季度、半年度</w:t>
      </w:r>
      <w:r w:rsidRPr="006D01FF">
        <w:rPr>
          <w:rFonts w:ascii="仿宋_GB2312" w:eastAsia="仿宋_GB2312" w:hint="eastAsia"/>
          <w:sz w:val="24"/>
        </w:rPr>
        <w:t>和年度基金报告；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w:t>
      </w:r>
      <w:r w:rsidRPr="006D01FF">
        <w:rPr>
          <w:rFonts w:ascii="仿宋_GB2312" w:eastAsia="仿宋_GB2312"/>
          <w:sz w:val="24"/>
        </w:rPr>
        <w:lastRenderedPageBreak/>
        <w:t>他人泄露；</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t>23.当基金管理人将其义务委托第三方处理时，应当对第三方处理有关基金事务的行为承担责任；</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t>31</w:t>
      </w:r>
      <w:r w:rsidR="00D26817" w:rsidRPr="006D01FF">
        <w:rPr>
          <w:rFonts w:ascii="仿宋_GB2312" w:eastAsia="仿宋_GB2312" w:hint="eastAsia"/>
          <w:sz w:val="24"/>
        </w:rPr>
        <w:t>.法律法规、中国证监会和基金合同规定的其他义务。</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1.安全保管基金财产；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对基金财务会计报告、</w:t>
      </w:r>
      <w:r w:rsidR="00C33780" w:rsidRPr="006D01FF">
        <w:rPr>
          <w:rFonts w:ascii="仿宋_GB2312" w:eastAsia="仿宋_GB2312"/>
          <w:bCs/>
          <w:sz w:val="24"/>
        </w:rPr>
        <w:t>季度、半年度</w:t>
      </w:r>
      <w:r w:rsidRPr="006D01FF">
        <w:rPr>
          <w:rFonts w:ascii="仿宋_GB2312" w:eastAsia="仿宋_GB2312"/>
          <w:sz w:val="24"/>
        </w:rPr>
        <w:t>和年度基金报告出具意见，说明基金</w:t>
      </w:r>
      <w:r w:rsidRPr="006D01FF">
        <w:rPr>
          <w:rFonts w:ascii="仿宋_GB2312" w:eastAsia="仿宋_GB2312"/>
          <w:sz w:val="24"/>
        </w:rPr>
        <w:lastRenderedPageBreak/>
        <w:t>管理人在各重要方面的运作是否严格按照基金合同的规定进行；如果基金管理人有未执行基金合同规定的行为，还应当说明基金托管人是否采取了适当的措施；</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12.复核、审查基金管理人计算的基金资产净值和基金份额申购、赎回价格；</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19.参加基金财产清算小组，参与基金财产的保管、清理、估价、变现和分配；</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其持有的基金份额；</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lastRenderedPageBreak/>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26" w:name="_Toc90742325"/>
      <w:bookmarkStart w:id="27" w:name="_Toc90742394"/>
      <w:r w:rsidRPr="006D01FF">
        <w:rPr>
          <w:rFonts w:hint="eastAsia"/>
          <w:sz w:val="24"/>
        </w:rPr>
        <w:t>八</w:t>
      </w:r>
      <w:bookmarkStart w:id="28" w:name="_Toc402275704"/>
      <w:bookmarkStart w:id="29" w:name="_Toc402326456"/>
      <w:r w:rsidRPr="006D01FF">
        <w:rPr>
          <w:rFonts w:hint="eastAsia"/>
          <w:sz w:val="24"/>
        </w:rPr>
        <w:t>、</w:t>
      </w:r>
      <w:r w:rsidRPr="006D01FF">
        <w:rPr>
          <w:sz w:val="24"/>
        </w:rPr>
        <w:t>基金份额持有人大会</w:t>
      </w:r>
      <w:bookmarkEnd w:id="26"/>
      <w:bookmarkEnd w:id="27"/>
      <w:bookmarkEnd w:id="28"/>
      <w:bookmarkEnd w:id="29"/>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w:t>
      </w:r>
      <w:r w:rsidR="00661171" w:rsidRPr="006D01FF">
        <w:rPr>
          <w:rFonts w:ascii="仿宋_GB2312" w:eastAsia="仿宋_GB2312" w:hint="eastAsia"/>
          <w:sz w:val="24"/>
        </w:rPr>
        <w:lastRenderedPageBreak/>
        <w:t>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(9)对基金合同当事人权利、义务产生重大影响的其他事项；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1.除法律法规或本基金合同另有约定外，基金份额持有人大会由基金管理人召集。基金管理人未按规定召集或者不能召集时，由基金托管人召集。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(1)会议召开的时间、地点和出席方式；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(5)有权出席基金份额持有人大会的基金份额持有人权益登记日；</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1.会议方式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2.召开基金份额持有人大会的条件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1)召集人按本基金合同规定公布会议通知后，在2个工作日内连续公布相关提示性公告；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意见的代理人提交的持有基金份额的凭证、授权委托证明等文件符合法律法规、基金合同和会议通知的规定，并与注册登记机构记录相符。</w:t>
      </w:r>
    </w:p>
    <w:p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w:t>
      </w:r>
      <w:r w:rsidRPr="006D01FF">
        <w:rPr>
          <w:rFonts w:ascii="仿宋_GB2312" w:eastAsia="仿宋_GB2312" w:hint="eastAsia"/>
          <w:sz w:val="24"/>
        </w:rPr>
        <w:lastRenderedPageBreak/>
        <w:t>召集基金份额持有人大会。重新召集的基金份额持有人大会应当有代表基金总份额三分之一以上（含三分之一）基金份额的持有人直接出具表决意见或授权他人代表出具表决意见。</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w:t>
      </w:r>
      <w:r w:rsidRPr="006D01FF">
        <w:rPr>
          <w:rFonts w:ascii="仿宋_GB2312" w:eastAsia="仿宋_GB2312"/>
          <w:sz w:val="24"/>
        </w:rPr>
        <w:lastRenderedPageBreak/>
        <w:t>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2.基金份额持有人大会决议分为一般决议和特别决议：</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必须以特别决议通过方为有效。</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w:t>
      </w:r>
      <w:r w:rsidRPr="006D01FF">
        <w:rPr>
          <w:rFonts w:ascii="仿宋_GB2312" w:eastAsia="仿宋_GB2312" w:hint="eastAsia"/>
          <w:sz w:val="24"/>
        </w:rPr>
        <w:lastRenderedPageBreak/>
        <w:t>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(2)监票人应当在基金份额持有人表决后立即进行清点，由大会主持人当场公布计票结果。</w:t>
      </w:r>
    </w:p>
    <w:p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rsidR="00D26817" w:rsidRPr="006D01FF" w:rsidRDefault="00D26817" w:rsidP="006B5D78">
      <w:pPr>
        <w:pStyle w:val="31"/>
        <w:rPr>
          <w:color w:val="auto"/>
          <w:szCs w:val="24"/>
        </w:rPr>
      </w:pPr>
      <w:r w:rsidRPr="006D01FF">
        <w:rPr>
          <w:rFonts w:hint="eastAsia"/>
          <w:color w:val="auto"/>
          <w:szCs w:val="24"/>
        </w:rPr>
        <w:lastRenderedPageBreak/>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rsidR="00D26817" w:rsidRPr="006D01FF" w:rsidRDefault="00D26817">
      <w:pPr>
        <w:spacing w:line="360" w:lineRule="auto"/>
        <w:rPr>
          <w:rFonts w:ascii="仿宋_GB2312" w:eastAsia="仿宋_GB2312"/>
          <w:sz w:val="24"/>
          <w:szCs w:val="18"/>
        </w:rPr>
      </w:pPr>
    </w:p>
    <w:p w:rsidR="00D26817" w:rsidRPr="006D01FF" w:rsidRDefault="00B77B8C">
      <w:pPr>
        <w:pStyle w:val="1"/>
        <w:rPr>
          <w:sz w:val="24"/>
        </w:rPr>
      </w:pPr>
      <w:bookmarkStart w:id="30" w:name="_Toc90742326"/>
      <w:bookmarkStart w:id="31" w:name="_Toc90742395"/>
      <w:bookmarkStart w:id="32" w:name="_Toc402275705"/>
      <w:bookmarkStart w:id="33" w:name="_Toc402326457"/>
      <w:r w:rsidRPr="006D01FF">
        <w:rPr>
          <w:rFonts w:hint="eastAsia"/>
          <w:sz w:val="24"/>
        </w:rPr>
        <w:t>九、</w:t>
      </w:r>
      <w:r w:rsidRPr="006D01FF">
        <w:rPr>
          <w:sz w:val="24"/>
        </w:rPr>
        <w:t>基金管理人、基金托管人的更换条件和程序</w:t>
      </w:r>
      <w:bookmarkEnd w:id="30"/>
      <w:bookmarkEnd w:id="31"/>
      <w:bookmarkEnd w:id="32"/>
      <w:bookmarkEnd w:id="33"/>
    </w:p>
    <w:p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基金管理人被依法取消基金管理资格</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(2)决议：基金份额持有人大会在原基金管理人职责终止后6个月内对被提名的新任基金管理人形成决议，新任基金管理人应当符合法律法规及中国证监会规定的资格条件；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(4)交接：原基金管理人职责终止的，应当妥善保管基金管理业务资料，及时办理基金管理业务的移交手续，新任基金管理人或临时基金管理人应当及时接收，并与基金托管人核对基金资产总值；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基金托管人的更换程序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w:t>
      </w:r>
      <w:r w:rsidRPr="006D01FF">
        <w:rPr>
          <w:rFonts w:ascii="仿宋_GB2312" w:eastAsia="仿宋_GB2312" w:hint="eastAsia"/>
          <w:sz w:val="24"/>
        </w:rPr>
        <w:lastRenderedPageBreak/>
        <w:t>费用从基金财产中列支；</w:t>
      </w:r>
    </w:p>
    <w:p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rPr>
      </w:pPr>
      <w:bookmarkStart w:id="34" w:name="_Toc90742327"/>
      <w:bookmarkStart w:id="35" w:name="_Toc90742396"/>
      <w:bookmarkStart w:id="36" w:name="_Toc402275706"/>
      <w:bookmarkStart w:id="37" w:name="_Toc402326458"/>
      <w:r w:rsidRPr="006D01FF">
        <w:rPr>
          <w:rFonts w:hint="eastAsia"/>
          <w:sz w:val="24"/>
        </w:rPr>
        <w:t>十、</w:t>
      </w:r>
      <w:r w:rsidRPr="006D01FF">
        <w:rPr>
          <w:sz w:val="24"/>
        </w:rPr>
        <w:t>基金的托管</w:t>
      </w:r>
      <w:bookmarkEnd w:id="34"/>
      <w:bookmarkEnd w:id="35"/>
      <w:bookmarkEnd w:id="36"/>
      <w:bookmarkEnd w:id="37"/>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szCs w:val="18"/>
        </w:rPr>
      </w:pPr>
      <w:bookmarkStart w:id="38" w:name="_Toc520693794"/>
      <w:bookmarkStart w:id="39" w:name="_Toc520693892"/>
      <w:bookmarkStart w:id="40" w:name="_Toc34450839"/>
      <w:bookmarkStart w:id="41" w:name="_Toc36792665"/>
      <w:bookmarkStart w:id="42" w:name="_Toc56568455"/>
      <w:bookmarkStart w:id="43" w:name="_Toc88376147"/>
      <w:bookmarkStart w:id="44" w:name="_Toc90742328"/>
      <w:bookmarkStart w:id="45" w:name="_Toc90742397"/>
      <w:bookmarkStart w:id="46" w:name="_Toc402275707"/>
      <w:bookmarkStart w:id="47" w:name="_Toc402326459"/>
      <w:r w:rsidRPr="006D01FF">
        <w:rPr>
          <w:rFonts w:hint="eastAsia"/>
          <w:sz w:val="24"/>
        </w:rPr>
        <w:t>十一、基金份额的登记</w:t>
      </w:r>
      <w:bookmarkEnd w:id="38"/>
      <w:bookmarkEnd w:id="39"/>
      <w:bookmarkEnd w:id="40"/>
      <w:bookmarkEnd w:id="41"/>
      <w:bookmarkEnd w:id="42"/>
      <w:bookmarkEnd w:id="43"/>
      <w:bookmarkEnd w:id="44"/>
      <w:bookmarkEnd w:id="45"/>
      <w:bookmarkEnd w:id="46"/>
      <w:bookmarkEnd w:id="47"/>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w:t>
      </w:r>
      <w:r w:rsidRPr="006D01FF">
        <w:rPr>
          <w:rFonts w:ascii="仿宋_GB2312" w:eastAsia="仿宋_GB2312" w:hint="eastAsia"/>
          <w:sz w:val="24"/>
        </w:rPr>
        <w:lastRenderedPageBreak/>
        <w:t>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以及法律法规规定的其他</w:t>
      </w:r>
      <w:r w:rsidRPr="006D01FF">
        <w:rPr>
          <w:rFonts w:ascii="仿宋_GB2312" w:eastAsia="仿宋_GB2312" w:hint="eastAsia"/>
          <w:sz w:val="24"/>
        </w:rPr>
        <w:t>情形除外；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rPr>
      </w:pPr>
      <w:bookmarkStart w:id="48" w:name="_Toc90742329"/>
      <w:bookmarkStart w:id="49" w:name="_Toc90742398"/>
      <w:bookmarkStart w:id="50" w:name="_Toc402275708"/>
      <w:bookmarkStart w:id="51" w:name="_Toc402326460"/>
      <w:r w:rsidRPr="006D01FF">
        <w:rPr>
          <w:rFonts w:hint="eastAsia"/>
          <w:sz w:val="24"/>
        </w:rPr>
        <w:t>十二、基金的投资</w:t>
      </w:r>
      <w:bookmarkEnd w:id="48"/>
      <w:bookmarkEnd w:id="49"/>
      <w:bookmarkEnd w:id="50"/>
      <w:bookmarkEnd w:id="51"/>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w:t>
      </w:r>
      <w:r w:rsidRPr="006D01FF">
        <w:rPr>
          <w:rFonts w:ascii="仿宋_GB2312" w:eastAsia="仿宋_GB2312" w:hint="eastAsia"/>
          <w:sz w:val="24"/>
        </w:rPr>
        <w:lastRenderedPageBreak/>
        <w:t>国消费升级蕴含的投资机会，在控制风险并保持基金资产良好的流动性的前提下，力争实现基金资产的长期稳定增值。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如果法律法规或中国证监会变更投资品种的投资比例限制，基金管理人在履行适当程序后，可以调整上述投资品种的投资比例。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w:t>
      </w:r>
      <w:r w:rsidRPr="006D01FF">
        <w:rPr>
          <w:rFonts w:ascii="仿宋_GB2312" w:eastAsia="仿宋_GB2312" w:hint="eastAsia"/>
          <w:sz w:val="24"/>
        </w:rPr>
        <w:lastRenderedPageBreak/>
        <w:t>务行业未来的发展趋势和方向，本基金对于消费服务行业范畴界定为大消费服务概念，在目前的社会和经济背景下，消费服务行业可以分类为传统的消费服务行业和新兴消费服务行业。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（3）股票选择</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财务状况指标（如</w:t>
      </w:r>
      <w:r w:rsidRPr="006D01FF">
        <w:rPr>
          <w:rFonts w:ascii="仿宋_GB2312" w:eastAsia="仿宋_GB2312"/>
          <w:sz w:val="24"/>
        </w:rPr>
        <w:t>D/A</w:t>
      </w:r>
      <w:r w:rsidRPr="006D01FF">
        <w:rPr>
          <w:rFonts w:ascii="仿宋_GB2312" w:eastAsia="仿宋_GB2312" w:hint="eastAsia"/>
          <w:sz w:val="24"/>
        </w:rPr>
        <w:t>、流动比率等）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最后，本基金根据对个股价值的评估和市场机会的判断构建股票组合，其中投资于消费服务类行业的公司股票不低于非现金基金资产的80%。</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w:t>
      </w:r>
      <w:r w:rsidRPr="006D01FF">
        <w:rPr>
          <w:rFonts w:ascii="仿宋_GB2312" w:eastAsia="仿宋_GB2312" w:hint="eastAsia"/>
          <w:sz w:val="24"/>
        </w:rPr>
        <w:lastRenderedPageBreak/>
        <w:t>位职责。此外，基金管理人建立股指期货交易决策部门或小组，并授权特定的管理人员负责股指期货的投资审批事项。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w:t>
      </w:r>
      <w:r w:rsidR="00317F91">
        <w:rPr>
          <w:rFonts w:ascii="仿宋_GB2312" w:eastAsia="仿宋_GB2312" w:hint="eastAsia"/>
          <w:sz w:val="24"/>
        </w:rPr>
        <w:t>中证综合债券指数</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w:t>
      </w:r>
      <w:r w:rsidR="00317F91">
        <w:rPr>
          <w:rFonts w:ascii="仿宋_GB2312" w:eastAsia="仿宋_GB2312" w:hint="eastAsia"/>
          <w:sz w:val="24"/>
        </w:rPr>
        <w:t>中证综合债券指数</w:t>
      </w:r>
      <w:r w:rsidRPr="006D01FF">
        <w:rPr>
          <w:rFonts w:ascii="仿宋_GB2312" w:eastAsia="仿宋_GB2312" w:hint="eastAsia"/>
          <w:sz w:val="24"/>
        </w:rPr>
        <w:t>。</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（4）投资对象的预期收益和预期风险的匹配关系，本基金将在承担适度风险的范围内，选择收益风险配比最佳的品种进行投资。</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基金经理的主要职责是在投资决策委员会确定的资产配置范围内构建和调整投资组合，并向中央交易室下达投资指令。</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t>投资决策委员会有权根据市场变化和实际情况的需要，对上述投资管理程序作出调整。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（1）股票资产占基金资产的80%-95%，其中投资于消费服务类行业的公司股</w:t>
      </w:r>
      <w:r w:rsidRPr="006D01FF">
        <w:rPr>
          <w:rFonts w:ascii="仿宋_GB2312" w:eastAsia="仿宋_GB2312" w:hint="eastAsia"/>
          <w:sz w:val="24"/>
        </w:rPr>
        <w:lastRenderedPageBreak/>
        <w:t>票不低于非现金基金资产的80%；其余资产投资于债券、中期票据、货币市场工具、权证、资产支持证券、股指期货以及法律法规或中国证监会允许基金投资的其他证券品种；</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（5）本基金持有的全部权证，其市值不得超过基金资产净值的3%；</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（6）本基金管理人管理的全部基金持有的同一权证，不得超过该权证的   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（7）本基金在任何交易日买入权证的总金额，不得超过上一交易日基金资产净值的0.5%；</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（8）本基金投资于同一原始权益人的各类资产支持证券的比例，不得超过基金资产净值的10%；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（9）本基金持有的全部资产支持证券，其市值不得超过基金资产净值的20%；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（10）本基金持有的同一(指同一信用级别)资产支持证券的比例，不得超过该资产支持证券规模的10%；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（11）本基金管理人管理的全部基金投资于同一原始权益人的各类资产支持证券，不得超过其各类资产支持证券合计规模的10%；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（13）基金财产参与股票发行申购，本基金所申报的金额不超过本基金的总资产，本基金所申报的股票数量不超过拟发行股票公司本次发行股票的总量；</w:t>
      </w:r>
    </w:p>
    <w:p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（14）基金总资产不超过基金净资产的140%；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（15）本基金在任何交易日日终，持有的买入股指期货合约价值，不得超过基金资产净值的10%；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（16）本基金在任何交易日日终，持有的买入期货合约价值与有价证券市值之和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（17）本基金在任何交易日日终，持有的卖出期货合约价值不得超过基金持有的股票总市值的20%；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（18）本基金所持有的股票市值和买入、卖出股指期货合约价值，合计（轧差计算）应当符合基金合同关于股票投资比例的有关约定，即占基金资产的80%-95%；</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（19）本基金在任何交易日内交易（不包括平仓）的股指期货合约的成交金额不得超过上一交易日基金资产净值的20%；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（20）法律法规及中国证监会规定的和基金合同约定的其他投资限制。</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因证券</w:t>
      </w:r>
      <w:r w:rsidR="00E46C2E" w:rsidRPr="006D01FF">
        <w:rPr>
          <w:rFonts w:ascii="仿宋_GB2312" w:eastAsia="仿宋_GB2312" w:hint="eastAsia"/>
          <w:sz w:val="24"/>
        </w:rPr>
        <w:t>/</w:t>
      </w:r>
      <w:r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Pr="006D01FF">
        <w:rPr>
          <w:rFonts w:ascii="仿宋_GB2312" w:eastAsia="仿宋_GB2312" w:hint="eastAsia"/>
          <w:sz w:val="24"/>
        </w:rPr>
        <w:t>。法律法规另有规定的，从其规定。</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为维护基金份额持有人的合法权益，基金财产不得用于下列投资或者活动：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rsidR="00D26817" w:rsidRPr="006D01FF" w:rsidRDefault="001529F2">
      <w:pPr>
        <w:spacing w:line="360" w:lineRule="auto"/>
        <w:ind w:firstLineChars="200" w:firstLine="480"/>
        <w:rPr>
          <w:rFonts w:ascii="仿宋_GB2312" w:eastAsia="仿宋_GB2312"/>
          <w:sz w:val="24"/>
        </w:rPr>
      </w:pPr>
      <w:bookmarkStart w:id="52"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1.基金管理人按照国家有关规定代表基金独立行使股东和债权人权利，保护基金份额持有人的利益；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2"/>
      <w:r w:rsidRPr="006D01FF">
        <w:rPr>
          <w:rFonts w:ascii="仿宋_GB2312" w:eastAsia="仿宋_GB2312" w:hint="eastAsia"/>
          <w:sz w:val="24"/>
        </w:rPr>
        <w:t>融券</w:t>
      </w:r>
    </w:p>
    <w:p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3" w:name="_Toc79392634"/>
    </w:p>
    <w:p w:rsidR="00AD1539" w:rsidRPr="006D01FF" w:rsidRDefault="00AD1539">
      <w:pPr>
        <w:spacing w:line="360" w:lineRule="auto"/>
        <w:ind w:firstLineChars="200" w:firstLine="480"/>
        <w:rPr>
          <w:rFonts w:ascii="仿宋_GB2312" w:eastAsia="仿宋_GB2312"/>
          <w:sz w:val="24"/>
        </w:rPr>
      </w:pPr>
    </w:p>
    <w:p w:rsidR="00D26817" w:rsidRPr="006D01FF" w:rsidRDefault="00D26817">
      <w:pPr>
        <w:pStyle w:val="1"/>
        <w:rPr>
          <w:sz w:val="24"/>
        </w:rPr>
      </w:pPr>
      <w:bookmarkStart w:id="54" w:name="_Toc90742330"/>
      <w:bookmarkStart w:id="55" w:name="_Toc90742399"/>
      <w:bookmarkStart w:id="56" w:name="_Toc402275709"/>
      <w:bookmarkStart w:id="57" w:name="_Toc402326461"/>
      <w:bookmarkEnd w:id="53"/>
      <w:r w:rsidRPr="006D01FF">
        <w:rPr>
          <w:rFonts w:hint="eastAsia"/>
          <w:sz w:val="24"/>
        </w:rPr>
        <w:t>十三、</w:t>
      </w:r>
      <w:r w:rsidRPr="006D01FF">
        <w:rPr>
          <w:sz w:val="24"/>
        </w:rPr>
        <w:t>基金的财产</w:t>
      </w:r>
      <w:bookmarkEnd w:id="54"/>
      <w:bookmarkEnd w:id="55"/>
      <w:bookmarkEnd w:id="56"/>
      <w:bookmarkEnd w:id="57"/>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rsidR="00D26817" w:rsidRPr="006D01FF" w:rsidRDefault="00D26817">
      <w:pPr>
        <w:spacing w:line="360" w:lineRule="auto"/>
        <w:ind w:firstLineChars="200" w:firstLine="480"/>
        <w:rPr>
          <w:rFonts w:ascii="仿宋_GB2312" w:eastAsia="仿宋_GB2312"/>
          <w:sz w:val="24"/>
        </w:rPr>
      </w:pPr>
      <w:bookmarkStart w:id="58" w:name="_Toc79392635"/>
      <w:bookmarkStart w:id="59"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58"/>
      <w:bookmarkEnd w:id="59"/>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rsidR="003B0F4E" w:rsidRPr="006D01FF" w:rsidRDefault="003B0F4E">
      <w:pPr>
        <w:spacing w:line="360" w:lineRule="auto"/>
        <w:ind w:firstLineChars="200" w:firstLine="480"/>
        <w:rPr>
          <w:rFonts w:ascii="仿宋_GB2312" w:eastAsia="仿宋_GB2312"/>
          <w:sz w:val="24"/>
        </w:rPr>
      </w:pPr>
    </w:p>
    <w:p w:rsidR="00D26817" w:rsidRPr="006D01FF" w:rsidRDefault="00D26817">
      <w:pPr>
        <w:pStyle w:val="1"/>
        <w:rPr>
          <w:sz w:val="24"/>
        </w:rPr>
      </w:pPr>
      <w:bookmarkStart w:id="60" w:name="_Toc90742331"/>
      <w:bookmarkStart w:id="61" w:name="_Toc90742400"/>
      <w:bookmarkStart w:id="62" w:name="_Toc402275710"/>
      <w:bookmarkStart w:id="63" w:name="_Toc402326462"/>
      <w:r w:rsidRPr="006D01FF">
        <w:rPr>
          <w:rFonts w:hint="eastAsia"/>
          <w:sz w:val="24"/>
        </w:rPr>
        <w:t>十四、</w:t>
      </w:r>
      <w:r w:rsidRPr="006D01FF">
        <w:rPr>
          <w:sz w:val="24"/>
        </w:rPr>
        <w:t>基金资产的估值</w:t>
      </w:r>
      <w:bookmarkEnd w:id="60"/>
      <w:bookmarkEnd w:id="61"/>
      <w:bookmarkEnd w:id="62"/>
      <w:bookmarkEnd w:id="63"/>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w:t>
      </w:r>
      <w:r w:rsidRPr="006D01FF">
        <w:rPr>
          <w:rFonts w:ascii="仿宋_GB2312" w:eastAsia="仿宋_GB2312" w:hint="eastAsia"/>
          <w:sz w:val="24"/>
        </w:rPr>
        <w:lastRenderedPageBreak/>
        <w:t>素，调整最近交易市价，确定公允价格。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7</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t>其它投资等资产</w:t>
      </w:r>
      <w:r w:rsidRPr="006D01FF">
        <w:rPr>
          <w:rFonts w:ascii="仿宋_GB2312" w:eastAsia="仿宋_GB2312" w:hint="eastAsia"/>
          <w:sz w:val="24"/>
        </w:rPr>
        <w:t>和负债</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w:t>
      </w:r>
      <w:r w:rsidRPr="006D01FF">
        <w:rPr>
          <w:rFonts w:ascii="仿宋_GB2312" w:eastAsia="仿宋_GB2312" w:hint="eastAsia"/>
          <w:sz w:val="24"/>
        </w:rPr>
        <w:lastRenderedPageBreak/>
        <w:t>的责任人应当对由于该差错遭受损失当事人(“受损方”)的直接损失按下述“差错处理原则”给予赔偿。</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w:t>
      </w:r>
      <w:r w:rsidRPr="006D01FF">
        <w:rPr>
          <w:rFonts w:ascii="仿宋_GB2312" w:eastAsia="仿宋_GB2312" w:hint="eastAsia"/>
          <w:sz w:val="24"/>
        </w:rPr>
        <w:lastRenderedPageBreak/>
        <w:t>责向差错方追偿；追偿过程中产生的有关费用，应列入基金费用，从基金资产中支付。</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(2)根据差错处理原则或当事人协商的方法对因差错造成的损失进行评估；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因不可抗力或其它情形致使基金管理人、基金托管人无法准确评估基金资产价值时；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中国证监会和基金合同认定的其它情形。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w:t>
      </w:r>
      <w:r w:rsidRPr="006D01FF">
        <w:rPr>
          <w:rFonts w:ascii="仿宋_GB2312" w:eastAsia="仿宋_GB2312"/>
          <w:sz w:val="24"/>
        </w:rPr>
        <w:t>特殊情况的处理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9B17BD" w:rsidRPr="006D01FF" w:rsidRDefault="009B17BD">
      <w:pPr>
        <w:spacing w:line="360" w:lineRule="auto"/>
        <w:rPr>
          <w:rFonts w:ascii="仿宋_GB2312" w:eastAsia="仿宋_GB2312"/>
          <w:sz w:val="24"/>
        </w:rPr>
      </w:pPr>
    </w:p>
    <w:p w:rsidR="00D26817" w:rsidRPr="006D01FF" w:rsidRDefault="00D26817">
      <w:pPr>
        <w:pStyle w:val="1"/>
        <w:rPr>
          <w:sz w:val="24"/>
        </w:rPr>
      </w:pPr>
      <w:bookmarkStart w:id="64" w:name="_Toc90742332"/>
      <w:bookmarkStart w:id="65" w:name="_Toc90742401"/>
      <w:bookmarkStart w:id="66" w:name="_Toc402275711"/>
      <w:bookmarkStart w:id="67" w:name="_Toc402326463"/>
      <w:r w:rsidRPr="006D01FF">
        <w:rPr>
          <w:rFonts w:hint="eastAsia"/>
          <w:sz w:val="24"/>
        </w:rPr>
        <w:t>十五、</w:t>
      </w:r>
      <w:r w:rsidRPr="006D01FF">
        <w:rPr>
          <w:sz w:val="24"/>
        </w:rPr>
        <w:t>基金的费用与税收</w:t>
      </w:r>
      <w:bookmarkEnd w:id="64"/>
      <w:bookmarkEnd w:id="65"/>
      <w:bookmarkEnd w:id="66"/>
      <w:bookmarkEnd w:id="67"/>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.基金份额持有人大会费用；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t>1.5</w:t>
      </w:r>
      <w:r w:rsidR="00D26817" w:rsidRPr="006D01FF">
        <w:rPr>
          <w:rFonts w:ascii="仿宋_GB2312" w:eastAsia="仿宋_GB2312" w:hint="eastAsia"/>
          <w:sz w:val="24"/>
        </w:rPr>
        <w:t>%年费率计提。计算方法如下：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25</w:t>
      </w:r>
      <w:r w:rsidR="00D26817" w:rsidRPr="006D01FF">
        <w:rPr>
          <w:rFonts w:ascii="仿宋_GB2312" w:eastAsia="仿宋_GB2312" w:hint="eastAsia"/>
          <w:sz w:val="24"/>
        </w:rPr>
        <w:t>%年费率计提。计算方法如下：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rsidR="00D26817" w:rsidRPr="006D01FF" w:rsidRDefault="00D26817" w:rsidP="009C5C95">
      <w:pPr>
        <w:spacing w:line="360" w:lineRule="auto"/>
        <w:ind w:firstLineChars="200" w:firstLine="480"/>
        <w:rPr>
          <w:rFonts w:ascii="仿宋_GB2312" w:eastAsia="仿宋_GB2312"/>
          <w:sz w:val="24"/>
        </w:rPr>
      </w:pPr>
      <w:bookmarkStart w:id="68" w:name="_Hlt88827255"/>
      <w:bookmarkEnd w:id="68"/>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上刊登公告。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69" w:name="_Toc90742333"/>
      <w:bookmarkStart w:id="70" w:name="_Toc90742402"/>
      <w:bookmarkStart w:id="71" w:name="_Toc402275712"/>
      <w:bookmarkStart w:id="72" w:name="_Toc402326464"/>
      <w:r w:rsidRPr="006D01FF">
        <w:rPr>
          <w:rFonts w:hint="eastAsia"/>
          <w:sz w:val="24"/>
        </w:rPr>
        <w:t>十六、</w:t>
      </w:r>
      <w:r w:rsidRPr="006D01FF">
        <w:rPr>
          <w:sz w:val="24"/>
        </w:rPr>
        <w:t>基金的收益与分配</w:t>
      </w:r>
      <w:bookmarkEnd w:id="69"/>
      <w:bookmarkEnd w:id="70"/>
      <w:bookmarkEnd w:id="71"/>
      <w:bookmarkEnd w:id="72"/>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收益分配方案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上公告并</w:t>
      </w:r>
      <w:r w:rsidRPr="006D01FF">
        <w:rPr>
          <w:rFonts w:ascii="仿宋_GB2312" w:eastAsia="仿宋_GB2312"/>
          <w:sz w:val="24"/>
        </w:rPr>
        <w:t>报中国证监会备案；</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rsidR="003B1CEC" w:rsidRPr="006D01FF" w:rsidRDefault="003B1CEC" w:rsidP="003B1CEC">
      <w:pPr>
        <w:spacing w:line="360" w:lineRule="auto"/>
        <w:rPr>
          <w:rFonts w:ascii="仿宋_GB2312" w:eastAsia="仿宋_GB2312"/>
          <w:sz w:val="24"/>
        </w:rPr>
      </w:pPr>
    </w:p>
    <w:p w:rsidR="00D26817" w:rsidRPr="006D01FF" w:rsidRDefault="00D26817">
      <w:pPr>
        <w:pStyle w:val="1"/>
        <w:rPr>
          <w:sz w:val="24"/>
        </w:rPr>
      </w:pPr>
      <w:bookmarkStart w:id="73" w:name="_Toc90742334"/>
      <w:bookmarkStart w:id="74" w:name="_Toc90742403"/>
      <w:bookmarkStart w:id="75" w:name="_Toc402275713"/>
      <w:bookmarkStart w:id="76" w:name="_Toc402326465"/>
      <w:r w:rsidRPr="006D01FF">
        <w:rPr>
          <w:rFonts w:hint="eastAsia"/>
          <w:sz w:val="24"/>
        </w:rPr>
        <w:t>十七、基金的会计和审计</w:t>
      </w:r>
      <w:bookmarkEnd w:id="73"/>
      <w:bookmarkEnd w:id="74"/>
      <w:bookmarkEnd w:id="75"/>
      <w:bookmarkEnd w:id="76"/>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5.本基金独立建账、独立核算；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w:t>
      </w:r>
      <w:r w:rsidRPr="006D01FF">
        <w:rPr>
          <w:rFonts w:ascii="仿宋_GB2312" w:eastAsia="仿宋_GB2312" w:hint="eastAsia"/>
          <w:sz w:val="24"/>
        </w:rPr>
        <w:lastRenderedPageBreak/>
        <w:t>书面确认。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w:t>
      </w:r>
      <w:r w:rsidRPr="006D01FF">
        <w:rPr>
          <w:rFonts w:ascii="仿宋_GB2312" w:eastAsia="仿宋_GB2312"/>
          <w:sz w:val="24"/>
        </w:rPr>
        <w:t>并</w:t>
      </w:r>
      <w:r w:rsidRPr="006D01FF">
        <w:rPr>
          <w:rFonts w:ascii="仿宋_GB2312" w:eastAsia="仿宋_GB2312" w:hint="eastAsia"/>
          <w:sz w:val="24"/>
        </w:rPr>
        <w:t>报中国证监会备案后可以更换。就更换会计师事务所，基金管理人应当依照《信息披露办法》的有关规定在指定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rsidP="002800EB">
      <w:pPr>
        <w:spacing w:line="360" w:lineRule="auto"/>
        <w:ind w:firstLineChars="200" w:firstLine="480"/>
        <w:rPr>
          <w:rFonts w:ascii="仿宋_GB2312" w:eastAsia="仿宋_GB2312"/>
          <w:sz w:val="24"/>
        </w:rPr>
      </w:pPr>
    </w:p>
    <w:p w:rsidR="00D26817" w:rsidRPr="006D01FF" w:rsidRDefault="00D26817">
      <w:pPr>
        <w:pStyle w:val="1"/>
        <w:rPr>
          <w:sz w:val="24"/>
        </w:rPr>
      </w:pPr>
      <w:bookmarkStart w:id="77" w:name="_Toc90742335"/>
      <w:bookmarkStart w:id="78" w:name="_Toc90742404"/>
      <w:r w:rsidRPr="006D01FF">
        <w:rPr>
          <w:rFonts w:hint="eastAsia"/>
          <w:sz w:val="24"/>
        </w:rPr>
        <w:t>十八</w:t>
      </w:r>
      <w:bookmarkStart w:id="79" w:name="_Toc402275714"/>
      <w:bookmarkStart w:id="80" w:name="_Toc402326466"/>
      <w:r w:rsidRPr="006D01FF">
        <w:rPr>
          <w:rFonts w:hint="eastAsia"/>
          <w:sz w:val="24"/>
        </w:rPr>
        <w:t>、</w:t>
      </w:r>
      <w:r w:rsidRPr="006D01FF">
        <w:rPr>
          <w:sz w:val="24"/>
        </w:rPr>
        <w:t>基金的信息披露</w:t>
      </w:r>
      <w:bookmarkEnd w:id="77"/>
      <w:bookmarkEnd w:id="78"/>
      <w:bookmarkEnd w:id="79"/>
      <w:bookmarkEnd w:id="80"/>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基金管理人、基金托管人和其他基金信息披露义务人应当依法披露基金信息，并保证所披露信息的真实性、准确性和完整性。</w:t>
      </w:r>
    </w:p>
    <w:p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本基金信息披露义务人包括基金管理人、基金托管人、召集基金份额持有人大会的基金份额持有人等法律法规和中国证监会规定的自然人、法人和其他组织。</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基金管理人、基金托管人</w:t>
      </w:r>
      <w:r w:rsidRPr="006D01FF">
        <w:rPr>
          <w:rFonts w:ascii="仿宋_GB2312" w:eastAsia="仿宋_GB2312" w:hint="eastAsia"/>
          <w:sz w:val="24"/>
        </w:rPr>
        <w:t>和其他基金信息披露义务人</w:t>
      </w:r>
      <w:r w:rsidRPr="006D01FF">
        <w:rPr>
          <w:rFonts w:ascii="仿宋_GB2312" w:eastAsia="仿宋_GB2312"/>
          <w:sz w:val="24"/>
        </w:rPr>
        <w:t>应按规定将</w:t>
      </w:r>
      <w:r w:rsidRPr="006D01FF">
        <w:rPr>
          <w:rFonts w:ascii="仿宋_GB2312" w:eastAsia="仿宋_GB2312" w:hint="eastAsia"/>
          <w:sz w:val="24"/>
        </w:rPr>
        <w:t>应予披露的</w:t>
      </w:r>
      <w:r w:rsidRPr="006D01FF">
        <w:rPr>
          <w:rFonts w:ascii="仿宋_GB2312" w:eastAsia="仿宋_GB2312"/>
          <w:sz w:val="24"/>
        </w:rPr>
        <w:t>基金信息披露事项在规定时间内通过中国证监会指定</w:t>
      </w:r>
      <w:r w:rsidR="00624106" w:rsidRPr="006D01FF">
        <w:rPr>
          <w:rFonts w:ascii="仿宋_GB2312" w:eastAsia="仿宋_GB2312" w:hint="eastAsia"/>
          <w:sz w:val="24"/>
        </w:rPr>
        <w:t>的</w:t>
      </w:r>
      <w:r w:rsidRPr="006D01FF">
        <w:rPr>
          <w:rFonts w:ascii="仿宋_GB2312" w:eastAsia="仿宋_GB2312"/>
          <w:sz w:val="24"/>
        </w:rPr>
        <w:t>媒介</w:t>
      </w:r>
      <w:r w:rsidR="00624106" w:rsidRPr="006D01FF">
        <w:rPr>
          <w:rFonts w:ascii="仿宋_GB2312" w:eastAsia="仿宋_GB2312" w:hint="eastAsia"/>
          <w:sz w:val="24"/>
        </w:rPr>
        <w:t>(以下简称“指定媒介”)</w:t>
      </w:r>
      <w:r w:rsidRPr="006D01FF">
        <w:rPr>
          <w:rFonts w:ascii="仿宋_GB2312" w:eastAsia="仿宋_GB2312"/>
          <w:sz w:val="24"/>
        </w:rPr>
        <w:t>披露。</w:t>
      </w:r>
    </w:p>
    <w:p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本基金信息披露义务人承诺公开披露的基金信息，不得有下列行为：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5.登载任何自然人、法人或者其他组织的祝贺性、恭维性或推荐性的文字；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本基金公开披露的信息应采用中文文本。如同时采用外文文本的，基金信息披露义务人应保证两种文本的内容一致。两种文本发生歧义的，以中文文本为准。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sz w:val="24"/>
        </w:rPr>
        <w:t>招募说明书是基金向社会公开</w:t>
      </w:r>
      <w:r w:rsidR="00BE4019" w:rsidRPr="006D01FF">
        <w:rPr>
          <w:rFonts w:ascii="仿宋_GB2312" w:eastAsia="仿宋_GB2312" w:hint="eastAsia"/>
          <w:sz w:val="24"/>
        </w:rPr>
        <w:t>销</w:t>
      </w:r>
      <w:r w:rsidRPr="006D01FF">
        <w:rPr>
          <w:rFonts w:ascii="仿宋_GB2312" w:eastAsia="仿宋_GB2312"/>
          <w:sz w:val="24"/>
        </w:rPr>
        <w:t>售时对基金情况进行说明的法律文件。</w:t>
      </w:r>
    </w:p>
    <w:p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Pr="006D01FF">
        <w:rPr>
          <w:rFonts w:ascii="仿宋_GB2312" w:eastAsia="仿宋_GB2312" w:hint="eastAsia"/>
          <w:sz w:val="24"/>
        </w:rPr>
        <w:t>本基金的</w:t>
      </w:r>
      <w:r w:rsidR="00D26817" w:rsidRPr="006D01FF">
        <w:rPr>
          <w:rFonts w:ascii="仿宋_GB2312" w:eastAsia="仿宋_GB2312"/>
          <w:sz w:val="24"/>
        </w:rPr>
        <w:t>基金合同生效后，基金管理人应当在每6个月结束之日起45日内，更新招募说明书并登载在网站上，将更新的招募说明书摘要登载在指定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上。基金管理人将在公告的15日前向中国证监会报送更新的招募说明书，并就有关更新内容提供书面说明。更新后的招募说明书公告内容的截止日为每6个月的最后</w:t>
      </w:r>
      <w:r w:rsidR="00D26817" w:rsidRPr="006D01FF">
        <w:rPr>
          <w:rFonts w:ascii="仿宋_GB2312" w:eastAsia="仿宋_GB2312" w:hint="eastAsia"/>
          <w:sz w:val="24"/>
        </w:rPr>
        <w:t>1</w:t>
      </w:r>
      <w:r w:rsidR="00D26817" w:rsidRPr="006D01FF">
        <w:rPr>
          <w:rFonts w:ascii="仿宋_GB2312" w:eastAsia="仿宋_GB2312"/>
          <w:sz w:val="24"/>
        </w:rPr>
        <w:t>日。</w:t>
      </w:r>
    </w:p>
    <w:p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rsidR="00D26817"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(三)基金资产净值</w:t>
      </w:r>
      <w:r w:rsidRPr="006D01FF">
        <w:rPr>
          <w:rFonts w:ascii="仿宋_GB2312" w:eastAsia="仿宋_GB2312" w:hint="eastAsia"/>
          <w:sz w:val="24"/>
        </w:rPr>
        <w:t>公告</w:t>
      </w:r>
      <w:r w:rsidRPr="006D01FF">
        <w:rPr>
          <w:rFonts w:ascii="仿宋_GB2312" w:eastAsia="仿宋_GB2312"/>
          <w:sz w:val="24"/>
        </w:rPr>
        <w:t>、基金份额净值公告、基金份额累计净值公告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基金合同生效</w:t>
      </w:r>
      <w:r w:rsidR="00C7645D" w:rsidRPr="006D01FF">
        <w:rPr>
          <w:rFonts w:ascii="仿宋_GB2312" w:eastAsia="仿宋_GB2312" w:hint="eastAsia"/>
          <w:sz w:val="24"/>
        </w:rPr>
        <w:t>日</w:t>
      </w:r>
      <w:r w:rsidRPr="006D01FF">
        <w:rPr>
          <w:rFonts w:ascii="仿宋_GB2312" w:eastAsia="仿宋_GB2312"/>
          <w:sz w:val="24"/>
        </w:rPr>
        <w:t>后，在开始办理基金份额申购或者赎回前，基金管理人将至少每周公告一次基金资产净值和基金份额净值；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在开始办理基金份额申购或者赎回</w:t>
      </w:r>
      <w:r w:rsidRPr="006D01FF">
        <w:rPr>
          <w:rFonts w:ascii="仿宋_GB2312" w:eastAsia="仿宋_GB2312" w:hint="eastAsia"/>
          <w:sz w:val="24"/>
        </w:rPr>
        <w:t>后</w:t>
      </w:r>
      <w:r w:rsidRPr="006D01FF">
        <w:rPr>
          <w:rFonts w:ascii="仿宋_GB2312" w:eastAsia="仿宋_GB2312"/>
          <w:sz w:val="24"/>
        </w:rPr>
        <w:t>，基金管理人将在每个开放日的次日，通过网站、基金份额</w:t>
      </w:r>
      <w:r w:rsidR="00DE7991" w:rsidRPr="006D01FF">
        <w:rPr>
          <w:rFonts w:ascii="仿宋_GB2312" w:eastAsia="仿宋_GB2312" w:hint="eastAsia"/>
          <w:sz w:val="24"/>
        </w:rPr>
        <w:t>销售</w:t>
      </w:r>
      <w:r w:rsidRPr="006D01FF">
        <w:rPr>
          <w:rFonts w:ascii="仿宋_GB2312" w:eastAsia="仿宋_GB2312"/>
          <w:sz w:val="24"/>
        </w:rPr>
        <w:t>网点以及其他媒介，披露开放日的基金份额净值和基金份额累计净值；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基金管理人将公告半年度和年度最后一个市场交易日</w:t>
      </w:r>
      <w:r w:rsidRPr="006D01FF">
        <w:rPr>
          <w:rFonts w:ascii="仿宋_GB2312" w:eastAsia="仿宋_GB2312" w:hint="eastAsia"/>
          <w:sz w:val="24"/>
        </w:rPr>
        <w:t>（或自然日）</w:t>
      </w:r>
      <w:r w:rsidRPr="006D01FF">
        <w:rPr>
          <w:rFonts w:ascii="仿宋_GB2312" w:eastAsia="仿宋_GB2312"/>
          <w:sz w:val="24"/>
        </w:rPr>
        <w:t>基金资产净值和基金份额净值。</w:t>
      </w:r>
      <w:r w:rsidRPr="006D01FF">
        <w:rPr>
          <w:rFonts w:ascii="仿宋_GB2312" w:eastAsia="仿宋_GB2312" w:hint="eastAsia"/>
          <w:sz w:val="24"/>
        </w:rPr>
        <w:t>基金管理人应当在上述市场交易日（或自然日）的次日，</w:t>
      </w:r>
      <w:r w:rsidRPr="006D01FF">
        <w:rPr>
          <w:rFonts w:ascii="仿宋_GB2312" w:eastAsia="仿宋_GB2312" w:hint="eastAsia"/>
          <w:sz w:val="24"/>
        </w:rPr>
        <w:lastRenderedPageBreak/>
        <w:t>将基金资产净值、基金份额净值和基金份额累计净值登载在指定</w:t>
      </w:r>
      <w:r w:rsidR="00452031" w:rsidRPr="006D01FF">
        <w:rPr>
          <w:rFonts w:ascii="仿宋_GB2312" w:eastAsia="仿宋_GB2312" w:hint="eastAsia"/>
          <w:sz w:val="24"/>
        </w:rPr>
        <w:t>媒介</w:t>
      </w:r>
      <w:r w:rsidRPr="006D01FF">
        <w:rPr>
          <w:rFonts w:ascii="仿宋_GB2312" w:eastAsia="仿宋_GB2312" w:hint="eastAsia"/>
          <w:sz w:val="24"/>
        </w:rPr>
        <w:t>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四</w:t>
      </w:r>
      <w:r w:rsidRPr="006D01FF">
        <w:rPr>
          <w:rFonts w:ascii="仿宋_GB2312" w:eastAsia="仿宋_GB2312"/>
          <w:sz w:val="24"/>
        </w:rPr>
        <w:t>)基金份额申购、赎回价格公告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基金管理人应当在本基金的基金合同、招募说明书等信息披露文件上载明基金份额申购、赎回价格的计算方式及有关申购、赎回费率，并保证投资人能够在基金份额</w:t>
      </w:r>
      <w:r w:rsidR="00DE7991" w:rsidRPr="006D01FF">
        <w:rPr>
          <w:rFonts w:ascii="仿宋_GB2312" w:eastAsia="仿宋_GB2312" w:hint="eastAsia"/>
          <w:sz w:val="24"/>
        </w:rPr>
        <w:t>销售</w:t>
      </w:r>
      <w:r w:rsidRPr="006D01FF">
        <w:rPr>
          <w:rFonts w:ascii="仿宋_GB2312" w:eastAsia="仿宋_GB2312"/>
          <w:sz w:val="24"/>
        </w:rPr>
        <w:t>网点查阅或者复制前述信息资料。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五</w:t>
      </w:r>
      <w:r w:rsidRPr="006D01FF">
        <w:rPr>
          <w:rFonts w:ascii="仿宋_GB2312" w:eastAsia="仿宋_GB2312"/>
          <w:sz w:val="24"/>
        </w:rPr>
        <w:t>)基金年度报告、基金半年度报告、基金季度报告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基金管理人应当在每年结束之日起</w:t>
      </w:r>
      <w:r w:rsidRPr="006D01FF">
        <w:rPr>
          <w:rFonts w:ascii="仿宋_GB2312" w:eastAsia="仿宋_GB2312" w:hint="eastAsia"/>
          <w:sz w:val="24"/>
        </w:rPr>
        <w:t>90</w:t>
      </w:r>
      <w:r w:rsidRPr="006D01FF">
        <w:rPr>
          <w:rFonts w:ascii="仿宋_GB2312" w:eastAsia="仿宋_GB2312"/>
          <w:sz w:val="24"/>
        </w:rPr>
        <w:t>日内，编制完成基金年度报告，并将年度报告正文登载于网站上，将年度报告摘要登载在指定</w:t>
      </w:r>
      <w:r w:rsidR="0050074A" w:rsidRPr="006D01FF">
        <w:rPr>
          <w:rFonts w:ascii="仿宋_GB2312" w:eastAsia="仿宋_GB2312" w:hint="eastAsia"/>
          <w:sz w:val="24"/>
        </w:rPr>
        <w:t>媒介</w:t>
      </w:r>
      <w:r w:rsidRPr="006D01FF">
        <w:rPr>
          <w:rFonts w:ascii="仿宋_GB2312" w:eastAsia="仿宋_GB2312"/>
          <w:sz w:val="24"/>
        </w:rPr>
        <w:t>上。基金年度报告需经具有从事证券相关业务资格的会计师事务所审计后，方可披露；</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基金管理人应当在上半年结束之日起</w:t>
      </w:r>
      <w:r w:rsidRPr="006D01FF">
        <w:rPr>
          <w:rFonts w:ascii="仿宋_GB2312" w:eastAsia="仿宋_GB2312" w:hint="eastAsia"/>
          <w:sz w:val="24"/>
        </w:rPr>
        <w:t>60</w:t>
      </w:r>
      <w:r w:rsidRPr="006D01FF">
        <w:rPr>
          <w:rFonts w:ascii="仿宋_GB2312" w:eastAsia="仿宋_GB2312"/>
          <w:sz w:val="24"/>
        </w:rPr>
        <w:t>日内，编制完成基金半年度报告，并将半年度报告正文登载在网站上，将半年度报告摘要登载在指定</w:t>
      </w:r>
      <w:r w:rsidR="0050074A" w:rsidRPr="006D01FF">
        <w:rPr>
          <w:rFonts w:ascii="仿宋_GB2312" w:eastAsia="仿宋_GB2312" w:hint="eastAsia"/>
          <w:sz w:val="24"/>
        </w:rPr>
        <w:t>媒介</w:t>
      </w:r>
      <w:r w:rsidRPr="006D01FF">
        <w:rPr>
          <w:rFonts w:ascii="仿宋_GB2312" w:eastAsia="仿宋_GB2312"/>
          <w:sz w:val="24"/>
        </w:rPr>
        <w:t>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基金管理人应当在每个季度结束之日起</w:t>
      </w:r>
      <w:r w:rsidRPr="006D01FF">
        <w:rPr>
          <w:rFonts w:ascii="仿宋_GB2312" w:eastAsia="仿宋_GB2312" w:hint="eastAsia"/>
          <w:sz w:val="24"/>
        </w:rPr>
        <w:t>15</w:t>
      </w:r>
      <w:r w:rsidRPr="006D01FF">
        <w:rPr>
          <w:rFonts w:ascii="仿宋_GB2312" w:eastAsia="仿宋_GB2312"/>
          <w:sz w:val="24"/>
        </w:rPr>
        <w:t>个工作日内，编制完成基金季度报告，并将季度报告登载在指定</w:t>
      </w:r>
      <w:r w:rsidR="0050074A" w:rsidRPr="006D01FF">
        <w:rPr>
          <w:rFonts w:ascii="仿宋_GB2312" w:eastAsia="仿宋_GB2312" w:hint="eastAsia"/>
          <w:sz w:val="24"/>
        </w:rPr>
        <w:t>媒介</w:t>
      </w:r>
      <w:r w:rsidRPr="006D01FF">
        <w:rPr>
          <w:rFonts w:ascii="仿宋_GB2312" w:eastAsia="仿宋_GB2312"/>
          <w:sz w:val="24"/>
        </w:rPr>
        <w:t>上</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4.基金合同生效不足2个月的，本基金管理人可以不编制当期季度报告、半年度报告或者年度报告</w:t>
      </w:r>
      <w:r w:rsidR="00527C3D"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5.基金定期报告应当按有关规定分别报中国证监会和基金管理人主要办公场所所在地中国证监会派出机构备案。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57642C" w:rsidRPr="006D01FF">
        <w:rPr>
          <w:rFonts w:ascii="仿宋_GB2312" w:eastAsia="仿宋_GB2312" w:hint="eastAsia"/>
          <w:sz w:val="24"/>
        </w:rPr>
        <w:t>六</w:t>
      </w:r>
      <w:r w:rsidRPr="006D01FF">
        <w:rPr>
          <w:rFonts w:ascii="仿宋_GB2312" w:eastAsia="仿宋_GB2312"/>
          <w:sz w:val="24"/>
        </w:rPr>
        <w:t>)临时报告与公告</w:t>
      </w:r>
    </w:p>
    <w:p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基金份额持有人大会的召开</w:t>
      </w:r>
      <w:r w:rsidRPr="006D01FF">
        <w:rPr>
          <w:rFonts w:ascii="仿宋_GB2312" w:eastAsia="仿宋_GB2312" w:hint="eastAsia"/>
          <w:sz w:val="24"/>
        </w:rPr>
        <w:t>及决议</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终止基金合同；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转换基金运作方式；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w:t>
      </w:r>
      <w:r w:rsidRPr="006D01FF">
        <w:rPr>
          <w:rFonts w:ascii="仿宋_GB2312" w:eastAsia="仿宋_GB2312" w:hint="eastAsia"/>
          <w:sz w:val="24"/>
        </w:rPr>
        <w:t>.</w:t>
      </w:r>
      <w:r w:rsidRPr="006D01FF">
        <w:rPr>
          <w:rFonts w:ascii="仿宋_GB2312" w:eastAsia="仿宋_GB2312"/>
          <w:sz w:val="24"/>
        </w:rPr>
        <w:t>更换基金管理人、基金托管人；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w:t>
      </w:r>
      <w:r w:rsidRPr="006D01FF">
        <w:rPr>
          <w:rFonts w:ascii="仿宋_GB2312" w:eastAsia="仿宋_GB2312" w:hint="eastAsia"/>
          <w:sz w:val="24"/>
        </w:rPr>
        <w:t>.</w:t>
      </w:r>
      <w:r w:rsidRPr="006D01FF">
        <w:rPr>
          <w:rFonts w:ascii="仿宋_GB2312" w:eastAsia="仿宋_GB2312"/>
          <w:sz w:val="24"/>
        </w:rPr>
        <w:t>基金管理人、基金托管人的法定名称、住所发生变更；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6</w:t>
      </w:r>
      <w:r w:rsidRPr="006D01FF">
        <w:rPr>
          <w:rFonts w:ascii="仿宋_GB2312" w:eastAsia="仿宋_GB2312" w:hint="eastAsia"/>
          <w:sz w:val="24"/>
        </w:rPr>
        <w:t>.</w:t>
      </w:r>
      <w:r w:rsidRPr="006D01FF">
        <w:rPr>
          <w:rFonts w:ascii="仿宋_GB2312" w:eastAsia="仿宋_GB2312"/>
          <w:sz w:val="24"/>
        </w:rPr>
        <w:t>基金管理人股东及其出资比例发生变更；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基金管理人的董事长、总经理及其他高级管理人员、基金经理和基金托管人基金托管部门负责人发生变动；</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8</w:t>
      </w:r>
      <w:r w:rsidR="00D26817" w:rsidRPr="006D01FF">
        <w:rPr>
          <w:rFonts w:ascii="仿宋_GB2312" w:eastAsia="仿宋_GB2312" w:hint="eastAsia"/>
          <w:sz w:val="24"/>
        </w:rPr>
        <w:t>.</w:t>
      </w:r>
      <w:r w:rsidR="00D26817" w:rsidRPr="006D01FF">
        <w:rPr>
          <w:rFonts w:ascii="仿宋_GB2312" w:eastAsia="仿宋_GB2312"/>
          <w:sz w:val="24"/>
        </w:rPr>
        <w:t>基金管理人的董事在一年内变更超过50%；</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基金管理人、基金托管人基金托管部门的主要业务人员在一年内变动超过30%；</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涉及基金管理</w:t>
      </w:r>
      <w:r w:rsidR="0050074A" w:rsidRPr="006D01FF">
        <w:rPr>
          <w:rFonts w:ascii="仿宋_GB2312" w:eastAsia="仿宋_GB2312" w:hint="eastAsia"/>
          <w:sz w:val="24"/>
        </w:rPr>
        <w:t>业务</w:t>
      </w:r>
      <w:r w:rsidR="00D26817" w:rsidRPr="006D01FF">
        <w:rPr>
          <w:rFonts w:ascii="仿宋_GB2312" w:eastAsia="仿宋_GB2312"/>
          <w:sz w:val="24"/>
        </w:rPr>
        <w:t>、基金财产、基金托管业务的诉讼</w:t>
      </w:r>
      <w:r w:rsidR="0050074A" w:rsidRPr="006D01FF">
        <w:rPr>
          <w:rFonts w:ascii="仿宋_GB2312" w:eastAsia="仿宋_GB2312" w:hint="eastAsia"/>
          <w:sz w:val="24"/>
        </w:rPr>
        <w:t>或仲裁</w:t>
      </w:r>
      <w:r w:rsidR="00D26817" w:rsidRPr="006D01FF">
        <w:rPr>
          <w:rFonts w:ascii="仿宋_GB2312" w:eastAsia="仿宋_GB2312"/>
          <w:sz w:val="24"/>
        </w:rPr>
        <w:t>；</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基金管理人、基金托管人受到监管部门的调查；</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基金管理人及其董事、总经理及其他高级管理人员、基金经理受到严重行政处罚，基金托管人及其基金托管部门负责人受到严重行政处罚；</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重大关联交易事项；</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基金收益分配事项；</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管理费、托管费等费用计提标准、计提方式和费率发生变更；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基金份额净值计价错误达基金份额净值0.5%；</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基金改聘会计师事务所；</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8</w:t>
      </w:r>
      <w:r w:rsidR="00D26817" w:rsidRPr="006D01FF">
        <w:rPr>
          <w:rFonts w:ascii="仿宋_GB2312" w:eastAsia="仿宋_GB2312" w:hint="eastAsia"/>
          <w:sz w:val="24"/>
        </w:rPr>
        <w:t>.基金</w:t>
      </w:r>
      <w:r w:rsidR="00D26817" w:rsidRPr="006D01FF">
        <w:rPr>
          <w:rFonts w:ascii="仿宋_GB2312" w:eastAsia="仿宋_GB2312"/>
          <w:sz w:val="24"/>
        </w:rPr>
        <w:t>变更</w:t>
      </w:r>
      <w:r w:rsidR="00D26817" w:rsidRPr="006D01FF">
        <w:rPr>
          <w:rFonts w:ascii="仿宋_GB2312" w:eastAsia="仿宋_GB2312" w:hint="eastAsia"/>
          <w:sz w:val="24"/>
        </w:rPr>
        <w:t>、增加或减少</w:t>
      </w:r>
      <w:r w:rsidR="00BA4E52" w:rsidRPr="006D01FF">
        <w:rPr>
          <w:rFonts w:ascii="仿宋_GB2312" w:eastAsia="仿宋_GB2312" w:hint="eastAsia"/>
          <w:sz w:val="24"/>
        </w:rPr>
        <w:t>销售</w:t>
      </w:r>
      <w:r w:rsidR="00D26817" w:rsidRPr="006D01FF">
        <w:rPr>
          <w:rFonts w:ascii="仿宋_GB2312" w:eastAsia="仿宋_GB2312"/>
          <w:sz w:val="24"/>
        </w:rPr>
        <w:t>机构；</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19</w:t>
      </w:r>
      <w:r w:rsidR="00D26817" w:rsidRPr="006D01FF">
        <w:rPr>
          <w:rFonts w:ascii="仿宋_GB2312" w:eastAsia="仿宋_GB2312" w:hint="eastAsia"/>
          <w:sz w:val="24"/>
        </w:rPr>
        <w:t>.</w:t>
      </w:r>
      <w:r w:rsidR="00D26817" w:rsidRPr="006D01FF">
        <w:rPr>
          <w:rFonts w:ascii="仿宋_GB2312" w:eastAsia="仿宋_GB2312"/>
          <w:sz w:val="24"/>
        </w:rPr>
        <w:t>基金更换注册登记机构；</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本基金开始办理申购、赎回；</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本基金申购、赎回费率及其收费方式发生变更；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本基金发生巨额赎回并延期</w:t>
      </w:r>
      <w:r w:rsidRPr="006D01FF">
        <w:rPr>
          <w:rFonts w:ascii="仿宋_GB2312" w:eastAsia="仿宋_GB2312" w:hint="eastAsia"/>
          <w:sz w:val="24"/>
        </w:rPr>
        <w:t>办理</w:t>
      </w:r>
      <w:r w:rsidR="00D26817" w:rsidRPr="006D01FF">
        <w:rPr>
          <w:rFonts w:ascii="仿宋_GB2312" w:eastAsia="仿宋_GB2312"/>
          <w:sz w:val="24"/>
        </w:rPr>
        <w:t>；</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本基金暂停接受</w:t>
      </w:r>
      <w:r w:rsidR="00D26817" w:rsidRPr="006D01FF">
        <w:rPr>
          <w:rFonts w:ascii="仿宋_GB2312" w:eastAsia="仿宋_GB2312" w:hint="eastAsia"/>
          <w:sz w:val="24"/>
        </w:rPr>
        <w:t>申购、</w:t>
      </w:r>
      <w:r w:rsidR="00D26817" w:rsidRPr="006D01FF">
        <w:rPr>
          <w:rFonts w:ascii="仿宋_GB2312" w:eastAsia="仿宋_GB2312"/>
          <w:sz w:val="24"/>
        </w:rPr>
        <w:t>赎回申请；</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本基金暂停接受申购、赎回申请后重新接受申购、赎回；</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25</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或本基金合同</w:t>
      </w:r>
      <w:r w:rsidR="00D26817" w:rsidRPr="006D01FF">
        <w:rPr>
          <w:rFonts w:ascii="仿宋_GB2312" w:eastAsia="仿宋_GB2312"/>
          <w:sz w:val="24"/>
        </w:rPr>
        <w:t>规定的其他事项。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57642C" w:rsidRPr="006D01FF">
        <w:rPr>
          <w:rFonts w:ascii="仿宋_GB2312" w:eastAsia="仿宋_GB2312" w:hint="eastAsia"/>
          <w:sz w:val="24"/>
        </w:rPr>
        <w:t>七</w:t>
      </w:r>
      <w:r w:rsidRPr="006D01FF">
        <w:rPr>
          <w:rFonts w:ascii="仿宋_GB2312" w:eastAsia="仿宋_GB2312" w:hint="eastAsia"/>
          <w:sz w:val="24"/>
        </w:rPr>
        <w:t>)澄清公告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在本基金合同存续期限内，任何公共</w:t>
      </w:r>
      <w:r w:rsidR="00A3083E" w:rsidRPr="006D01FF">
        <w:rPr>
          <w:rFonts w:ascii="仿宋_GB2312" w:eastAsia="仿宋_GB2312" w:hint="eastAsia"/>
          <w:sz w:val="24"/>
        </w:rPr>
        <w:t>媒介</w:t>
      </w:r>
      <w:r w:rsidRPr="006D01FF">
        <w:rPr>
          <w:rFonts w:ascii="仿宋_GB2312" w:eastAsia="仿宋_GB2312"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八</w:t>
      </w:r>
      <w:r w:rsidRPr="006D01FF">
        <w:rPr>
          <w:rFonts w:ascii="仿宋_GB2312" w:eastAsia="仿宋_GB2312"/>
          <w:sz w:val="24"/>
        </w:rPr>
        <w:t>)基金份额持有人大会决议</w:t>
      </w:r>
    </w:p>
    <w:p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w:t>
      </w:r>
      <w:r w:rsidRPr="006D01FF">
        <w:rPr>
          <w:rFonts w:ascii="仿宋_GB2312" w:eastAsia="仿宋_GB2312" w:hint="eastAsia"/>
          <w:sz w:val="24"/>
        </w:rPr>
        <w:lastRenderedPageBreak/>
        <w:t>行相关信息披露义务。</w:t>
      </w:r>
    </w:p>
    <w:p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w:t>
      </w:r>
      <w:r w:rsidR="0085329C" w:rsidRPr="006D01FF">
        <w:rPr>
          <w:rFonts w:ascii="仿宋_GB2312" w:eastAsia="仿宋_GB2312" w:hint="eastAsia"/>
          <w:sz w:val="24"/>
        </w:rPr>
        <w:t>九</w:t>
      </w:r>
      <w:r w:rsidRPr="006D01FF">
        <w:rPr>
          <w:rFonts w:ascii="仿宋_GB2312" w:eastAsia="仿宋_GB2312" w:hint="eastAsia"/>
          <w:sz w:val="24"/>
        </w:rPr>
        <w:t>)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5329C" w:rsidRPr="006D01FF"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Pr="006D01FF">
        <w:rPr>
          <w:rFonts w:ascii="仿宋_GB2312" w:eastAsia="仿宋_GB2312"/>
          <w:sz w:val="24"/>
        </w:rPr>
        <w:t>)中国证监会规定的其他信息</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信息披露文件的存放与查阅</w:t>
      </w:r>
      <w:r w:rsidR="00F541E5"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投资人也可在基金管理人指定的网站上进行查阅。</w:t>
      </w:r>
      <w:r w:rsidRPr="006D01FF">
        <w:rPr>
          <w:rFonts w:ascii="仿宋_GB2312" w:eastAsia="仿宋_GB2312" w:hint="eastAsia"/>
          <w:sz w:val="24"/>
        </w:rPr>
        <w:t>本基金的信息披露事项将在指定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本基金的信息披露将严格按照法律法规和基金合同的规定进行。</w:t>
      </w:r>
    </w:p>
    <w:p w:rsidR="00D26817" w:rsidRPr="006D01FF" w:rsidRDefault="00D26817" w:rsidP="002800EB">
      <w:pPr>
        <w:spacing w:line="360" w:lineRule="auto"/>
        <w:ind w:firstLineChars="200" w:firstLine="480"/>
        <w:rPr>
          <w:rFonts w:ascii="仿宋_GB2312" w:eastAsia="仿宋_GB2312"/>
          <w:sz w:val="24"/>
        </w:rPr>
      </w:pPr>
    </w:p>
    <w:p w:rsidR="00D26817" w:rsidRPr="006D01FF" w:rsidRDefault="00D26817">
      <w:pPr>
        <w:pStyle w:val="1"/>
        <w:rPr>
          <w:sz w:val="24"/>
        </w:rPr>
      </w:pPr>
      <w:bookmarkStart w:id="81" w:name="_Toc90742336"/>
      <w:bookmarkStart w:id="82" w:name="_Toc90742405"/>
      <w:r w:rsidRPr="006D01FF">
        <w:rPr>
          <w:rFonts w:hint="eastAsia"/>
          <w:sz w:val="24"/>
        </w:rPr>
        <w:t>十九</w:t>
      </w:r>
      <w:bookmarkStart w:id="83" w:name="_Toc402275715"/>
      <w:bookmarkStart w:id="84" w:name="_Toc402326467"/>
      <w:r w:rsidRPr="006D01FF">
        <w:rPr>
          <w:rFonts w:hint="eastAsia"/>
          <w:sz w:val="24"/>
        </w:rPr>
        <w:t>、</w:t>
      </w:r>
      <w:r w:rsidRPr="006D01FF">
        <w:rPr>
          <w:sz w:val="24"/>
        </w:rPr>
        <w:t>基金合同的变更、终止与基金财产的清算</w:t>
      </w:r>
      <w:bookmarkEnd w:id="81"/>
      <w:bookmarkEnd w:id="82"/>
      <w:bookmarkEnd w:id="83"/>
      <w:bookmarkEnd w:id="84"/>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w:t>
      </w:r>
      <w:r w:rsidRPr="006D01FF">
        <w:rPr>
          <w:rFonts w:ascii="仿宋_GB2312" w:eastAsia="仿宋_GB2312"/>
          <w:sz w:val="24"/>
        </w:rPr>
        <w:t>变更基金份额持有人大会程序；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w:t>
      </w:r>
      <w:r w:rsidRPr="006D01FF">
        <w:rPr>
          <w:rFonts w:ascii="仿宋_GB2312" w:eastAsia="仿宋_GB2312" w:hint="eastAsia"/>
          <w:sz w:val="24"/>
        </w:rPr>
        <w:lastRenderedPageBreak/>
        <w:t>金财产清算组在中国证监会的监督下进行基金清算。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(9)对基金剩余财产进行分配。</w:t>
      </w:r>
    </w:p>
    <w:p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w:t>
      </w:r>
      <w:r w:rsidRPr="006D01FF">
        <w:rPr>
          <w:rFonts w:ascii="仿宋_GB2312" w:eastAsia="仿宋_GB2312" w:hint="eastAsia"/>
          <w:sz w:val="24"/>
        </w:rPr>
        <w:lastRenderedPageBreak/>
        <w:t>审计，律师事务所出具法律意见书后，由基金财产清算组报中国证监会备案并公告。</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rsidR="00D969EC" w:rsidRPr="006D01FF" w:rsidRDefault="00D969EC" w:rsidP="00D231B7">
      <w:pPr>
        <w:spacing w:line="360" w:lineRule="auto"/>
        <w:ind w:firstLineChars="200" w:firstLine="480"/>
        <w:rPr>
          <w:rFonts w:ascii="仿宋_GB2312" w:eastAsia="仿宋_GB2312"/>
          <w:sz w:val="24"/>
        </w:rPr>
      </w:pPr>
    </w:p>
    <w:p w:rsidR="00D26817" w:rsidRPr="006D01FF" w:rsidRDefault="00D26817">
      <w:pPr>
        <w:pStyle w:val="1"/>
        <w:rPr>
          <w:sz w:val="24"/>
        </w:rPr>
      </w:pPr>
      <w:bookmarkStart w:id="85" w:name="_Toc90742337"/>
      <w:bookmarkStart w:id="86" w:name="_Toc90742406"/>
      <w:bookmarkStart w:id="87" w:name="_Toc402275716"/>
      <w:bookmarkStart w:id="88" w:name="_Toc402326468"/>
      <w:r w:rsidRPr="006D01FF">
        <w:rPr>
          <w:rFonts w:hint="eastAsia"/>
          <w:sz w:val="24"/>
        </w:rPr>
        <w:t>二十、</w:t>
      </w:r>
      <w:r w:rsidRPr="006D01FF">
        <w:rPr>
          <w:sz w:val="24"/>
        </w:rPr>
        <w:t>违约责任</w:t>
      </w:r>
      <w:bookmarkEnd w:id="85"/>
      <w:bookmarkEnd w:id="86"/>
      <w:bookmarkEnd w:id="87"/>
      <w:bookmarkEnd w:id="88"/>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3.基金管理人由于按照基金合同规定的投资原则行使或不行使其投资权而造成的损失等。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w:t>
      </w:r>
      <w:r w:rsidRPr="006D01FF">
        <w:rPr>
          <w:rFonts w:ascii="仿宋_GB2312" w:eastAsia="仿宋_GB2312" w:hint="eastAsia"/>
          <w:sz w:val="24"/>
        </w:rPr>
        <w:lastRenderedPageBreak/>
        <w:t>成的影响。</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89" w:name="_Toc90742338"/>
      <w:bookmarkStart w:id="90" w:name="_Toc90742407"/>
      <w:bookmarkStart w:id="91" w:name="_Toc402275717"/>
      <w:bookmarkStart w:id="92" w:name="_Toc402326469"/>
      <w:r w:rsidRPr="006D01FF">
        <w:rPr>
          <w:rFonts w:hint="eastAsia"/>
          <w:sz w:val="24"/>
        </w:rPr>
        <w:t>二十一、</w:t>
      </w:r>
      <w:r w:rsidRPr="006D01FF">
        <w:rPr>
          <w:sz w:val="24"/>
        </w:rPr>
        <w:t>争议的处理</w:t>
      </w:r>
      <w:bookmarkEnd w:id="89"/>
      <w:bookmarkEnd w:id="90"/>
      <w:bookmarkEnd w:id="91"/>
      <w:bookmarkEnd w:id="92"/>
    </w:p>
    <w:p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93" w:name="_Toc90742339"/>
      <w:bookmarkStart w:id="94" w:name="_Toc90742408"/>
      <w:bookmarkStart w:id="95" w:name="_Toc402275718"/>
      <w:bookmarkStart w:id="96" w:name="_Toc402326470"/>
      <w:r w:rsidRPr="006D01FF">
        <w:rPr>
          <w:rFonts w:hint="eastAsia"/>
          <w:sz w:val="24"/>
        </w:rPr>
        <w:t>二十二、</w:t>
      </w:r>
      <w:r w:rsidRPr="006D01FF">
        <w:rPr>
          <w:sz w:val="24"/>
        </w:rPr>
        <w:t>基金合同的效力</w:t>
      </w:r>
      <w:bookmarkEnd w:id="93"/>
      <w:bookmarkEnd w:id="94"/>
      <w:bookmarkEnd w:id="95"/>
      <w:bookmarkEnd w:id="96"/>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(三)本基金合同正本一式八份，除中国证监会和中国银监会各持两份外，基金管理人和基金托管人各持有两份。每份均具有同等的法律效力。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97" w:name="_Toc36792680"/>
      <w:bookmarkStart w:id="98" w:name="_Toc56568470"/>
      <w:bookmarkStart w:id="99" w:name="_Toc88376159"/>
      <w:bookmarkStart w:id="100" w:name="_Toc90742340"/>
      <w:bookmarkStart w:id="101" w:name="_Toc90742409"/>
      <w:bookmarkStart w:id="102" w:name="_Toc402275719"/>
      <w:bookmarkStart w:id="103" w:name="_Toc402326471"/>
      <w:r w:rsidRPr="006D01FF">
        <w:rPr>
          <w:rFonts w:hint="eastAsia"/>
          <w:sz w:val="24"/>
        </w:rPr>
        <w:t>二十三、其他事项</w:t>
      </w:r>
      <w:bookmarkEnd w:id="97"/>
      <w:bookmarkEnd w:id="98"/>
      <w:bookmarkEnd w:id="99"/>
      <w:bookmarkEnd w:id="100"/>
      <w:bookmarkEnd w:id="101"/>
      <w:bookmarkEnd w:id="102"/>
      <w:bookmarkEnd w:id="103"/>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rsidR="00D26817" w:rsidRPr="006D01FF" w:rsidRDefault="00D26817">
      <w:pPr>
        <w:spacing w:line="360" w:lineRule="auto"/>
        <w:rPr>
          <w:rFonts w:ascii="仿宋_GB2312" w:eastAsia="仿宋_GB2312"/>
          <w:sz w:val="24"/>
        </w:rPr>
        <w:sectPr w:rsidR="00D26817" w:rsidRPr="006D01FF" w:rsidSect="00436D0C">
          <w:headerReference w:type="default" r:id="rId15"/>
          <w:pgSz w:w="11906" w:h="16838"/>
          <w:pgMar w:top="1418" w:right="1701" w:bottom="1418" w:left="1701" w:header="851" w:footer="992" w:gutter="0"/>
          <w:pgNumType w:start="1"/>
          <w:cols w:space="720"/>
          <w:docGrid w:type="lines" w:linePitch="312"/>
        </w:sect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lastRenderedPageBreak/>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rsidR="00D26817" w:rsidRPr="006D01FF" w:rsidRDefault="00D26817">
      <w:pPr>
        <w:autoSpaceDE w:val="0"/>
        <w:autoSpaceDN w:val="0"/>
        <w:spacing w:line="360" w:lineRule="auto"/>
        <w:textAlignment w:val="bottom"/>
        <w:rPr>
          <w:rFonts w:ascii="仿宋_GB2312" w:eastAsia="仿宋_GB2312"/>
          <w:sz w:val="24"/>
        </w:rPr>
      </w:pPr>
    </w:p>
    <w:p w:rsidR="00D26817" w:rsidRPr="006D01FF" w:rsidRDefault="00D26817">
      <w:pPr>
        <w:autoSpaceDE w:val="0"/>
        <w:autoSpaceDN w:val="0"/>
        <w:spacing w:line="360" w:lineRule="auto"/>
        <w:textAlignment w:val="bottom"/>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092857" w:rsidRPr="006D01FF">
        <w:rPr>
          <w:rFonts w:ascii="楷体_GB2312" w:eastAsia="楷体_GB2312" w:hAnsi="宋体" w:hint="eastAsia"/>
          <w:b/>
          <w:sz w:val="24"/>
          <w:szCs w:val="28"/>
        </w:rPr>
        <w:t>二</w:t>
      </w:r>
      <w:r w:rsidR="00092857" w:rsidRPr="006D01FF">
        <w:rPr>
          <w:rFonts w:ascii="楷体_GB2312" w:hAnsi="宋体" w:hint="eastAsia"/>
          <w:b/>
          <w:sz w:val="24"/>
          <w:szCs w:val="28"/>
        </w:rPr>
        <w:t>〇一</w:t>
      </w:r>
      <w:r w:rsidR="009D0A90">
        <w:rPr>
          <w:rFonts w:ascii="楷体_GB2312" w:eastAsia="楷体_GB2312" w:hAnsi="宋体" w:hint="eastAsia"/>
          <w:b/>
          <w:sz w:val="24"/>
          <w:szCs w:val="28"/>
        </w:rPr>
        <w:t>五</w:t>
      </w:r>
      <w:r w:rsidR="00092857"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bookmarkStart w:id="104" w:name="_GoBack"/>
      <w:bookmarkEnd w:id="104"/>
    </w:p>
    <w:sectPr w:rsidR="00D26817" w:rsidRPr="006D01FF" w:rsidSect="009924B0">
      <w:headerReference w:type="default" r:id="rId16"/>
      <w:footerReference w:type="default" r:id="rId17"/>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40C" w:rsidRDefault="0067740C">
      <w:r>
        <w:separator/>
      </w:r>
    </w:p>
  </w:endnote>
  <w:endnote w:type="continuationSeparator" w:id="0">
    <w:p w:rsidR="0067740C" w:rsidRDefault="00677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Default="002C227A">
    <w:pPr>
      <w:pStyle w:val="a7"/>
      <w:framePr w:h="0" w:wrap="around" w:vAnchor="text" w:hAnchor="margin" w:xAlign="center" w:y="1"/>
      <w:rPr>
        <w:rStyle w:val="10"/>
      </w:rPr>
    </w:pPr>
    <w:r>
      <w:fldChar w:fldCharType="begin"/>
    </w:r>
    <w:r w:rsidR="003E59FF">
      <w:rPr>
        <w:rStyle w:val="10"/>
      </w:rPr>
      <w:instrText xml:space="preserve">PAGE  </w:instrText>
    </w:r>
    <w:r>
      <w:fldChar w:fldCharType="end"/>
    </w:r>
  </w:p>
  <w:p w:rsidR="003E59FF" w:rsidRDefault="003E59F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Default="002C227A">
    <w:pPr>
      <w:pStyle w:val="a7"/>
      <w:framePr w:h="0" w:wrap="around" w:vAnchor="text" w:hAnchor="margin" w:xAlign="center" w:y="1"/>
      <w:rPr>
        <w:rStyle w:val="10"/>
      </w:rPr>
    </w:pPr>
    <w:r>
      <w:fldChar w:fldCharType="begin"/>
    </w:r>
    <w:r w:rsidR="003E59FF">
      <w:rPr>
        <w:rStyle w:val="10"/>
      </w:rPr>
      <w:instrText xml:space="preserve">PAGE  </w:instrText>
    </w:r>
    <w:r>
      <w:fldChar w:fldCharType="separate"/>
    </w:r>
    <w:r w:rsidR="0094421A">
      <w:rPr>
        <w:rStyle w:val="10"/>
        <w:noProof/>
      </w:rPr>
      <w:t>62</w:t>
    </w:r>
    <w:r>
      <w:fldChar w:fldCharType="end"/>
    </w:r>
  </w:p>
  <w:p w:rsidR="003E59FF" w:rsidRDefault="003E59F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11" w:rsidRDefault="002F201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Default="003E59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40C" w:rsidRDefault="0067740C">
      <w:r>
        <w:separator/>
      </w:r>
    </w:p>
  </w:footnote>
  <w:footnote w:type="continuationSeparator" w:id="0">
    <w:p w:rsidR="0067740C" w:rsidRDefault="00677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11" w:rsidRDefault="002F201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Default="003E59FF">
    <w:pPr>
      <w:pStyle w:val="ab"/>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11" w:rsidRDefault="002F2011">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Default="00BB2940">
    <w:pPr>
      <w:pStyle w:val="ab"/>
      <w:jc w:val="right"/>
    </w:pPr>
    <w:r>
      <w:rPr>
        <w:noProof/>
      </w:rPr>
      <w:drawing>
        <wp:anchor distT="0" distB="0" distL="114300" distR="114300" simplePos="0" relativeHeight="251656192" behindDoc="0" locked="0" layoutInCell="1" allowOverlap="1">
          <wp:simplePos x="0" y="0"/>
          <wp:positionH relativeFrom="column">
            <wp:posOffset>-13335</wp:posOffset>
          </wp:positionH>
          <wp:positionV relativeFrom="paragraph">
            <wp:posOffset>-83185</wp:posOffset>
          </wp:positionV>
          <wp:extent cx="1714500" cy="242570"/>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3E59FF" w:rsidRPr="009728C6">
      <w:rPr>
        <w:rFonts w:ascii="宋体" w:hint="eastAsia"/>
        <w:bCs/>
      </w:rPr>
      <w:t>交银施罗德消费新驱动股票型证券投资基金</w:t>
    </w:r>
    <w:r w:rsidR="003E59FF" w:rsidRPr="009728C6">
      <w:rPr>
        <w:rFonts w:hint="eastAsia"/>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9FF" w:rsidRPr="00D324EC" w:rsidRDefault="00BB2940" w:rsidP="00BA43B5">
    <w:pPr>
      <w:pStyle w:val="ab"/>
      <w:jc w:val="right"/>
    </w:pPr>
    <w:r>
      <w:rPr>
        <w:noProof/>
      </w:rPr>
      <w:drawing>
        <wp:anchor distT="0" distB="0" distL="114300" distR="114300" simplePos="0" relativeHeight="251655168" behindDoc="0" locked="0" layoutInCell="1" allowOverlap="1">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D324EC" w:rsidRPr="009728C6">
      <w:rPr>
        <w:rFonts w:ascii="宋体" w:hint="eastAsia"/>
        <w:bCs/>
      </w:rPr>
      <w:t>交银施罗德消费新驱动股票型证券投资基金</w:t>
    </w:r>
    <w:r w:rsidR="00D324EC" w:rsidRPr="009728C6">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9458"/>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1E75"/>
    <w:rsid w:val="000249CC"/>
    <w:rsid w:val="00030392"/>
    <w:rsid w:val="00032EEA"/>
    <w:rsid w:val="00047FB3"/>
    <w:rsid w:val="00052393"/>
    <w:rsid w:val="00052ABE"/>
    <w:rsid w:val="00060D46"/>
    <w:rsid w:val="00061D5A"/>
    <w:rsid w:val="0006267C"/>
    <w:rsid w:val="00070450"/>
    <w:rsid w:val="00080F18"/>
    <w:rsid w:val="00085C9D"/>
    <w:rsid w:val="000860D9"/>
    <w:rsid w:val="00086FDC"/>
    <w:rsid w:val="00092857"/>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F01EE"/>
    <w:rsid w:val="000F4D6B"/>
    <w:rsid w:val="00100C23"/>
    <w:rsid w:val="00103CDD"/>
    <w:rsid w:val="0011225D"/>
    <w:rsid w:val="00114120"/>
    <w:rsid w:val="00116C63"/>
    <w:rsid w:val="0013078B"/>
    <w:rsid w:val="001401AE"/>
    <w:rsid w:val="00141371"/>
    <w:rsid w:val="00144A67"/>
    <w:rsid w:val="001471D6"/>
    <w:rsid w:val="001529F2"/>
    <w:rsid w:val="001530F5"/>
    <w:rsid w:val="00154583"/>
    <w:rsid w:val="0015483C"/>
    <w:rsid w:val="00154DB2"/>
    <w:rsid w:val="0015611E"/>
    <w:rsid w:val="00157874"/>
    <w:rsid w:val="0016450C"/>
    <w:rsid w:val="00171209"/>
    <w:rsid w:val="00172A27"/>
    <w:rsid w:val="001744C7"/>
    <w:rsid w:val="00176AED"/>
    <w:rsid w:val="00181EA4"/>
    <w:rsid w:val="001838F9"/>
    <w:rsid w:val="00184C0A"/>
    <w:rsid w:val="0019199B"/>
    <w:rsid w:val="00192F45"/>
    <w:rsid w:val="00194235"/>
    <w:rsid w:val="001A1C12"/>
    <w:rsid w:val="001A345B"/>
    <w:rsid w:val="001A7150"/>
    <w:rsid w:val="001B11FD"/>
    <w:rsid w:val="001B4E3A"/>
    <w:rsid w:val="001C6E06"/>
    <w:rsid w:val="001F0BCA"/>
    <w:rsid w:val="00203CDA"/>
    <w:rsid w:val="00210879"/>
    <w:rsid w:val="00220618"/>
    <w:rsid w:val="002214F7"/>
    <w:rsid w:val="00221EB8"/>
    <w:rsid w:val="00224716"/>
    <w:rsid w:val="0022557F"/>
    <w:rsid w:val="00225E41"/>
    <w:rsid w:val="00235BF5"/>
    <w:rsid w:val="00237996"/>
    <w:rsid w:val="00241C3A"/>
    <w:rsid w:val="00252027"/>
    <w:rsid w:val="00252C48"/>
    <w:rsid w:val="002652B4"/>
    <w:rsid w:val="00265888"/>
    <w:rsid w:val="002662CC"/>
    <w:rsid w:val="002800EB"/>
    <w:rsid w:val="00283FB9"/>
    <w:rsid w:val="00284A05"/>
    <w:rsid w:val="00291147"/>
    <w:rsid w:val="00291361"/>
    <w:rsid w:val="0029350F"/>
    <w:rsid w:val="00295FA8"/>
    <w:rsid w:val="002977BD"/>
    <w:rsid w:val="002A0EB7"/>
    <w:rsid w:val="002A4DB5"/>
    <w:rsid w:val="002C227A"/>
    <w:rsid w:val="002C5B9A"/>
    <w:rsid w:val="002C6479"/>
    <w:rsid w:val="002D4133"/>
    <w:rsid w:val="002D4992"/>
    <w:rsid w:val="002E199E"/>
    <w:rsid w:val="002E59D5"/>
    <w:rsid w:val="002F1276"/>
    <w:rsid w:val="002F2011"/>
    <w:rsid w:val="002F281E"/>
    <w:rsid w:val="002F60B0"/>
    <w:rsid w:val="00301D86"/>
    <w:rsid w:val="00306FA4"/>
    <w:rsid w:val="003155BD"/>
    <w:rsid w:val="00317F91"/>
    <w:rsid w:val="003242D4"/>
    <w:rsid w:val="00344307"/>
    <w:rsid w:val="00346769"/>
    <w:rsid w:val="0035141E"/>
    <w:rsid w:val="00360CC2"/>
    <w:rsid w:val="00362FD2"/>
    <w:rsid w:val="00371B74"/>
    <w:rsid w:val="00375ECE"/>
    <w:rsid w:val="003776AD"/>
    <w:rsid w:val="00381F0A"/>
    <w:rsid w:val="0038321E"/>
    <w:rsid w:val="00383759"/>
    <w:rsid w:val="003919D7"/>
    <w:rsid w:val="00393F21"/>
    <w:rsid w:val="003A574F"/>
    <w:rsid w:val="003A58F2"/>
    <w:rsid w:val="003A628D"/>
    <w:rsid w:val="003A67BA"/>
    <w:rsid w:val="003A6836"/>
    <w:rsid w:val="003B04E2"/>
    <w:rsid w:val="003B0F4E"/>
    <w:rsid w:val="003B1CEC"/>
    <w:rsid w:val="003B22F5"/>
    <w:rsid w:val="003C463C"/>
    <w:rsid w:val="003C4C0F"/>
    <w:rsid w:val="003D7AFE"/>
    <w:rsid w:val="003E51A0"/>
    <w:rsid w:val="003E59FF"/>
    <w:rsid w:val="003F5233"/>
    <w:rsid w:val="003F5D5D"/>
    <w:rsid w:val="003F6C28"/>
    <w:rsid w:val="003F6F96"/>
    <w:rsid w:val="003F7992"/>
    <w:rsid w:val="00410DF8"/>
    <w:rsid w:val="004218CD"/>
    <w:rsid w:val="00422525"/>
    <w:rsid w:val="00425419"/>
    <w:rsid w:val="00427852"/>
    <w:rsid w:val="0043347B"/>
    <w:rsid w:val="0043352E"/>
    <w:rsid w:val="00436D0C"/>
    <w:rsid w:val="00440CEE"/>
    <w:rsid w:val="00442902"/>
    <w:rsid w:val="00443CCA"/>
    <w:rsid w:val="004445BB"/>
    <w:rsid w:val="0045111E"/>
    <w:rsid w:val="00452031"/>
    <w:rsid w:val="0045210A"/>
    <w:rsid w:val="0045231F"/>
    <w:rsid w:val="00457285"/>
    <w:rsid w:val="004641D5"/>
    <w:rsid w:val="004655FA"/>
    <w:rsid w:val="00466797"/>
    <w:rsid w:val="00480CDB"/>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10546"/>
    <w:rsid w:val="00510863"/>
    <w:rsid w:val="00511EAD"/>
    <w:rsid w:val="00514E77"/>
    <w:rsid w:val="00516486"/>
    <w:rsid w:val="00516CD0"/>
    <w:rsid w:val="00520CD7"/>
    <w:rsid w:val="00526862"/>
    <w:rsid w:val="00527C3D"/>
    <w:rsid w:val="00533BEC"/>
    <w:rsid w:val="005343F9"/>
    <w:rsid w:val="005435A7"/>
    <w:rsid w:val="0054412E"/>
    <w:rsid w:val="00546680"/>
    <w:rsid w:val="00554348"/>
    <w:rsid w:val="00560C43"/>
    <w:rsid w:val="00564BB9"/>
    <w:rsid w:val="00567FD0"/>
    <w:rsid w:val="005718F2"/>
    <w:rsid w:val="005725F9"/>
    <w:rsid w:val="00573AC5"/>
    <w:rsid w:val="0057642C"/>
    <w:rsid w:val="00577D0F"/>
    <w:rsid w:val="00580A1E"/>
    <w:rsid w:val="00582CB4"/>
    <w:rsid w:val="00583E05"/>
    <w:rsid w:val="00585163"/>
    <w:rsid w:val="00592DDA"/>
    <w:rsid w:val="0059582F"/>
    <w:rsid w:val="005B3BCF"/>
    <w:rsid w:val="005C0658"/>
    <w:rsid w:val="005C1EC2"/>
    <w:rsid w:val="005C3B2E"/>
    <w:rsid w:val="005C46EA"/>
    <w:rsid w:val="005E5785"/>
    <w:rsid w:val="005E60A2"/>
    <w:rsid w:val="005F137A"/>
    <w:rsid w:val="005F18C1"/>
    <w:rsid w:val="00610F72"/>
    <w:rsid w:val="00615277"/>
    <w:rsid w:val="00624106"/>
    <w:rsid w:val="00636EBE"/>
    <w:rsid w:val="00661171"/>
    <w:rsid w:val="006676F5"/>
    <w:rsid w:val="00671B81"/>
    <w:rsid w:val="0067740C"/>
    <w:rsid w:val="00681F2C"/>
    <w:rsid w:val="006861AE"/>
    <w:rsid w:val="00692570"/>
    <w:rsid w:val="00697128"/>
    <w:rsid w:val="006B04CE"/>
    <w:rsid w:val="006B0935"/>
    <w:rsid w:val="006B3A2A"/>
    <w:rsid w:val="006B560A"/>
    <w:rsid w:val="006B5D78"/>
    <w:rsid w:val="006B6053"/>
    <w:rsid w:val="006C2B7E"/>
    <w:rsid w:val="006C3A9C"/>
    <w:rsid w:val="006D01FF"/>
    <w:rsid w:val="006D5121"/>
    <w:rsid w:val="006E3EE7"/>
    <w:rsid w:val="006F23FF"/>
    <w:rsid w:val="006F2954"/>
    <w:rsid w:val="006F5CA4"/>
    <w:rsid w:val="00702A1B"/>
    <w:rsid w:val="00704249"/>
    <w:rsid w:val="00706676"/>
    <w:rsid w:val="00706DCE"/>
    <w:rsid w:val="007112D3"/>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4075"/>
    <w:rsid w:val="00785FC0"/>
    <w:rsid w:val="00791DFF"/>
    <w:rsid w:val="00794C62"/>
    <w:rsid w:val="00794EFF"/>
    <w:rsid w:val="007968C6"/>
    <w:rsid w:val="007A172E"/>
    <w:rsid w:val="007A2E41"/>
    <w:rsid w:val="007A5722"/>
    <w:rsid w:val="007A6367"/>
    <w:rsid w:val="007A73F5"/>
    <w:rsid w:val="007B1092"/>
    <w:rsid w:val="007B417C"/>
    <w:rsid w:val="007C1B33"/>
    <w:rsid w:val="007E09FE"/>
    <w:rsid w:val="007E0E66"/>
    <w:rsid w:val="007E3E70"/>
    <w:rsid w:val="007E65F4"/>
    <w:rsid w:val="007F1655"/>
    <w:rsid w:val="007F1B6D"/>
    <w:rsid w:val="007F4AB8"/>
    <w:rsid w:val="007F7984"/>
    <w:rsid w:val="00800992"/>
    <w:rsid w:val="00800BBC"/>
    <w:rsid w:val="0080371B"/>
    <w:rsid w:val="00805A45"/>
    <w:rsid w:val="008105A5"/>
    <w:rsid w:val="00810BDD"/>
    <w:rsid w:val="0081367A"/>
    <w:rsid w:val="00813759"/>
    <w:rsid w:val="00815C99"/>
    <w:rsid w:val="008221B1"/>
    <w:rsid w:val="00825E24"/>
    <w:rsid w:val="00825EF2"/>
    <w:rsid w:val="008333C7"/>
    <w:rsid w:val="00833F5A"/>
    <w:rsid w:val="008374FF"/>
    <w:rsid w:val="00843BE6"/>
    <w:rsid w:val="00844388"/>
    <w:rsid w:val="00851C6F"/>
    <w:rsid w:val="0085280A"/>
    <w:rsid w:val="0085329C"/>
    <w:rsid w:val="00853368"/>
    <w:rsid w:val="00862526"/>
    <w:rsid w:val="008679D9"/>
    <w:rsid w:val="0087057C"/>
    <w:rsid w:val="0087718C"/>
    <w:rsid w:val="008805F1"/>
    <w:rsid w:val="00881F56"/>
    <w:rsid w:val="0088621A"/>
    <w:rsid w:val="00886E25"/>
    <w:rsid w:val="0088779F"/>
    <w:rsid w:val="008934B7"/>
    <w:rsid w:val="008946A0"/>
    <w:rsid w:val="00897312"/>
    <w:rsid w:val="008A253F"/>
    <w:rsid w:val="008B130A"/>
    <w:rsid w:val="008B68E0"/>
    <w:rsid w:val="008B7474"/>
    <w:rsid w:val="008C6BE9"/>
    <w:rsid w:val="008D1B19"/>
    <w:rsid w:val="008D5FE3"/>
    <w:rsid w:val="008D73C6"/>
    <w:rsid w:val="008E6F1B"/>
    <w:rsid w:val="008F3E03"/>
    <w:rsid w:val="008F6BAD"/>
    <w:rsid w:val="0091558E"/>
    <w:rsid w:val="00921D9A"/>
    <w:rsid w:val="00923A5B"/>
    <w:rsid w:val="0092401C"/>
    <w:rsid w:val="00925E9F"/>
    <w:rsid w:val="00932225"/>
    <w:rsid w:val="00933C75"/>
    <w:rsid w:val="0094421A"/>
    <w:rsid w:val="00945238"/>
    <w:rsid w:val="00951E4A"/>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F409F"/>
    <w:rsid w:val="009F5AD4"/>
    <w:rsid w:val="009F650F"/>
    <w:rsid w:val="00A0143C"/>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5891"/>
    <w:rsid w:val="00A95D04"/>
    <w:rsid w:val="00AA6C7F"/>
    <w:rsid w:val="00AB2D94"/>
    <w:rsid w:val="00AB3AC1"/>
    <w:rsid w:val="00AB633B"/>
    <w:rsid w:val="00AC5916"/>
    <w:rsid w:val="00AC6136"/>
    <w:rsid w:val="00AC677D"/>
    <w:rsid w:val="00AC6896"/>
    <w:rsid w:val="00AD0157"/>
    <w:rsid w:val="00AD1539"/>
    <w:rsid w:val="00AE7682"/>
    <w:rsid w:val="00AE7F72"/>
    <w:rsid w:val="00B00EE4"/>
    <w:rsid w:val="00B01A67"/>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5742C"/>
    <w:rsid w:val="00B77B8C"/>
    <w:rsid w:val="00B809E2"/>
    <w:rsid w:val="00B817C0"/>
    <w:rsid w:val="00B82401"/>
    <w:rsid w:val="00B9090B"/>
    <w:rsid w:val="00B96954"/>
    <w:rsid w:val="00B975D7"/>
    <w:rsid w:val="00B97D5F"/>
    <w:rsid w:val="00BA1A94"/>
    <w:rsid w:val="00BA43B5"/>
    <w:rsid w:val="00BA4B9E"/>
    <w:rsid w:val="00BA4E52"/>
    <w:rsid w:val="00BA7C0F"/>
    <w:rsid w:val="00BB2940"/>
    <w:rsid w:val="00BB4577"/>
    <w:rsid w:val="00BB4C2E"/>
    <w:rsid w:val="00BB7C54"/>
    <w:rsid w:val="00BC603F"/>
    <w:rsid w:val="00BC7D80"/>
    <w:rsid w:val="00BD3331"/>
    <w:rsid w:val="00BE219D"/>
    <w:rsid w:val="00BE32BC"/>
    <w:rsid w:val="00BE4019"/>
    <w:rsid w:val="00BE4FCD"/>
    <w:rsid w:val="00BF5147"/>
    <w:rsid w:val="00BF5220"/>
    <w:rsid w:val="00C03AAC"/>
    <w:rsid w:val="00C073A5"/>
    <w:rsid w:val="00C11B84"/>
    <w:rsid w:val="00C137F1"/>
    <w:rsid w:val="00C1387D"/>
    <w:rsid w:val="00C14DAC"/>
    <w:rsid w:val="00C23510"/>
    <w:rsid w:val="00C23972"/>
    <w:rsid w:val="00C243BA"/>
    <w:rsid w:val="00C256C2"/>
    <w:rsid w:val="00C2645C"/>
    <w:rsid w:val="00C27051"/>
    <w:rsid w:val="00C31076"/>
    <w:rsid w:val="00C3298B"/>
    <w:rsid w:val="00C33780"/>
    <w:rsid w:val="00C33BC0"/>
    <w:rsid w:val="00C360D7"/>
    <w:rsid w:val="00C37308"/>
    <w:rsid w:val="00C41D90"/>
    <w:rsid w:val="00C460A1"/>
    <w:rsid w:val="00C61CBB"/>
    <w:rsid w:val="00C708BC"/>
    <w:rsid w:val="00C73BC2"/>
    <w:rsid w:val="00C7645D"/>
    <w:rsid w:val="00C76805"/>
    <w:rsid w:val="00C82453"/>
    <w:rsid w:val="00C82FC9"/>
    <w:rsid w:val="00C84820"/>
    <w:rsid w:val="00C93278"/>
    <w:rsid w:val="00C96D7C"/>
    <w:rsid w:val="00CA0818"/>
    <w:rsid w:val="00CA0D9A"/>
    <w:rsid w:val="00CA312F"/>
    <w:rsid w:val="00CA3C2A"/>
    <w:rsid w:val="00CA45BD"/>
    <w:rsid w:val="00CA694F"/>
    <w:rsid w:val="00CB3C71"/>
    <w:rsid w:val="00CB6298"/>
    <w:rsid w:val="00CB68A3"/>
    <w:rsid w:val="00CB6D15"/>
    <w:rsid w:val="00CB73C3"/>
    <w:rsid w:val="00CC552D"/>
    <w:rsid w:val="00CC73D7"/>
    <w:rsid w:val="00CC76A8"/>
    <w:rsid w:val="00CD2274"/>
    <w:rsid w:val="00CD34C8"/>
    <w:rsid w:val="00CD4B9C"/>
    <w:rsid w:val="00CD69B2"/>
    <w:rsid w:val="00CE0A4A"/>
    <w:rsid w:val="00CF3B1E"/>
    <w:rsid w:val="00CF47E8"/>
    <w:rsid w:val="00CF537A"/>
    <w:rsid w:val="00CF7492"/>
    <w:rsid w:val="00D03293"/>
    <w:rsid w:val="00D032F3"/>
    <w:rsid w:val="00D069CF"/>
    <w:rsid w:val="00D10635"/>
    <w:rsid w:val="00D106AE"/>
    <w:rsid w:val="00D21744"/>
    <w:rsid w:val="00D23186"/>
    <w:rsid w:val="00D231B7"/>
    <w:rsid w:val="00D2371E"/>
    <w:rsid w:val="00D23DF9"/>
    <w:rsid w:val="00D26817"/>
    <w:rsid w:val="00D30C13"/>
    <w:rsid w:val="00D31F1A"/>
    <w:rsid w:val="00D324EC"/>
    <w:rsid w:val="00D32DBA"/>
    <w:rsid w:val="00D36878"/>
    <w:rsid w:val="00D411F3"/>
    <w:rsid w:val="00D437E4"/>
    <w:rsid w:val="00D45FC0"/>
    <w:rsid w:val="00D50608"/>
    <w:rsid w:val="00D5084A"/>
    <w:rsid w:val="00D54E77"/>
    <w:rsid w:val="00D6025D"/>
    <w:rsid w:val="00D62B5D"/>
    <w:rsid w:val="00D63041"/>
    <w:rsid w:val="00D650A9"/>
    <w:rsid w:val="00D8091A"/>
    <w:rsid w:val="00D831E5"/>
    <w:rsid w:val="00D84294"/>
    <w:rsid w:val="00D90255"/>
    <w:rsid w:val="00D92B5B"/>
    <w:rsid w:val="00D969EC"/>
    <w:rsid w:val="00D97D93"/>
    <w:rsid w:val="00DA352B"/>
    <w:rsid w:val="00DB1F38"/>
    <w:rsid w:val="00DB2818"/>
    <w:rsid w:val="00DB35B0"/>
    <w:rsid w:val="00DB6769"/>
    <w:rsid w:val="00DC3B92"/>
    <w:rsid w:val="00DC403A"/>
    <w:rsid w:val="00DD1866"/>
    <w:rsid w:val="00DD3854"/>
    <w:rsid w:val="00DD4B15"/>
    <w:rsid w:val="00DE014C"/>
    <w:rsid w:val="00DE4E92"/>
    <w:rsid w:val="00DE7991"/>
    <w:rsid w:val="00DF3612"/>
    <w:rsid w:val="00DF4831"/>
    <w:rsid w:val="00DF7A4D"/>
    <w:rsid w:val="00DF7BD8"/>
    <w:rsid w:val="00E02381"/>
    <w:rsid w:val="00E05872"/>
    <w:rsid w:val="00E06556"/>
    <w:rsid w:val="00E10A5A"/>
    <w:rsid w:val="00E15807"/>
    <w:rsid w:val="00E16540"/>
    <w:rsid w:val="00E178E6"/>
    <w:rsid w:val="00E21335"/>
    <w:rsid w:val="00E323DA"/>
    <w:rsid w:val="00E34F17"/>
    <w:rsid w:val="00E35DD3"/>
    <w:rsid w:val="00E35F7B"/>
    <w:rsid w:val="00E435C9"/>
    <w:rsid w:val="00E46C2E"/>
    <w:rsid w:val="00E46DFD"/>
    <w:rsid w:val="00E543C1"/>
    <w:rsid w:val="00E57546"/>
    <w:rsid w:val="00E63BB5"/>
    <w:rsid w:val="00E66F59"/>
    <w:rsid w:val="00E67F4F"/>
    <w:rsid w:val="00E72C6D"/>
    <w:rsid w:val="00E7421F"/>
    <w:rsid w:val="00E763DB"/>
    <w:rsid w:val="00E954C9"/>
    <w:rsid w:val="00E9664B"/>
    <w:rsid w:val="00EA0A6F"/>
    <w:rsid w:val="00EA2A37"/>
    <w:rsid w:val="00EA4332"/>
    <w:rsid w:val="00EB10C0"/>
    <w:rsid w:val="00EB6823"/>
    <w:rsid w:val="00EB71AD"/>
    <w:rsid w:val="00EC3B32"/>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372"/>
    <w:rsid w:val="00F60845"/>
    <w:rsid w:val="00F60B9E"/>
    <w:rsid w:val="00F629B3"/>
    <w:rsid w:val="00F71583"/>
    <w:rsid w:val="00F736E7"/>
    <w:rsid w:val="00F77455"/>
    <w:rsid w:val="00F83EDD"/>
    <w:rsid w:val="00F85068"/>
    <w:rsid w:val="00F93F82"/>
    <w:rsid w:val="00FA5B1C"/>
    <w:rsid w:val="00FB0351"/>
    <w:rsid w:val="00FB1F6C"/>
    <w:rsid w:val="00FB79B0"/>
    <w:rsid w:val="00FC11D7"/>
    <w:rsid w:val="00FC2140"/>
    <w:rsid w:val="00FC21F2"/>
    <w:rsid w:val="00FC4204"/>
    <w:rsid w:val="00FC545B"/>
    <w:rsid w:val="00FC5A95"/>
    <w:rsid w:val="00FD603F"/>
    <w:rsid w:val="00FD73E9"/>
    <w:rsid w:val="00FF473B"/>
    <w:rsid w:val="00FF5B86"/>
    <w:rsid w:val="00FF73E7"/>
    <w:rsid w:val="00FF7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Char0">
    <w:name w:val="批注文字 Char"/>
    <w:link w:val="a5"/>
    <w:rsid w:val="009924B0"/>
    <w:rPr>
      <w:kern w:val="2"/>
      <w:sz w:val="21"/>
      <w:szCs w:val="24"/>
    </w:rPr>
  </w:style>
  <w:style w:type="character" w:styleId="a6">
    <w:name w:val="Strong"/>
    <w:qFormat/>
    <w:rsid w:val="009924B0"/>
    <w:rPr>
      <w:b/>
      <w:bCs/>
    </w:rPr>
  </w:style>
  <w:style w:type="paragraph" w:customStyle="1" w:styleId="13">
    <w:name w:val="正文缩进1"/>
    <w:basedOn w:val="a"/>
    <w:rsid w:val="009924B0"/>
    <w:pPr>
      <w:ind w:firstLineChars="200" w:firstLine="420"/>
    </w:pPr>
  </w:style>
  <w:style w:type="paragraph" w:styleId="50">
    <w:name w:val="toc 5"/>
    <w:basedOn w:val="a"/>
    <w:next w:val="a"/>
    <w:rsid w:val="009924B0"/>
    <w:pPr>
      <w:ind w:leftChars="800" w:left="1680"/>
    </w:pPr>
  </w:style>
  <w:style w:type="paragraph" w:styleId="a5">
    <w:name w:val="annotation text"/>
    <w:basedOn w:val="a"/>
    <w:link w:val="Char0"/>
    <w:rsid w:val="009924B0"/>
    <w:pPr>
      <w:jc w:val="left"/>
    </w:pPr>
  </w:style>
  <w:style w:type="paragraph" w:styleId="14">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7">
    <w:name w:val="footer"/>
    <w:basedOn w:val="a"/>
    <w:rsid w:val="009924B0"/>
    <w:pPr>
      <w:tabs>
        <w:tab w:val="center" w:pos="4153"/>
        <w:tab w:val="right" w:pos="8306"/>
      </w:tabs>
      <w:snapToGrid w:val="0"/>
      <w:jc w:val="left"/>
    </w:pPr>
    <w:rPr>
      <w:sz w:val="18"/>
      <w:szCs w:val="18"/>
    </w:rPr>
  </w:style>
  <w:style w:type="paragraph" w:styleId="a8">
    <w:name w:val="Title"/>
    <w:basedOn w:val="a"/>
    <w:qFormat/>
    <w:rsid w:val="009924B0"/>
    <w:pPr>
      <w:spacing w:before="240" w:after="60"/>
      <w:jc w:val="center"/>
      <w:outlineLvl w:val="0"/>
    </w:pPr>
    <w:rPr>
      <w:rFonts w:ascii="Arial" w:hAnsi="Arial" w:cs="Arial"/>
      <w:b/>
      <w:bCs/>
      <w:sz w:val="32"/>
      <w:szCs w:val="32"/>
    </w:rPr>
  </w:style>
  <w:style w:type="paragraph" w:customStyle="1" w:styleId="15">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5"/>
    <w:next w:val="a5"/>
    <w:link w:val="Char"/>
    <w:rsid w:val="009924B0"/>
    <w:rPr>
      <w:b/>
      <w:bCs/>
    </w:rPr>
  </w:style>
  <w:style w:type="paragraph" w:styleId="22">
    <w:name w:val="toc 2"/>
    <w:basedOn w:val="a"/>
    <w:next w:val="a"/>
    <w:rsid w:val="009924B0"/>
    <w:pPr>
      <w:ind w:leftChars="200" w:left="420"/>
    </w:pPr>
  </w:style>
  <w:style w:type="paragraph" w:styleId="90">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6">
    <w:name w:val="正文首行缩进1"/>
    <w:basedOn w:val="a9"/>
    <w:rsid w:val="009924B0"/>
    <w:pPr>
      <w:spacing w:after="120" w:line="240" w:lineRule="auto"/>
      <w:ind w:firstLineChars="100" w:firstLine="420"/>
    </w:pPr>
    <w:rPr>
      <w:rFonts w:ascii="Times New Roman" w:eastAsia="宋体"/>
      <w:sz w:val="21"/>
    </w:rPr>
  </w:style>
  <w:style w:type="paragraph" w:styleId="60">
    <w:name w:val="toc 6"/>
    <w:basedOn w:val="a"/>
    <w:next w:val="a"/>
    <w:rsid w:val="009924B0"/>
    <w:pPr>
      <w:ind w:leftChars="1000" w:left="2100"/>
    </w:pPr>
  </w:style>
  <w:style w:type="paragraph" w:customStyle="1" w:styleId="2">
    <w:name w:val="列表2"/>
    <w:basedOn w:val="a"/>
    <w:next w:val="a8"/>
    <w:rsid w:val="009924B0"/>
    <w:pPr>
      <w:numPr>
        <w:numId w:val="2"/>
      </w:numPr>
      <w:tabs>
        <w:tab w:val="left" w:pos="360"/>
      </w:tabs>
      <w:spacing w:line="360" w:lineRule="auto"/>
    </w:pPr>
    <w:rPr>
      <w:rFonts w:ascii="宋体"/>
      <w:szCs w:val="20"/>
    </w:rPr>
  </w:style>
  <w:style w:type="paragraph" w:customStyle="1" w:styleId="17">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30">
    <w:name w:val="toc 3"/>
    <w:basedOn w:val="a"/>
    <w:next w:val="a"/>
    <w:rsid w:val="009924B0"/>
    <w:pPr>
      <w:ind w:leftChars="400" w:left="840"/>
    </w:pPr>
  </w:style>
  <w:style w:type="paragraph" w:styleId="aa">
    <w:name w:val="Balloon Text"/>
    <w:basedOn w:val="a"/>
    <w:rsid w:val="009924B0"/>
    <w:rPr>
      <w:sz w:val="18"/>
      <w:szCs w:val="18"/>
    </w:rPr>
  </w:style>
  <w:style w:type="paragraph" w:styleId="a9">
    <w:name w:val="Body Text"/>
    <w:basedOn w:val="a"/>
    <w:rsid w:val="009924B0"/>
    <w:pPr>
      <w:spacing w:line="360" w:lineRule="auto"/>
    </w:pPr>
    <w:rPr>
      <w:rFonts w:ascii="仿宋_GB2312" w:eastAsia="仿宋_GB2312"/>
      <w:sz w:val="24"/>
    </w:rPr>
  </w:style>
  <w:style w:type="paragraph" w:customStyle="1" w:styleId="Char1">
    <w:name w:val="Char"/>
    <w:basedOn w:val="a"/>
    <w:rsid w:val="009924B0"/>
  </w:style>
  <w:style w:type="paragraph" w:styleId="40">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80">
    <w:name w:val="toc 8"/>
    <w:basedOn w:val="a"/>
    <w:next w:val="a"/>
    <w:rsid w:val="009924B0"/>
    <w:pPr>
      <w:ind w:leftChars="1400" w:left="2940"/>
    </w:pPr>
  </w:style>
  <w:style w:type="paragraph" w:styleId="ab">
    <w:name w:val="header"/>
    <w:basedOn w:val="a"/>
    <w:link w:val="Char2"/>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8">
    <w:name w:val="列表1"/>
    <w:basedOn w:val="a"/>
    <w:next w:val="a"/>
    <w:rsid w:val="009924B0"/>
    <w:pPr>
      <w:tabs>
        <w:tab w:val="left" w:pos="644"/>
      </w:tabs>
      <w:spacing w:line="360" w:lineRule="auto"/>
      <w:ind w:left="567" w:hanging="283"/>
    </w:pPr>
    <w:rPr>
      <w:szCs w:val="20"/>
    </w:rPr>
  </w:style>
  <w:style w:type="paragraph" w:styleId="70">
    <w:name w:val="toc 7"/>
    <w:basedOn w:val="a"/>
    <w:next w:val="a"/>
    <w:rsid w:val="009924B0"/>
    <w:pPr>
      <w:ind w:leftChars="1200" w:left="2520"/>
    </w:pPr>
  </w:style>
  <w:style w:type="paragraph" w:customStyle="1" w:styleId="19">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c">
    <w:name w:val="annotation reference"/>
    <w:semiHidden/>
    <w:rsid w:val="00DB6769"/>
    <w:rPr>
      <w:sz w:val="21"/>
      <w:szCs w:val="21"/>
    </w:rPr>
  </w:style>
  <w:style w:type="paragraph" w:styleId="ad">
    <w:name w:val="annotation subject"/>
    <w:basedOn w:val="a5"/>
    <w:next w:val="a5"/>
    <w:semiHidden/>
    <w:rsid w:val="00DB6769"/>
    <w:rPr>
      <w:b/>
      <w:bCs/>
    </w:rPr>
  </w:style>
  <w:style w:type="paragraph" w:customStyle="1" w:styleId="CharCharChar0">
    <w:name w:val="Char Char Char"/>
    <w:basedOn w:val="a"/>
    <w:rsid w:val="00C3298B"/>
  </w:style>
  <w:style w:type="paragraph" w:styleId="ae">
    <w:name w:val="Revision"/>
    <w:hidden/>
    <w:uiPriority w:val="99"/>
    <w:semiHidden/>
    <w:rsid w:val="007A6367"/>
    <w:rPr>
      <w:kern w:val="2"/>
      <w:sz w:val="21"/>
      <w:szCs w:val="24"/>
    </w:rPr>
  </w:style>
  <w:style w:type="character" w:customStyle="1" w:styleId="Char2">
    <w:name w:val="页眉 Char"/>
    <w:link w:val="ab"/>
    <w:uiPriority w:val="99"/>
    <w:rsid w:val="00436D0C"/>
    <w:rPr>
      <w:kern w:val="2"/>
      <w:sz w:val="18"/>
      <w:szCs w:val="18"/>
    </w:rPr>
  </w:style>
</w:styles>
</file>

<file path=word/webSettings.xml><?xml version="1.0" encoding="utf-8"?>
<w:webSettings xmlns:r="http://schemas.openxmlformats.org/officeDocument/2006/relationships" xmlns:w="http://schemas.openxmlformats.org/wordprocessingml/2006/main">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EFB4-05CD-45AC-BC3C-9362449D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7203</Words>
  <Characters>41061</Characters>
  <Application>Microsoft Office Word</Application>
  <DocSecurity>0</DocSecurity>
  <Lines>342</Lines>
  <Paragraphs>96</Paragraphs>
  <ScaleCrop>false</ScaleCrop>
  <Company>Microsoft</Company>
  <LinksUpToDate>false</LinksUpToDate>
  <CharactersWithSpaces>48168</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陈小苓0923</cp:lastModifiedBy>
  <cp:revision>21</cp:revision>
  <cp:lastPrinted>2015-02-03T06:53:00Z</cp:lastPrinted>
  <dcterms:created xsi:type="dcterms:W3CDTF">2015-05-14T02:38:00Z</dcterms:created>
  <dcterms:modified xsi:type="dcterms:W3CDTF">2015-09-25T04:02:00Z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