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FD5594" w:rsidRPr="00FD5594" w:rsidRDefault="00FD5594" w:rsidP="00FD5594">
            <w:pPr>
              <w:snapToGrid w:val="0"/>
              <w:ind w:rightChars="20" w:right="42"/>
              <w:jc w:val="right"/>
              <w:rPr>
                <w:rFonts w:ascii="仿宋" w:eastAsia="仿宋" w:hAnsi="仿宋"/>
                <w:b/>
                <w:color w:val="082F6B"/>
                <w:sz w:val="52"/>
                <w:szCs w:val="52"/>
              </w:rPr>
            </w:pPr>
            <w:r w:rsidRPr="00FD5594">
              <w:rPr>
                <w:rFonts w:ascii="仿宋" w:eastAsia="仿宋" w:hAnsi="仿宋" w:hint="eastAsia"/>
                <w:b/>
                <w:color w:val="082F6B"/>
                <w:sz w:val="52"/>
                <w:szCs w:val="52"/>
              </w:rPr>
              <w:t>互联网</w:t>
            </w:r>
            <w:r w:rsidRPr="00FD5594">
              <w:rPr>
                <w:rFonts w:ascii="仿宋" w:eastAsia="仿宋" w:hAnsi="仿宋"/>
                <w:b/>
                <w:color w:val="082F6B"/>
                <w:sz w:val="52"/>
                <w:szCs w:val="52"/>
              </w:rPr>
              <w:t>金融</w:t>
            </w:r>
            <w:r w:rsidRPr="00FD5594">
              <w:rPr>
                <w:rFonts w:ascii="仿宋" w:eastAsia="仿宋" w:hAnsi="仿宋" w:hint="eastAsia"/>
                <w:b/>
                <w:color w:val="082F6B"/>
                <w:sz w:val="52"/>
                <w:szCs w:val="52"/>
              </w:rPr>
              <w:t>的</w:t>
            </w:r>
            <w:r w:rsidRPr="00FD5594">
              <w:rPr>
                <w:rFonts w:ascii="仿宋" w:eastAsia="仿宋" w:hAnsi="仿宋"/>
                <w:b/>
                <w:color w:val="082F6B"/>
                <w:sz w:val="52"/>
                <w:szCs w:val="52"/>
              </w:rPr>
              <w:t>否定之否定</w:t>
            </w:r>
          </w:p>
          <w:p w:rsidR="00D3771B" w:rsidRPr="002F21F1" w:rsidRDefault="00D3771B" w:rsidP="00EE3781">
            <w:pPr>
              <w:snapToGrid w:val="0"/>
              <w:ind w:rightChars="20" w:right="42"/>
              <w:jc w:val="right"/>
              <w:rPr>
                <w:rFonts w:ascii="仿宋" w:eastAsia="仿宋" w:hAnsi="仿宋"/>
                <w:b/>
                <w:color w:val="AA9678"/>
                <w:sz w:val="52"/>
                <w:szCs w:val="52"/>
              </w:rPr>
            </w:pPr>
          </w:p>
          <w:p w:rsidR="00C941BA" w:rsidRPr="00D9615B" w:rsidRDefault="00C941BA" w:rsidP="002F21F1">
            <w:pPr>
              <w:snapToGrid w:val="0"/>
              <w:ind w:rightChars="20" w:right="42"/>
              <w:jc w:val="right"/>
              <w:rPr>
                <w:rFonts w:ascii="仿宋" w:eastAsia="仿宋" w:hAnsi="仿宋"/>
                <w:b/>
                <w:color w:val="AA9678"/>
                <w:sz w:val="52"/>
                <w:szCs w:val="52"/>
              </w:rPr>
            </w:pPr>
          </w:p>
          <w:p w:rsidR="00436881" w:rsidRDefault="00B7035E" w:rsidP="00EE3781">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EA57C0" w:rsidRDefault="00EA57C0" w:rsidP="003C7E23">
      <w:pPr>
        <w:spacing w:before="240"/>
        <w:ind w:leftChars="472" w:left="991" w:rightChars="404" w:right="848" w:firstLine="269"/>
        <w:jc w:val="left"/>
        <w:rPr>
          <w:rFonts w:ascii="仿宋" w:eastAsia="仿宋" w:hAnsi="仿宋"/>
          <w:b/>
          <w:noProof/>
          <w:color w:val="000080"/>
          <w:sz w:val="32"/>
          <w:szCs w:val="32"/>
        </w:rPr>
      </w:pP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Default="000C7DE3" w:rsidP="00204C38">
      <w:pPr>
        <w:spacing w:before="240" w:line="324" w:lineRule="auto"/>
        <w:ind w:leftChars="1080" w:left="2268" w:rightChars="471" w:right="989"/>
        <w:jc w:val="left"/>
        <w:rPr>
          <w:rFonts w:ascii="仿宋" w:eastAsia="仿宋" w:hAnsi="仿宋"/>
          <w:b/>
          <w:color w:val="082F6B"/>
          <w:sz w:val="44"/>
          <w:szCs w:val="44"/>
        </w:rPr>
      </w:pPr>
    </w:p>
    <w:p w:rsidR="00B4206A" w:rsidRPr="002F21F1" w:rsidRDefault="002F21F1" w:rsidP="002F21F1">
      <w:pPr>
        <w:spacing w:before="240" w:line="324" w:lineRule="auto"/>
        <w:ind w:leftChars="1080" w:left="2268" w:rightChars="471" w:right="989"/>
        <w:jc w:val="left"/>
        <w:rPr>
          <w:rFonts w:ascii="仿宋" w:eastAsia="仿宋" w:hAnsi="仿宋"/>
          <w:b/>
          <w:color w:val="082F6B"/>
          <w:sz w:val="44"/>
          <w:szCs w:val="44"/>
        </w:rPr>
      </w:pPr>
      <w:r w:rsidRPr="00713E5A">
        <w:rPr>
          <w:rFonts w:ascii="仿宋" w:eastAsia="仿宋" w:hAnsi="仿宋" w:hint="eastAsia"/>
          <w:b/>
          <w:color w:val="082F6B"/>
          <w:sz w:val="44"/>
          <w:szCs w:val="44"/>
        </w:rPr>
        <w:t>互联网</w:t>
      </w:r>
      <w:r w:rsidRPr="00713E5A">
        <w:rPr>
          <w:rFonts w:ascii="仿宋" w:eastAsia="仿宋" w:hAnsi="仿宋"/>
          <w:b/>
          <w:color w:val="082F6B"/>
          <w:sz w:val="44"/>
          <w:szCs w:val="44"/>
        </w:rPr>
        <w:t>金融</w:t>
      </w:r>
      <w:r w:rsidRPr="00713E5A">
        <w:rPr>
          <w:rFonts w:ascii="仿宋" w:eastAsia="仿宋" w:hAnsi="仿宋" w:hint="eastAsia"/>
          <w:b/>
          <w:color w:val="082F6B"/>
          <w:sz w:val="44"/>
          <w:szCs w:val="44"/>
        </w:rPr>
        <w:t>的</w:t>
      </w:r>
      <w:r w:rsidRPr="00713E5A">
        <w:rPr>
          <w:rFonts w:ascii="仿宋" w:eastAsia="仿宋" w:hAnsi="仿宋"/>
          <w:b/>
          <w:color w:val="082F6B"/>
          <w:sz w:val="44"/>
          <w:szCs w:val="44"/>
        </w:rPr>
        <w:t>否定之否定</w:t>
      </w:r>
    </w:p>
    <w:p w:rsidR="0094393A" w:rsidRDefault="00713E5A" w:rsidP="00E7095B">
      <w:pPr>
        <w:spacing w:before="240" w:line="324" w:lineRule="auto"/>
        <w:ind w:leftChars="1080" w:left="2268" w:rightChars="471" w:right="989"/>
        <w:jc w:val="left"/>
        <w:rPr>
          <w:rFonts w:ascii="仿宋" w:eastAsia="仿宋" w:hAnsi="仿宋" w:hint="eastAsia"/>
          <w:sz w:val="24"/>
          <w:szCs w:val="24"/>
        </w:rPr>
      </w:pPr>
      <w:r w:rsidRPr="00A51111">
        <w:rPr>
          <w:rFonts w:ascii="仿宋" w:eastAsia="仿宋" w:hAnsi="仿宋" w:hint="eastAsia"/>
          <w:sz w:val="24"/>
          <w:szCs w:val="24"/>
        </w:rPr>
        <w:t>任何事物</w:t>
      </w:r>
      <w:r w:rsidRPr="00A51111">
        <w:rPr>
          <w:rFonts w:ascii="仿宋" w:eastAsia="仿宋" w:hAnsi="仿宋"/>
          <w:sz w:val="24"/>
          <w:szCs w:val="24"/>
        </w:rPr>
        <w:t>都</w:t>
      </w:r>
      <w:r w:rsidRPr="00A51111">
        <w:rPr>
          <w:rFonts w:ascii="仿宋" w:eastAsia="仿宋" w:hAnsi="仿宋" w:hint="eastAsia"/>
          <w:sz w:val="24"/>
          <w:szCs w:val="24"/>
        </w:rPr>
        <w:t>将经历</w:t>
      </w:r>
      <w:r w:rsidRPr="00A51111">
        <w:rPr>
          <w:rFonts w:ascii="仿宋" w:eastAsia="仿宋" w:hAnsi="仿宋"/>
          <w:sz w:val="24"/>
          <w:szCs w:val="24"/>
        </w:rPr>
        <w:t>否定之否定的螺旋上升过程，互联网金融概莫能外。</w:t>
      </w:r>
      <w:r w:rsidRPr="00A51111">
        <w:rPr>
          <w:rFonts w:ascii="仿宋" w:eastAsia="仿宋" w:hAnsi="仿宋" w:hint="eastAsia"/>
          <w:sz w:val="24"/>
          <w:szCs w:val="24"/>
        </w:rPr>
        <w:t>从20</w:t>
      </w:r>
      <w:r w:rsidRPr="00A51111">
        <w:rPr>
          <w:rFonts w:ascii="仿宋" w:eastAsia="仿宋" w:hAnsi="仿宋"/>
          <w:sz w:val="24"/>
          <w:szCs w:val="24"/>
        </w:rPr>
        <w:t>12</w:t>
      </w:r>
      <w:r w:rsidRPr="00A51111">
        <w:rPr>
          <w:rFonts w:ascii="仿宋" w:eastAsia="仿宋" w:hAnsi="仿宋" w:hint="eastAsia"/>
          <w:sz w:val="24"/>
          <w:szCs w:val="24"/>
        </w:rPr>
        <w:t>年</w:t>
      </w:r>
      <w:r w:rsidRPr="00A51111">
        <w:rPr>
          <w:rFonts w:ascii="仿宋" w:eastAsia="仿宋" w:hAnsi="仿宋"/>
          <w:sz w:val="24"/>
          <w:szCs w:val="24"/>
        </w:rPr>
        <w:t>雨后春笋，到</w:t>
      </w:r>
      <w:r w:rsidRPr="00A51111">
        <w:rPr>
          <w:rFonts w:ascii="仿宋" w:eastAsia="仿宋" w:hAnsi="仿宋" w:hint="eastAsia"/>
          <w:sz w:val="24"/>
          <w:szCs w:val="24"/>
        </w:rPr>
        <w:t>2013</w:t>
      </w:r>
      <w:r w:rsidRPr="00A51111">
        <w:rPr>
          <w:rFonts w:ascii="仿宋" w:eastAsia="仿宋" w:hAnsi="仿宋"/>
          <w:sz w:val="24"/>
          <w:szCs w:val="24"/>
        </w:rPr>
        <w:t>~2014</w:t>
      </w:r>
      <w:r w:rsidRPr="00A51111">
        <w:rPr>
          <w:rFonts w:ascii="仿宋" w:eastAsia="仿宋" w:hAnsi="仿宋" w:hint="eastAsia"/>
          <w:sz w:val="24"/>
          <w:szCs w:val="24"/>
        </w:rPr>
        <w:t>年的</w:t>
      </w:r>
      <w:r w:rsidRPr="00A51111">
        <w:rPr>
          <w:rFonts w:ascii="仿宋" w:eastAsia="仿宋" w:hAnsi="仿宋"/>
          <w:sz w:val="24"/>
          <w:szCs w:val="24"/>
        </w:rPr>
        <w:t>高速扩张，</w:t>
      </w:r>
      <w:r w:rsidRPr="00A51111">
        <w:rPr>
          <w:rFonts w:ascii="仿宋" w:eastAsia="仿宋" w:hAnsi="仿宋" w:hint="eastAsia"/>
          <w:sz w:val="24"/>
          <w:szCs w:val="24"/>
        </w:rPr>
        <w:t>各类互联网金融创新产品乱花渐欲迷人眼。</w:t>
      </w:r>
      <w:r>
        <w:rPr>
          <w:rFonts w:ascii="仿宋" w:eastAsia="仿宋" w:hAnsi="仿宋" w:hint="eastAsia"/>
          <w:sz w:val="24"/>
          <w:szCs w:val="24"/>
        </w:rPr>
        <w:t>2015</w:t>
      </w:r>
      <w:r w:rsidRPr="00A51111">
        <w:rPr>
          <w:rFonts w:ascii="仿宋" w:eastAsia="仿宋" w:hAnsi="仿宋" w:hint="eastAsia"/>
          <w:sz w:val="24"/>
          <w:szCs w:val="24"/>
        </w:rPr>
        <w:t>年注定将是互联网金融业进行更多思考的年头。6月</w:t>
      </w:r>
      <w:r w:rsidRPr="00A51111">
        <w:rPr>
          <w:rFonts w:ascii="仿宋" w:eastAsia="仿宋" w:hAnsi="仿宋"/>
          <w:sz w:val="24"/>
          <w:szCs w:val="24"/>
        </w:rPr>
        <w:t>以来的这一</w:t>
      </w:r>
      <w:r w:rsidRPr="00A51111">
        <w:rPr>
          <w:rFonts w:ascii="仿宋" w:eastAsia="仿宋" w:hAnsi="仿宋" w:hint="eastAsia"/>
          <w:sz w:val="24"/>
          <w:szCs w:val="24"/>
        </w:rPr>
        <w:t>轮“股灾</w:t>
      </w:r>
      <w:r w:rsidRPr="00A51111">
        <w:rPr>
          <w:rFonts w:ascii="仿宋" w:eastAsia="仿宋" w:hAnsi="仿宋"/>
          <w:sz w:val="24"/>
          <w:szCs w:val="24"/>
        </w:rPr>
        <w:t>”</w:t>
      </w:r>
      <w:r w:rsidRPr="00A51111">
        <w:rPr>
          <w:rFonts w:ascii="仿宋" w:eastAsia="仿宋" w:hAnsi="仿宋" w:hint="eastAsia"/>
          <w:sz w:val="24"/>
          <w:szCs w:val="24"/>
        </w:rPr>
        <w:t>带来互联网金融在估值体系上</w:t>
      </w:r>
      <w:r w:rsidRPr="00A51111">
        <w:rPr>
          <w:rFonts w:ascii="仿宋" w:eastAsia="仿宋" w:hAnsi="仿宋"/>
          <w:sz w:val="24"/>
          <w:szCs w:val="24"/>
        </w:rPr>
        <w:t>的</w:t>
      </w:r>
      <w:r w:rsidRPr="00A51111">
        <w:rPr>
          <w:rFonts w:ascii="仿宋" w:eastAsia="仿宋" w:hAnsi="仿宋" w:hint="eastAsia"/>
          <w:sz w:val="24"/>
          <w:szCs w:val="24"/>
        </w:rPr>
        <w:t>再</w:t>
      </w:r>
      <w:r w:rsidRPr="00A51111">
        <w:rPr>
          <w:rFonts w:ascii="仿宋" w:eastAsia="仿宋" w:hAnsi="仿宋"/>
          <w:sz w:val="24"/>
          <w:szCs w:val="24"/>
        </w:rPr>
        <w:t>重构</w:t>
      </w:r>
      <w:r w:rsidRPr="00A51111">
        <w:rPr>
          <w:rFonts w:ascii="仿宋" w:eastAsia="仿宋" w:hAnsi="仿宋" w:hint="eastAsia"/>
          <w:sz w:val="24"/>
          <w:szCs w:val="24"/>
        </w:rPr>
        <w:t>，背后</w:t>
      </w:r>
      <w:r w:rsidRPr="00A51111">
        <w:rPr>
          <w:rFonts w:ascii="仿宋" w:eastAsia="仿宋" w:hAnsi="仿宋"/>
          <w:sz w:val="24"/>
          <w:szCs w:val="24"/>
        </w:rPr>
        <w:t>隐含的是行业秩序的重塑</w:t>
      </w:r>
      <w:r w:rsidR="002F4BB2">
        <w:rPr>
          <w:rFonts w:ascii="仿宋" w:eastAsia="仿宋" w:hAnsi="仿宋" w:hint="eastAsia"/>
          <w:sz w:val="24"/>
          <w:szCs w:val="24"/>
        </w:rPr>
        <w:t>。</w:t>
      </w:r>
    </w:p>
    <w:p w:rsidR="00713E5A" w:rsidRPr="00EA57C0" w:rsidRDefault="00713E5A" w:rsidP="00E7095B">
      <w:pPr>
        <w:spacing w:before="240" w:line="324" w:lineRule="auto"/>
        <w:ind w:leftChars="1080" w:left="2268" w:rightChars="471" w:right="989"/>
        <w:jc w:val="left"/>
        <w:rPr>
          <w:rFonts w:ascii="仿宋" w:eastAsia="仿宋" w:hAnsi="仿宋"/>
          <w:sz w:val="24"/>
          <w:szCs w:val="24"/>
        </w:rPr>
      </w:pPr>
    </w:p>
    <w:p w:rsidR="000C7DE3" w:rsidRPr="0038061F" w:rsidRDefault="000C7DE3" w:rsidP="00E7095B">
      <w:pPr>
        <w:spacing w:before="240" w:line="324" w:lineRule="auto"/>
        <w:ind w:leftChars="1080" w:left="2268" w:rightChars="471" w:right="989"/>
        <w:jc w:val="left"/>
        <w:rPr>
          <w:rFonts w:ascii="仿宋" w:eastAsia="仿宋" w:hAnsi="仿宋"/>
          <w:sz w:val="24"/>
          <w:szCs w:val="24"/>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717662">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（201</w:t>
      </w:r>
      <w:r w:rsidR="002F21F1">
        <w:rPr>
          <w:rFonts w:ascii="仿宋" w:eastAsia="仿宋" w:hAnsi="仿宋"/>
          <w:b/>
          <w:color w:val="082F6B"/>
          <w:sz w:val="36"/>
          <w:szCs w:val="36"/>
        </w:rPr>
        <w:t>50810</w:t>
      </w:r>
      <w:r w:rsidRPr="002D6A58">
        <w:rPr>
          <w:rFonts w:ascii="仿宋" w:eastAsia="仿宋" w:hAnsi="仿宋" w:hint="eastAsia"/>
          <w:b/>
          <w:color w:val="082F6B"/>
          <w:sz w:val="36"/>
          <w:szCs w:val="36"/>
        </w:rPr>
        <w:t>-201</w:t>
      </w:r>
      <w:r w:rsidR="002F21F1">
        <w:rPr>
          <w:rFonts w:ascii="仿宋" w:eastAsia="仿宋" w:hAnsi="仿宋"/>
          <w:b/>
          <w:color w:val="082F6B"/>
          <w:sz w:val="36"/>
          <w:szCs w:val="36"/>
        </w:rPr>
        <w:t>50814</w:t>
      </w:r>
      <w:r>
        <w:rPr>
          <w:rFonts w:ascii="仿宋" w:eastAsia="仿宋" w:hAnsi="仿宋" w:hint="eastAsia"/>
          <w:b/>
          <w:color w:val="082F6B"/>
          <w:sz w:val="36"/>
          <w:szCs w:val="36"/>
        </w:rPr>
        <w:t>）</w:t>
      </w:r>
    </w:p>
    <w:p w:rsidR="00EA57C0" w:rsidRPr="00E16A7D" w:rsidRDefault="00EA57C0" w:rsidP="00EA57C0">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Pr="00567F50">
        <w:rPr>
          <w:rFonts w:ascii="仿宋" w:eastAsia="仿宋" w:hAnsi="仿宋"/>
          <w:color w:val="1F497D"/>
          <w:szCs w:val="21"/>
          <w:u w:val="single"/>
        </w:rPr>
        <w:br/>
      </w:r>
      <w:r w:rsidR="00717662" w:rsidRPr="00567F50">
        <w:rPr>
          <w:rFonts w:ascii="仿宋" w:eastAsia="仿宋" w:hAnsi="仿宋" w:hint="eastAsia"/>
          <w:sz w:val="24"/>
          <w:szCs w:val="24"/>
          <w:lang w:val="en-GB"/>
        </w:rPr>
        <w:t>本周上证综指</w:t>
      </w:r>
      <w:r w:rsidR="00717662">
        <w:rPr>
          <w:rFonts w:ascii="仿宋" w:eastAsia="仿宋" w:hAnsi="仿宋" w:hint="eastAsia"/>
          <w:sz w:val="24"/>
          <w:szCs w:val="24"/>
          <w:lang w:val="en-GB"/>
        </w:rPr>
        <w:t>上涨5.91%</w:t>
      </w:r>
      <w:r w:rsidR="00717662" w:rsidRPr="00567F50">
        <w:rPr>
          <w:rFonts w:ascii="仿宋" w:eastAsia="仿宋" w:hAnsi="仿宋" w:hint="eastAsia"/>
          <w:sz w:val="24"/>
          <w:szCs w:val="24"/>
          <w:lang w:val="en-GB"/>
        </w:rPr>
        <w:t>，深证成指</w:t>
      </w:r>
      <w:r w:rsidR="00717662">
        <w:rPr>
          <w:rFonts w:ascii="仿宋" w:eastAsia="仿宋" w:hAnsi="仿宋" w:hint="eastAsia"/>
          <w:sz w:val="24"/>
          <w:szCs w:val="24"/>
          <w:lang w:val="en-GB"/>
        </w:rPr>
        <w:t>上涨</w:t>
      </w:r>
      <w:r w:rsidR="00717662" w:rsidRPr="00717662">
        <w:rPr>
          <w:rFonts w:ascii="仿宋" w:eastAsia="仿宋" w:hAnsi="仿宋"/>
          <w:sz w:val="24"/>
          <w:szCs w:val="24"/>
          <w:lang w:val="en-GB"/>
        </w:rPr>
        <w:t>5.43</w:t>
      </w:r>
      <w:r w:rsidR="00717662">
        <w:rPr>
          <w:rFonts w:ascii="仿宋" w:eastAsia="仿宋" w:hAnsi="仿宋"/>
          <w:sz w:val="24"/>
          <w:szCs w:val="24"/>
          <w:lang w:val="en-GB"/>
        </w:rPr>
        <w:t>%</w:t>
      </w:r>
      <w:r w:rsidR="00717662" w:rsidRPr="00567F50">
        <w:rPr>
          <w:rFonts w:ascii="仿宋" w:eastAsia="仿宋" w:hAnsi="仿宋" w:hint="eastAsia"/>
          <w:sz w:val="24"/>
          <w:szCs w:val="24"/>
          <w:lang w:val="en-GB"/>
        </w:rPr>
        <w:t>，中小</w:t>
      </w:r>
      <w:proofErr w:type="gramStart"/>
      <w:r w:rsidR="00717662" w:rsidRPr="00567F50">
        <w:rPr>
          <w:rFonts w:ascii="仿宋" w:eastAsia="仿宋" w:hAnsi="仿宋" w:hint="eastAsia"/>
          <w:sz w:val="24"/>
          <w:szCs w:val="24"/>
          <w:lang w:val="en-GB"/>
        </w:rPr>
        <w:t>板指数</w:t>
      </w:r>
      <w:proofErr w:type="gramEnd"/>
      <w:r w:rsidR="00717662">
        <w:rPr>
          <w:rFonts w:ascii="仿宋" w:eastAsia="仿宋" w:hAnsi="仿宋" w:hint="eastAsia"/>
          <w:sz w:val="24"/>
          <w:szCs w:val="24"/>
          <w:lang w:val="en-GB"/>
        </w:rPr>
        <w:t>上涨</w:t>
      </w:r>
      <w:r w:rsidR="00717662" w:rsidRPr="00717662">
        <w:rPr>
          <w:rFonts w:ascii="仿宋" w:eastAsia="仿宋" w:hAnsi="仿宋"/>
          <w:sz w:val="24"/>
          <w:szCs w:val="24"/>
          <w:lang w:val="en-GB"/>
        </w:rPr>
        <w:t>6.51</w:t>
      </w:r>
      <w:r w:rsidR="00717662">
        <w:rPr>
          <w:rFonts w:ascii="仿宋" w:eastAsia="仿宋" w:hAnsi="仿宋"/>
          <w:sz w:val="24"/>
          <w:szCs w:val="24"/>
          <w:lang w:val="en-GB"/>
        </w:rPr>
        <w:t>%</w:t>
      </w:r>
      <w:r w:rsidR="00717662" w:rsidRPr="00567F50">
        <w:rPr>
          <w:rFonts w:ascii="仿宋" w:eastAsia="仿宋" w:hAnsi="仿宋" w:hint="eastAsia"/>
          <w:sz w:val="24"/>
          <w:szCs w:val="24"/>
          <w:lang w:val="en-GB"/>
        </w:rPr>
        <w:t>，沪深两市成交量为</w:t>
      </w:r>
      <w:r w:rsidR="00717662" w:rsidRPr="00717662">
        <w:rPr>
          <w:rFonts w:ascii="仿宋" w:eastAsia="仿宋" w:hAnsi="仿宋"/>
          <w:sz w:val="24"/>
          <w:szCs w:val="24"/>
          <w:lang w:val="en-GB"/>
        </w:rPr>
        <w:t>59,578.46</w:t>
      </w:r>
      <w:r w:rsidR="00717662" w:rsidRPr="00567F50">
        <w:rPr>
          <w:rFonts w:ascii="仿宋" w:eastAsia="仿宋" w:hAnsi="仿宋" w:hint="eastAsia"/>
          <w:sz w:val="24"/>
          <w:szCs w:val="24"/>
          <w:lang w:val="en-GB"/>
        </w:rPr>
        <w:t>亿元。</w:t>
      </w:r>
      <w:r w:rsidR="00717662">
        <w:rPr>
          <w:rFonts w:ascii="仿宋" w:eastAsia="仿宋" w:hAnsi="仿宋" w:hint="eastAsia"/>
          <w:sz w:val="24"/>
          <w:szCs w:val="24"/>
          <w:lang w:val="en-GB"/>
        </w:rPr>
        <w:t>商业贸易</w:t>
      </w:r>
      <w:r w:rsidR="00717662">
        <w:rPr>
          <w:rFonts w:ascii="仿宋" w:eastAsia="仿宋" w:hAnsi="仿宋"/>
          <w:sz w:val="24"/>
          <w:szCs w:val="24"/>
          <w:lang w:val="en-GB"/>
        </w:rPr>
        <w:t>、</w:t>
      </w:r>
      <w:r w:rsidR="00717662">
        <w:rPr>
          <w:rFonts w:ascii="仿宋" w:eastAsia="仿宋" w:hAnsi="仿宋" w:hint="eastAsia"/>
          <w:sz w:val="24"/>
          <w:szCs w:val="24"/>
          <w:lang w:val="en-GB"/>
        </w:rPr>
        <w:t>纺织服装</w:t>
      </w:r>
      <w:r w:rsidR="00717662">
        <w:rPr>
          <w:rFonts w:ascii="仿宋" w:eastAsia="仿宋" w:hAnsi="仿宋"/>
          <w:sz w:val="24"/>
          <w:szCs w:val="24"/>
          <w:lang w:val="en-GB"/>
        </w:rPr>
        <w:t>、</w:t>
      </w:r>
      <w:r w:rsidR="00717662">
        <w:rPr>
          <w:rFonts w:ascii="仿宋" w:eastAsia="仿宋" w:hAnsi="仿宋" w:hint="eastAsia"/>
          <w:sz w:val="24"/>
          <w:szCs w:val="24"/>
          <w:lang w:val="en-GB"/>
        </w:rPr>
        <w:t>国防军工</w:t>
      </w:r>
      <w:proofErr w:type="gramStart"/>
      <w:r w:rsidR="00717662">
        <w:rPr>
          <w:rFonts w:ascii="仿宋" w:eastAsia="仿宋" w:hAnsi="仿宋"/>
          <w:sz w:val="24"/>
          <w:szCs w:val="24"/>
          <w:lang w:val="en-GB"/>
        </w:rPr>
        <w:t>行业</w:t>
      </w:r>
      <w:r w:rsidR="00717662">
        <w:rPr>
          <w:rFonts w:ascii="仿宋" w:eastAsia="仿宋" w:hAnsi="仿宋" w:hint="eastAsia"/>
          <w:sz w:val="24"/>
          <w:szCs w:val="24"/>
          <w:lang w:val="en-GB"/>
        </w:rPr>
        <w:t>涨幅</w:t>
      </w:r>
      <w:proofErr w:type="gramEnd"/>
      <w:r w:rsidR="00717662">
        <w:rPr>
          <w:rFonts w:ascii="仿宋" w:eastAsia="仿宋" w:hAnsi="仿宋" w:hint="eastAsia"/>
          <w:sz w:val="24"/>
          <w:szCs w:val="24"/>
          <w:lang w:val="en-GB"/>
        </w:rPr>
        <w:t>最大</w:t>
      </w:r>
      <w:r w:rsidR="00717662">
        <w:rPr>
          <w:rFonts w:ascii="仿宋" w:eastAsia="仿宋" w:hAnsi="仿宋"/>
          <w:sz w:val="24"/>
          <w:szCs w:val="24"/>
          <w:lang w:val="en-GB"/>
        </w:rPr>
        <w:t>，</w:t>
      </w:r>
      <w:r w:rsidR="00717662">
        <w:rPr>
          <w:rFonts w:ascii="仿宋" w:eastAsia="仿宋" w:hAnsi="仿宋" w:hint="eastAsia"/>
          <w:sz w:val="24"/>
          <w:szCs w:val="24"/>
          <w:lang w:val="en-GB"/>
        </w:rPr>
        <w:t>涨幅</w:t>
      </w:r>
      <w:r w:rsidR="00717662">
        <w:rPr>
          <w:rFonts w:ascii="仿宋" w:eastAsia="仿宋" w:hAnsi="仿宋"/>
          <w:sz w:val="24"/>
          <w:szCs w:val="24"/>
          <w:lang w:val="en-GB"/>
        </w:rPr>
        <w:t>分别为</w:t>
      </w:r>
      <w:r w:rsidR="00717662" w:rsidRPr="00717662">
        <w:rPr>
          <w:rFonts w:ascii="仿宋" w:eastAsia="仿宋" w:hAnsi="仿宋"/>
          <w:sz w:val="24"/>
          <w:szCs w:val="24"/>
          <w:lang w:val="en-GB"/>
        </w:rPr>
        <w:t>15.94%</w:t>
      </w:r>
      <w:r w:rsidR="00717662">
        <w:rPr>
          <w:rFonts w:ascii="仿宋" w:eastAsia="仿宋" w:hAnsi="仿宋"/>
          <w:sz w:val="24"/>
          <w:szCs w:val="24"/>
          <w:lang w:val="en-GB"/>
        </w:rPr>
        <w:t>、</w:t>
      </w:r>
      <w:r w:rsidR="00717662" w:rsidRPr="00717662">
        <w:rPr>
          <w:rFonts w:ascii="仿宋" w:eastAsia="仿宋" w:hAnsi="仿宋"/>
          <w:sz w:val="24"/>
          <w:szCs w:val="24"/>
          <w:lang w:val="en-GB"/>
        </w:rPr>
        <w:t>14.96%</w:t>
      </w:r>
      <w:r w:rsidR="00717662">
        <w:rPr>
          <w:rFonts w:ascii="仿宋" w:eastAsia="仿宋" w:hAnsi="仿宋"/>
          <w:sz w:val="24"/>
          <w:szCs w:val="24"/>
          <w:lang w:val="en-GB"/>
        </w:rPr>
        <w:t>、</w:t>
      </w:r>
      <w:r w:rsidR="00717662" w:rsidRPr="00717662">
        <w:rPr>
          <w:rFonts w:ascii="仿宋" w:eastAsia="仿宋" w:hAnsi="仿宋"/>
          <w:sz w:val="24"/>
          <w:szCs w:val="24"/>
          <w:lang w:val="en-GB"/>
        </w:rPr>
        <w:t>11.48%</w:t>
      </w:r>
      <w:r w:rsidR="00717662">
        <w:rPr>
          <w:rFonts w:ascii="仿宋" w:eastAsia="仿宋" w:hAnsi="仿宋"/>
          <w:sz w:val="24"/>
          <w:szCs w:val="24"/>
          <w:lang w:val="en-GB"/>
        </w:rPr>
        <w:t>。</w:t>
      </w:r>
      <w:r w:rsidR="00717662" w:rsidRPr="00567F50">
        <w:rPr>
          <w:rFonts w:ascii="仿宋" w:eastAsia="仿宋" w:hAnsi="仿宋" w:hint="eastAsia"/>
          <w:sz w:val="24"/>
          <w:szCs w:val="24"/>
          <w:lang w:val="en-GB"/>
        </w:rPr>
        <w:t>从行业换手率来看，</w:t>
      </w:r>
      <w:r w:rsidR="00717662">
        <w:rPr>
          <w:rFonts w:ascii="仿宋" w:eastAsia="仿宋" w:hAnsi="仿宋" w:hint="eastAsia"/>
          <w:sz w:val="24"/>
          <w:szCs w:val="24"/>
          <w:lang w:val="en-GB"/>
        </w:rPr>
        <w:t>纺织服装行业</w:t>
      </w:r>
      <w:r w:rsidR="00717662" w:rsidRPr="00567F50">
        <w:rPr>
          <w:rFonts w:ascii="仿宋" w:eastAsia="仿宋" w:hAnsi="仿宋" w:hint="eastAsia"/>
          <w:sz w:val="24"/>
          <w:szCs w:val="24"/>
          <w:lang w:val="en-GB"/>
        </w:rPr>
        <w:t>换手率最大，换手率</w:t>
      </w:r>
      <w:r w:rsidR="00717662">
        <w:rPr>
          <w:rFonts w:ascii="仿宋" w:eastAsia="仿宋" w:hAnsi="仿宋" w:hint="eastAsia"/>
          <w:sz w:val="24"/>
          <w:szCs w:val="24"/>
          <w:lang w:val="en-GB"/>
        </w:rPr>
        <w:t>为</w:t>
      </w:r>
      <w:r w:rsidR="00717662" w:rsidRPr="00717662">
        <w:rPr>
          <w:rFonts w:ascii="仿宋" w:eastAsia="仿宋" w:hAnsi="仿宋"/>
          <w:sz w:val="24"/>
          <w:szCs w:val="24"/>
          <w:lang w:val="en-GB"/>
        </w:rPr>
        <w:t>25.66%</w:t>
      </w:r>
      <w:r w:rsidR="00717662">
        <w:rPr>
          <w:rFonts w:ascii="仿宋" w:eastAsia="仿宋" w:hAnsi="仿宋" w:hint="eastAsia"/>
          <w:sz w:val="24"/>
          <w:szCs w:val="24"/>
          <w:lang w:val="en-GB"/>
        </w:rPr>
        <w:t>。</w:t>
      </w:r>
    </w:p>
    <w:p w:rsidR="000144FB" w:rsidRPr="002F21F1" w:rsidRDefault="005A3BF6" w:rsidP="002F21F1">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2F21F1" w:rsidRPr="00A51111">
        <w:rPr>
          <w:rFonts w:ascii="仿宋" w:eastAsia="仿宋" w:hAnsi="仿宋" w:hint="eastAsia"/>
          <w:b/>
          <w:color w:val="082F6B"/>
          <w:sz w:val="44"/>
          <w:szCs w:val="44"/>
        </w:rPr>
        <w:lastRenderedPageBreak/>
        <w:t>互联网</w:t>
      </w:r>
      <w:r w:rsidR="002F21F1" w:rsidRPr="00A51111">
        <w:rPr>
          <w:rFonts w:ascii="仿宋" w:eastAsia="仿宋" w:hAnsi="仿宋"/>
          <w:b/>
          <w:color w:val="082F6B"/>
          <w:sz w:val="44"/>
          <w:szCs w:val="44"/>
        </w:rPr>
        <w:t>金融</w:t>
      </w:r>
      <w:r w:rsidR="002F21F1" w:rsidRPr="00A51111">
        <w:rPr>
          <w:rFonts w:ascii="仿宋" w:eastAsia="仿宋" w:hAnsi="仿宋" w:hint="eastAsia"/>
          <w:b/>
          <w:color w:val="082F6B"/>
          <w:sz w:val="44"/>
          <w:szCs w:val="44"/>
        </w:rPr>
        <w:t>的</w:t>
      </w:r>
      <w:r w:rsidR="002F21F1" w:rsidRPr="00A51111">
        <w:rPr>
          <w:rFonts w:ascii="仿宋" w:eastAsia="仿宋" w:hAnsi="仿宋"/>
          <w:b/>
          <w:color w:val="082F6B"/>
          <w:sz w:val="44"/>
          <w:szCs w:val="44"/>
        </w:rPr>
        <w:t>否定之否定</w:t>
      </w:r>
    </w:p>
    <w:p w:rsidR="00A51111" w:rsidRPr="00A51111" w:rsidRDefault="00A51111" w:rsidP="00A51111">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A51111">
        <w:rPr>
          <w:rFonts w:ascii="仿宋" w:eastAsia="仿宋" w:hAnsi="仿宋" w:hint="eastAsia"/>
          <w:b/>
          <w:color w:val="0088CC"/>
          <w:sz w:val="24"/>
          <w:szCs w:val="24"/>
        </w:rPr>
        <w:t>交银施罗德</w:t>
      </w:r>
      <w:r w:rsidRPr="00A51111">
        <w:rPr>
          <w:rFonts w:ascii="仿宋" w:eastAsia="仿宋" w:hAnsi="仿宋"/>
          <w:b/>
          <w:color w:val="0088CC"/>
          <w:sz w:val="24"/>
          <w:szCs w:val="24"/>
        </w:rPr>
        <w:t>基金</w:t>
      </w:r>
      <w:r w:rsidRPr="00A51111">
        <w:rPr>
          <w:rFonts w:ascii="仿宋" w:eastAsia="仿宋" w:hAnsi="仿宋" w:hint="eastAsia"/>
          <w:b/>
          <w:color w:val="0088CC"/>
          <w:sz w:val="24"/>
          <w:szCs w:val="24"/>
        </w:rPr>
        <w:t>行业研究员 胡云峰</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任何事物</w:t>
      </w:r>
      <w:r w:rsidRPr="00A51111">
        <w:rPr>
          <w:rFonts w:ascii="仿宋" w:eastAsia="仿宋" w:hAnsi="仿宋"/>
          <w:sz w:val="24"/>
          <w:szCs w:val="24"/>
        </w:rPr>
        <w:t>都</w:t>
      </w:r>
      <w:r w:rsidRPr="00A51111">
        <w:rPr>
          <w:rFonts w:ascii="仿宋" w:eastAsia="仿宋" w:hAnsi="仿宋" w:hint="eastAsia"/>
          <w:sz w:val="24"/>
          <w:szCs w:val="24"/>
        </w:rPr>
        <w:t>将经历</w:t>
      </w:r>
      <w:r w:rsidRPr="00A51111">
        <w:rPr>
          <w:rFonts w:ascii="仿宋" w:eastAsia="仿宋" w:hAnsi="仿宋"/>
          <w:sz w:val="24"/>
          <w:szCs w:val="24"/>
        </w:rPr>
        <w:t>否定之否定的螺旋上升过程，互联网金融概莫能外。</w:t>
      </w:r>
      <w:r w:rsidRPr="00A51111">
        <w:rPr>
          <w:rFonts w:ascii="仿宋" w:eastAsia="仿宋" w:hAnsi="仿宋" w:hint="eastAsia"/>
          <w:sz w:val="24"/>
          <w:szCs w:val="24"/>
        </w:rPr>
        <w:t>从20</w:t>
      </w:r>
      <w:r w:rsidRPr="00A51111">
        <w:rPr>
          <w:rFonts w:ascii="仿宋" w:eastAsia="仿宋" w:hAnsi="仿宋"/>
          <w:sz w:val="24"/>
          <w:szCs w:val="24"/>
        </w:rPr>
        <w:t>12</w:t>
      </w:r>
      <w:r w:rsidRPr="00A51111">
        <w:rPr>
          <w:rFonts w:ascii="仿宋" w:eastAsia="仿宋" w:hAnsi="仿宋" w:hint="eastAsia"/>
          <w:sz w:val="24"/>
          <w:szCs w:val="24"/>
        </w:rPr>
        <w:t>年</w:t>
      </w:r>
      <w:r w:rsidRPr="00A51111">
        <w:rPr>
          <w:rFonts w:ascii="仿宋" w:eastAsia="仿宋" w:hAnsi="仿宋"/>
          <w:sz w:val="24"/>
          <w:szCs w:val="24"/>
        </w:rPr>
        <w:t>雨后春笋，到</w:t>
      </w:r>
      <w:r w:rsidRPr="00A51111">
        <w:rPr>
          <w:rFonts w:ascii="仿宋" w:eastAsia="仿宋" w:hAnsi="仿宋" w:hint="eastAsia"/>
          <w:sz w:val="24"/>
          <w:szCs w:val="24"/>
        </w:rPr>
        <w:t>2013</w:t>
      </w:r>
      <w:r w:rsidRPr="00A51111">
        <w:rPr>
          <w:rFonts w:ascii="仿宋" w:eastAsia="仿宋" w:hAnsi="仿宋"/>
          <w:sz w:val="24"/>
          <w:szCs w:val="24"/>
        </w:rPr>
        <w:t>~2014</w:t>
      </w:r>
      <w:r w:rsidRPr="00A51111">
        <w:rPr>
          <w:rFonts w:ascii="仿宋" w:eastAsia="仿宋" w:hAnsi="仿宋" w:hint="eastAsia"/>
          <w:sz w:val="24"/>
          <w:szCs w:val="24"/>
        </w:rPr>
        <w:t>年的</w:t>
      </w:r>
      <w:r w:rsidRPr="00A51111">
        <w:rPr>
          <w:rFonts w:ascii="仿宋" w:eastAsia="仿宋" w:hAnsi="仿宋"/>
          <w:sz w:val="24"/>
          <w:szCs w:val="24"/>
        </w:rPr>
        <w:t>高速扩张，</w:t>
      </w:r>
      <w:r w:rsidRPr="00A51111">
        <w:rPr>
          <w:rFonts w:ascii="仿宋" w:eastAsia="仿宋" w:hAnsi="仿宋" w:hint="eastAsia"/>
          <w:sz w:val="24"/>
          <w:szCs w:val="24"/>
        </w:rPr>
        <w:t>各类互联网金融创新产品乱花渐欲迷人眼。</w:t>
      </w:r>
      <w:r>
        <w:rPr>
          <w:rFonts w:ascii="仿宋" w:eastAsia="仿宋" w:hAnsi="仿宋" w:hint="eastAsia"/>
          <w:sz w:val="24"/>
          <w:szCs w:val="24"/>
        </w:rPr>
        <w:t>2015</w:t>
      </w:r>
      <w:r w:rsidRPr="00A51111">
        <w:rPr>
          <w:rFonts w:ascii="仿宋" w:eastAsia="仿宋" w:hAnsi="仿宋" w:hint="eastAsia"/>
          <w:sz w:val="24"/>
          <w:szCs w:val="24"/>
        </w:rPr>
        <w:t>年注定将是互联网金融业进行更多思考的年头。6月</w:t>
      </w:r>
      <w:r w:rsidRPr="00A51111">
        <w:rPr>
          <w:rFonts w:ascii="仿宋" w:eastAsia="仿宋" w:hAnsi="仿宋"/>
          <w:sz w:val="24"/>
          <w:szCs w:val="24"/>
        </w:rPr>
        <w:t>以来的这一</w:t>
      </w:r>
      <w:r w:rsidRPr="00A51111">
        <w:rPr>
          <w:rFonts w:ascii="仿宋" w:eastAsia="仿宋" w:hAnsi="仿宋" w:hint="eastAsia"/>
          <w:sz w:val="24"/>
          <w:szCs w:val="24"/>
        </w:rPr>
        <w:t>轮“股灾</w:t>
      </w:r>
      <w:r w:rsidRPr="00A51111">
        <w:rPr>
          <w:rFonts w:ascii="仿宋" w:eastAsia="仿宋" w:hAnsi="仿宋"/>
          <w:sz w:val="24"/>
          <w:szCs w:val="24"/>
        </w:rPr>
        <w:t>”</w:t>
      </w:r>
      <w:r w:rsidRPr="00A51111">
        <w:rPr>
          <w:rFonts w:ascii="仿宋" w:eastAsia="仿宋" w:hAnsi="仿宋" w:hint="eastAsia"/>
          <w:sz w:val="24"/>
          <w:szCs w:val="24"/>
        </w:rPr>
        <w:t>带来互联网金融在估值体系上</w:t>
      </w:r>
      <w:r w:rsidRPr="00A51111">
        <w:rPr>
          <w:rFonts w:ascii="仿宋" w:eastAsia="仿宋" w:hAnsi="仿宋"/>
          <w:sz w:val="24"/>
          <w:szCs w:val="24"/>
        </w:rPr>
        <w:t>的</w:t>
      </w:r>
      <w:r w:rsidRPr="00A51111">
        <w:rPr>
          <w:rFonts w:ascii="仿宋" w:eastAsia="仿宋" w:hAnsi="仿宋" w:hint="eastAsia"/>
          <w:sz w:val="24"/>
          <w:szCs w:val="24"/>
        </w:rPr>
        <w:t>再</w:t>
      </w:r>
      <w:r w:rsidRPr="00A51111">
        <w:rPr>
          <w:rFonts w:ascii="仿宋" w:eastAsia="仿宋" w:hAnsi="仿宋"/>
          <w:sz w:val="24"/>
          <w:szCs w:val="24"/>
        </w:rPr>
        <w:t>重构</w:t>
      </w:r>
      <w:r w:rsidRPr="00A51111">
        <w:rPr>
          <w:rFonts w:ascii="仿宋" w:eastAsia="仿宋" w:hAnsi="仿宋" w:hint="eastAsia"/>
          <w:sz w:val="24"/>
          <w:szCs w:val="24"/>
        </w:rPr>
        <w:t>，背后</w:t>
      </w:r>
      <w:r w:rsidRPr="00A51111">
        <w:rPr>
          <w:rFonts w:ascii="仿宋" w:eastAsia="仿宋" w:hAnsi="仿宋"/>
          <w:sz w:val="24"/>
          <w:szCs w:val="24"/>
        </w:rPr>
        <w:t>隐含的是行业秩序的重塑。</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回首</w:t>
      </w:r>
      <w:r w:rsidRPr="00A51111">
        <w:rPr>
          <w:rFonts w:ascii="仿宋" w:eastAsia="仿宋" w:hAnsi="仿宋"/>
          <w:sz w:val="24"/>
          <w:szCs w:val="24"/>
        </w:rPr>
        <w:t>过去几年，</w:t>
      </w:r>
      <w:r w:rsidRPr="00A51111">
        <w:rPr>
          <w:rFonts w:ascii="仿宋" w:eastAsia="仿宋" w:hAnsi="仿宋" w:hint="eastAsia"/>
          <w:sz w:val="24"/>
          <w:szCs w:val="24"/>
        </w:rPr>
        <w:t>以互联网为首的创新科技，</w:t>
      </w:r>
      <w:r w:rsidRPr="00A51111">
        <w:rPr>
          <w:rFonts w:ascii="仿宋" w:eastAsia="仿宋" w:hAnsi="仿宋"/>
          <w:sz w:val="24"/>
          <w:szCs w:val="24"/>
        </w:rPr>
        <w:t>正在以其</w:t>
      </w:r>
      <w:r w:rsidRPr="00A51111">
        <w:rPr>
          <w:rFonts w:ascii="仿宋" w:eastAsia="仿宋" w:hAnsi="仿宋" w:hint="eastAsia"/>
          <w:sz w:val="24"/>
          <w:szCs w:val="24"/>
        </w:rPr>
        <w:t>所拥有的强大生命力和爆发式增长速度，在极大程度上</w:t>
      </w:r>
      <w:proofErr w:type="gramStart"/>
      <w:r w:rsidRPr="00A51111">
        <w:rPr>
          <w:rFonts w:ascii="仿宋" w:eastAsia="仿宋" w:hAnsi="仿宋" w:hint="eastAsia"/>
          <w:sz w:val="24"/>
          <w:szCs w:val="24"/>
        </w:rPr>
        <w:t>颠覆</w:t>
      </w:r>
      <w:r w:rsidRPr="00A51111">
        <w:rPr>
          <w:rFonts w:ascii="仿宋" w:eastAsia="仿宋" w:hAnsi="仿宋"/>
          <w:sz w:val="24"/>
          <w:szCs w:val="24"/>
        </w:rPr>
        <w:t>着</w:t>
      </w:r>
      <w:proofErr w:type="gramEnd"/>
      <w:r w:rsidRPr="00A51111">
        <w:rPr>
          <w:rFonts w:ascii="仿宋" w:eastAsia="仿宋" w:hAnsi="仿宋" w:hint="eastAsia"/>
          <w:sz w:val="24"/>
          <w:szCs w:val="24"/>
        </w:rPr>
        <w:t>我们的生活，也在</w:t>
      </w:r>
      <w:r w:rsidRPr="00A51111">
        <w:rPr>
          <w:rFonts w:ascii="仿宋" w:eastAsia="仿宋" w:hAnsi="仿宋"/>
          <w:sz w:val="24"/>
          <w:szCs w:val="24"/>
        </w:rPr>
        <w:t>改变着</w:t>
      </w:r>
      <w:r w:rsidRPr="00A51111">
        <w:rPr>
          <w:rFonts w:ascii="仿宋" w:eastAsia="仿宋" w:hAnsi="仿宋" w:hint="eastAsia"/>
          <w:sz w:val="24"/>
          <w:szCs w:val="24"/>
        </w:rPr>
        <w:t>资本市场的结构。互联网</w:t>
      </w:r>
      <w:r w:rsidRPr="00A51111">
        <w:rPr>
          <w:rFonts w:ascii="仿宋" w:eastAsia="仿宋" w:hAnsi="仿宋"/>
          <w:sz w:val="24"/>
          <w:szCs w:val="24"/>
        </w:rPr>
        <w:t>金融热潮也</w:t>
      </w:r>
      <w:r w:rsidRPr="00A51111">
        <w:rPr>
          <w:rFonts w:ascii="仿宋" w:eastAsia="仿宋" w:hAnsi="仿宋" w:hint="eastAsia"/>
          <w:sz w:val="24"/>
          <w:szCs w:val="24"/>
        </w:rPr>
        <w:t>在</w:t>
      </w:r>
      <w:r w:rsidRPr="00A51111">
        <w:rPr>
          <w:rFonts w:ascii="仿宋" w:eastAsia="仿宋" w:hAnsi="仿宋"/>
          <w:sz w:val="24"/>
          <w:szCs w:val="24"/>
        </w:rPr>
        <w:t>某种程度上引领了</w:t>
      </w:r>
      <w:r w:rsidRPr="00A51111">
        <w:rPr>
          <w:rFonts w:ascii="仿宋" w:eastAsia="仿宋" w:hAnsi="仿宋" w:hint="eastAsia"/>
          <w:sz w:val="24"/>
          <w:szCs w:val="24"/>
        </w:rPr>
        <w:t>上半年A股</w:t>
      </w:r>
      <w:r w:rsidRPr="00A51111">
        <w:rPr>
          <w:rFonts w:ascii="仿宋" w:eastAsia="仿宋" w:hAnsi="仿宋"/>
          <w:sz w:val="24"/>
          <w:szCs w:val="24"/>
        </w:rPr>
        <w:t>大牛市的进程</w:t>
      </w:r>
      <w:r w:rsidRPr="00A51111">
        <w:rPr>
          <w:rFonts w:ascii="仿宋" w:eastAsia="仿宋" w:hAnsi="仿宋" w:hint="eastAsia"/>
          <w:sz w:val="24"/>
          <w:szCs w:val="24"/>
        </w:rPr>
        <w:t>。由于互联网公司在收入、盈利、流量上有着非线性的变化，在估值方法体系上与传统经典成长股有着较大的差异。因此</w:t>
      </w:r>
      <w:r w:rsidRPr="00A51111">
        <w:rPr>
          <w:rFonts w:ascii="仿宋" w:eastAsia="仿宋" w:hAnsi="仿宋"/>
          <w:sz w:val="24"/>
          <w:szCs w:val="24"/>
        </w:rPr>
        <w:t>，</w:t>
      </w:r>
      <w:r w:rsidRPr="00A51111">
        <w:rPr>
          <w:rFonts w:ascii="仿宋" w:eastAsia="仿宋" w:hAnsi="仿宋" w:hint="eastAsia"/>
          <w:sz w:val="24"/>
          <w:szCs w:val="24"/>
        </w:rPr>
        <w:t>人们</w:t>
      </w:r>
      <w:r w:rsidRPr="00A51111">
        <w:rPr>
          <w:rFonts w:ascii="仿宋" w:eastAsia="仿宋" w:hAnsi="仿宋"/>
          <w:sz w:val="24"/>
          <w:szCs w:val="24"/>
        </w:rPr>
        <w:t>尝试着颠覆</w:t>
      </w:r>
      <w:r w:rsidRPr="00A51111">
        <w:rPr>
          <w:rFonts w:ascii="仿宋" w:eastAsia="仿宋" w:hAnsi="仿宋" w:hint="eastAsia"/>
          <w:sz w:val="24"/>
          <w:szCs w:val="24"/>
        </w:rPr>
        <w:t>传统</w:t>
      </w:r>
      <w:r w:rsidRPr="00A51111">
        <w:rPr>
          <w:rFonts w:ascii="仿宋" w:eastAsia="仿宋" w:hAnsi="仿宋"/>
          <w:sz w:val="24"/>
          <w:szCs w:val="24"/>
        </w:rPr>
        <w:t>惯性的思维模式，</w:t>
      </w:r>
      <w:r w:rsidRPr="00A51111">
        <w:rPr>
          <w:rFonts w:ascii="仿宋" w:eastAsia="仿宋" w:hAnsi="仿宋" w:hint="eastAsia"/>
          <w:sz w:val="24"/>
          <w:szCs w:val="24"/>
        </w:rPr>
        <w:t>尝试更多从资源、流量、卡位、技术能力</w:t>
      </w:r>
      <w:r w:rsidR="00D6144D">
        <w:rPr>
          <w:rFonts w:ascii="仿宋" w:eastAsia="仿宋" w:hAnsi="仿宋" w:hint="eastAsia"/>
          <w:sz w:val="24"/>
          <w:szCs w:val="24"/>
        </w:rPr>
        <w:t>、市场空间、未来潜在市场容量、公司竞争力变化等指标方向上去</w:t>
      </w:r>
      <w:proofErr w:type="gramStart"/>
      <w:r w:rsidR="00D6144D">
        <w:rPr>
          <w:rFonts w:ascii="仿宋" w:eastAsia="仿宋" w:hAnsi="仿宋" w:hint="eastAsia"/>
          <w:sz w:val="24"/>
          <w:szCs w:val="24"/>
        </w:rPr>
        <w:t>考量</w:t>
      </w:r>
      <w:proofErr w:type="gramEnd"/>
      <w:r w:rsidRPr="00A51111">
        <w:rPr>
          <w:rFonts w:ascii="仿宋" w:eastAsia="仿宋" w:hAnsi="仿宋" w:hint="eastAsia"/>
          <w:sz w:val="24"/>
          <w:szCs w:val="24"/>
        </w:rPr>
        <w:t>互联网金融</w:t>
      </w:r>
      <w:r w:rsidRPr="00A51111">
        <w:rPr>
          <w:rFonts w:ascii="仿宋" w:eastAsia="仿宋" w:hAnsi="仿宋"/>
          <w:sz w:val="24"/>
          <w:szCs w:val="24"/>
        </w:rPr>
        <w:t>行业</w:t>
      </w:r>
      <w:r w:rsidRPr="00A51111">
        <w:rPr>
          <w:rFonts w:ascii="仿宋" w:eastAsia="仿宋" w:hAnsi="仿宋" w:hint="eastAsia"/>
          <w:sz w:val="24"/>
          <w:szCs w:val="24"/>
        </w:rPr>
        <w:t>的估值水平，尝试着</w:t>
      </w:r>
      <w:r w:rsidRPr="00A51111">
        <w:rPr>
          <w:rFonts w:ascii="仿宋" w:eastAsia="仿宋" w:hAnsi="仿宋"/>
          <w:sz w:val="24"/>
          <w:szCs w:val="24"/>
        </w:rPr>
        <w:t>用</w:t>
      </w:r>
      <w:r w:rsidRPr="00A51111">
        <w:rPr>
          <w:rFonts w:ascii="仿宋" w:eastAsia="仿宋" w:hAnsi="仿宋" w:hint="eastAsia"/>
          <w:sz w:val="24"/>
          <w:szCs w:val="24"/>
        </w:rPr>
        <w:t>PE/VC化的视角</w:t>
      </w:r>
      <w:r w:rsidRPr="00A51111">
        <w:rPr>
          <w:rFonts w:ascii="仿宋" w:eastAsia="仿宋" w:hAnsi="仿宋"/>
          <w:sz w:val="24"/>
          <w:szCs w:val="24"/>
        </w:rPr>
        <w:t>，来</w:t>
      </w:r>
      <w:r w:rsidRPr="00A51111">
        <w:rPr>
          <w:rFonts w:ascii="仿宋" w:eastAsia="仿宋" w:hAnsi="仿宋" w:hint="eastAsia"/>
          <w:sz w:val="24"/>
          <w:szCs w:val="24"/>
        </w:rPr>
        <w:t>给予</w:t>
      </w:r>
      <w:r w:rsidRPr="00A51111">
        <w:rPr>
          <w:rFonts w:ascii="仿宋" w:eastAsia="仿宋" w:hAnsi="仿宋"/>
          <w:sz w:val="24"/>
          <w:szCs w:val="24"/>
        </w:rPr>
        <w:t>这个</w:t>
      </w:r>
      <w:r w:rsidRPr="00A51111">
        <w:rPr>
          <w:rFonts w:ascii="仿宋" w:eastAsia="仿宋" w:hAnsi="仿宋" w:hint="eastAsia"/>
          <w:sz w:val="24"/>
          <w:szCs w:val="24"/>
        </w:rPr>
        <w:t>具有长远盈利预期的</w:t>
      </w:r>
      <w:r w:rsidRPr="00A51111">
        <w:rPr>
          <w:rFonts w:ascii="仿宋" w:eastAsia="仿宋" w:hAnsi="仿宋"/>
          <w:sz w:val="24"/>
          <w:szCs w:val="24"/>
        </w:rPr>
        <w:t>行业</w:t>
      </w:r>
      <w:r w:rsidRPr="00A51111">
        <w:rPr>
          <w:rFonts w:ascii="仿宋" w:eastAsia="仿宋" w:hAnsi="仿宋" w:hint="eastAsia"/>
          <w:sz w:val="24"/>
          <w:szCs w:val="24"/>
        </w:rPr>
        <w:t>以更高</w:t>
      </w:r>
      <w:r w:rsidRPr="00A51111">
        <w:rPr>
          <w:rFonts w:ascii="仿宋" w:eastAsia="仿宋" w:hAnsi="仿宋"/>
          <w:sz w:val="24"/>
          <w:szCs w:val="24"/>
        </w:rPr>
        <w:t>的</w:t>
      </w:r>
      <w:r w:rsidRPr="00A51111">
        <w:rPr>
          <w:rFonts w:ascii="仿宋" w:eastAsia="仿宋" w:hAnsi="仿宋" w:hint="eastAsia"/>
          <w:sz w:val="24"/>
          <w:szCs w:val="24"/>
        </w:rPr>
        <w:t>贴现价值。这种思维</w:t>
      </w:r>
      <w:r w:rsidRPr="00A51111">
        <w:rPr>
          <w:rFonts w:ascii="仿宋" w:eastAsia="仿宋" w:hAnsi="仿宋"/>
          <w:sz w:val="24"/>
          <w:szCs w:val="24"/>
        </w:rPr>
        <w:t>的颠覆</w:t>
      </w:r>
      <w:r w:rsidRPr="00A51111">
        <w:rPr>
          <w:rFonts w:ascii="仿宋" w:eastAsia="仿宋" w:hAnsi="仿宋" w:hint="eastAsia"/>
          <w:sz w:val="24"/>
          <w:szCs w:val="24"/>
        </w:rPr>
        <w:t>性</w:t>
      </w:r>
      <w:r w:rsidRPr="00A51111">
        <w:rPr>
          <w:rFonts w:ascii="仿宋" w:eastAsia="仿宋" w:hAnsi="仿宋"/>
          <w:sz w:val="24"/>
          <w:szCs w:val="24"/>
        </w:rPr>
        <w:t>变革带给我们</w:t>
      </w:r>
      <w:r w:rsidRPr="00A51111">
        <w:rPr>
          <w:rFonts w:ascii="仿宋" w:eastAsia="仿宋" w:hAnsi="仿宋" w:hint="eastAsia"/>
          <w:sz w:val="24"/>
          <w:szCs w:val="24"/>
        </w:rPr>
        <w:t>创新</w:t>
      </w:r>
      <w:r w:rsidRPr="00A51111">
        <w:rPr>
          <w:rFonts w:ascii="仿宋" w:eastAsia="仿宋" w:hAnsi="仿宋"/>
          <w:sz w:val="24"/>
          <w:szCs w:val="24"/>
        </w:rPr>
        <w:t>的</w:t>
      </w:r>
      <w:r w:rsidRPr="00A51111">
        <w:rPr>
          <w:rFonts w:ascii="仿宋" w:eastAsia="仿宋" w:hAnsi="仿宋" w:hint="eastAsia"/>
          <w:sz w:val="24"/>
          <w:szCs w:val="24"/>
        </w:rPr>
        <w:t>激情与</w:t>
      </w:r>
      <w:r w:rsidRPr="00A51111">
        <w:rPr>
          <w:rFonts w:ascii="仿宋" w:eastAsia="仿宋" w:hAnsi="仿宋"/>
          <w:sz w:val="24"/>
          <w:szCs w:val="24"/>
        </w:rPr>
        <w:t>愉悦</w:t>
      </w:r>
      <w:r w:rsidRPr="00A51111">
        <w:rPr>
          <w:rFonts w:ascii="仿宋" w:eastAsia="仿宋" w:hAnsi="仿宋" w:hint="eastAsia"/>
          <w:sz w:val="24"/>
          <w:szCs w:val="24"/>
        </w:rPr>
        <w:t>。但有阳光的地方就有阴影，随之而来</w:t>
      </w:r>
      <w:r w:rsidRPr="00A51111">
        <w:rPr>
          <w:rFonts w:ascii="仿宋" w:eastAsia="仿宋" w:hAnsi="仿宋"/>
          <w:sz w:val="24"/>
          <w:szCs w:val="24"/>
        </w:rPr>
        <w:t>的鱼龙混杂、</w:t>
      </w:r>
      <w:r w:rsidRPr="00A51111">
        <w:rPr>
          <w:rFonts w:ascii="仿宋" w:eastAsia="仿宋" w:hAnsi="仿宋" w:hint="eastAsia"/>
          <w:sz w:val="24"/>
          <w:szCs w:val="24"/>
        </w:rPr>
        <w:t>良莠不齐的</w:t>
      </w:r>
      <w:r w:rsidRPr="00A51111">
        <w:rPr>
          <w:rFonts w:ascii="仿宋" w:eastAsia="仿宋" w:hAnsi="仿宋"/>
          <w:sz w:val="24"/>
          <w:szCs w:val="24"/>
        </w:rPr>
        <w:t>行业现状</w:t>
      </w:r>
      <w:r w:rsidRPr="00A51111">
        <w:rPr>
          <w:rFonts w:ascii="仿宋" w:eastAsia="仿宋" w:hAnsi="仿宋" w:hint="eastAsia"/>
          <w:sz w:val="24"/>
          <w:szCs w:val="24"/>
        </w:rPr>
        <w:t>，令价值</w:t>
      </w:r>
      <w:r w:rsidRPr="00A51111">
        <w:rPr>
          <w:rFonts w:ascii="仿宋" w:eastAsia="仿宋" w:hAnsi="仿宋"/>
          <w:sz w:val="24"/>
          <w:szCs w:val="24"/>
        </w:rPr>
        <w:t>的</w:t>
      </w:r>
      <w:r w:rsidRPr="00A51111">
        <w:rPr>
          <w:rFonts w:ascii="仿宋" w:eastAsia="仿宋" w:hAnsi="仿宋" w:hint="eastAsia"/>
          <w:sz w:val="24"/>
          <w:szCs w:val="24"/>
        </w:rPr>
        <w:t>发掘和</w:t>
      </w:r>
      <w:r w:rsidRPr="00A51111">
        <w:rPr>
          <w:rFonts w:ascii="仿宋" w:eastAsia="仿宋" w:hAnsi="仿宋"/>
          <w:sz w:val="24"/>
          <w:szCs w:val="24"/>
        </w:rPr>
        <w:t>鉴别愈发</w:t>
      </w:r>
      <w:r w:rsidRPr="00A51111">
        <w:rPr>
          <w:rFonts w:ascii="仿宋" w:eastAsia="仿宋" w:hAnsi="仿宋" w:hint="eastAsia"/>
          <w:sz w:val="24"/>
          <w:szCs w:val="24"/>
        </w:rPr>
        <w:t>难辨</w:t>
      </w:r>
      <w:r w:rsidRPr="00A51111">
        <w:rPr>
          <w:rFonts w:ascii="仿宋" w:eastAsia="仿宋" w:hAnsi="仿宋"/>
          <w:sz w:val="24"/>
          <w:szCs w:val="24"/>
        </w:rPr>
        <w:t>。</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sz w:val="24"/>
          <w:szCs w:val="24"/>
        </w:rPr>
        <w:t>“</w:t>
      </w:r>
      <w:r w:rsidRPr="00A51111">
        <w:rPr>
          <w:rFonts w:ascii="仿宋" w:eastAsia="仿宋" w:hAnsi="仿宋" w:hint="eastAsia"/>
          <w:sz w:val="24"/>
          <w:szCs w:val="24"/>
        </w:rPr>
        <w:t>股灾</w:t>
      </w:r>
      <w:r w:rsidRPr="00A51111">
        <w:rPr>
          <w:rFonts w:ascii="仿宋" w:eastAsia="仿宋" w:hAnsi="仿宋"/>
          <w:sz w:val="24"/>
          <w:szCs w:val="24"/>
        </w:rPr>
        <w:t>”</w:t>
      </w:r>
      <w:r w:rsidRPr="00A51111">
        <w:rPr>
          <w:rFonts w:ascii="仿宋" w:eastAsia="仿宋" w:hAnsi="仿宋" w:hint="eastAsia"/>
          <w:sz w:val="24"/>
          <w:szCs w:val="24"/>
        </w:rPr>
        <w:t>犹如</w:t>
      </w:r>
      <w:r w:rsidRPr="00A51111">
        <w:rPr>
          <w:rFonts w:ascii="仿宋" w:eastAsia="仿宋" w:hAnsi="仿宋"/>
          <w:sz w:val="24"/>
          <w:szCs w:val="24"/>
        </w:rPr>
        <w:t>一桶冰水</w:t>
      </w:r>
      <w:r w:rsidRPr="00A51111">
        <w:rPr>
          <w:rFonts w:ascii="仿宋" w:eastAsia="仿宋" w:hAnsi="仿宋" w:hint="eastAsia"/>
          <w:sz w:val="24"/>
          <w:szCs w:val="24"/>
        </w:rPr>
        <w:t>浇下，人们</w:t>
      </w:r>
      <w:r w:rsidRPr="00A51111">
        <w:rPr>
          <w:rFonts w:ascii="仿宋" w:eastAsia="仿宋" w:hAnsi="仿宋"/>
          <w:sz w:val="24"/>
          <w:szCs w:val="24"/>
        </w:rPr>
        <w:t>停下脚步开始反思</w:t>
      </w:r>
      <w:r w:rsidRPr="00A51111">
        <w:rPr>
          <w:rFonts w:ascii="仿宋" w:eastAsia="仿宋" w:hAnsi="仿宋" w:hint="eastAsia"/>
          <w:sz w:val="24"/>
          <w:szCs w:val="24"/>
        </w:rPr>
        <w:t>——互联网</w:t>
      </w:r>
      <w:r w:rsidRPr="00A51111">
        <w:rPr>
          <w:rFonts w:ascii="仿宋" w:eastAsia="仿宋" w:hAnsi="仿宋"/>
          <w:sz w:val="24"/>
          <w:szCs w:val="24"/>
        </w:rPr>
        <w:t>金融</w:t>
      </w:r>
      <w:r w:rsidRPr="00A51111">
        <w:rPr>
          <w:rFonts w:ascii="仿宋" w:eastAsia="仿宋" w:hAnsi="仿宋" w:hint="eastAsia"/>
          <w:sz w:val="24"/>
          <w:szCs w:val="24"/>
        </w:rPr>
        <w:t>究竟</w:t>
      </w:r>
      <w:r w:rsidRPr="00A51111">
        <w:rPr>
          <w:rFonts w:ascii="仿宋" w:eastAsia="仿宋" w:hAnsi="仿宋"/>
          <w:sz w:val="24"/>
          <w:szCs w:val="24"/>
        </w:rPr>
        <w:t>有多少成分是</w:t>
      </w:r>
      <w:r w:rsidRPr="00A51111">
        <w:rPr>
          <w:rFonts w:ascii="仿宋" w:eastAsia="仿宋" w:hAnsi="仿宋" w:hint="eastAsia"/>
          <w:sz w:val="24"/>
          <w:szCs w:val="24"/>
        </w:rPr>
        <w:t>真金白银</w:t>
      </w:r>
      <w:r w:rsidRPr="00A51111">
        <w:rPr>
          <w:rFonts w:ascii="仿宋" w:eastAsia="仿宋" w:hAnsi="仿宋"/>
          <w:sz w:val="24"/>
          <w:szCs w:val="24"/>
        </w:rPr>
        <w:t>？有</w:t>
      </w:r>
      <w:r w:rsidRPr="00A51111">
        <w:rPr>
          <w:rFonts w:ascii="仿宋" w:eastAsia="仿宋" w:hAnsi="仿宋" w:hint="eastAsia"/>
          <w:sz w:val="24"/>
          <w:szCs w:val="24"/>
        </w:rPr>
        <w:t>多少尚未厘清，仍存象牙塔中？我们相信</w:t>
      </w:r>
      <w:r w:rsidRPr="00A51111">
        <w:rPr>
          <w:rFonts w:ascii="仿宋" w:eastAsia="仿宋" w:hAnsi="仿宋"/>
          <w:sz w:val="24"/>
          <w:szCs w:val="24"/>
        </w:rPr>
        <w:t>，作为创新</w:t>
      </w:r>
      <w:r w:rsidRPr="00A51111">
        <w:rPr>
          <w:rFonts w:ascii="仿宋" w:eastAsia="仿宋" w:hAnsi="仿宋" w:hint="eastAsia"/>
          <w:sz w:val="24"/>
          <w:szCs w:val="24"/>
        </w:rPr>
        <w:t>活力</w:t>
      </w:r>
      <w:r w:rsidRPr="00A51111">
        <w:rPr>
          <w:rFonts w:ascii="仿宋" w:eastAsia="仿宋" w:hAnsi="仿宋"/>
          <w:sz w:val="24"/>
          <w:szCs w:val="24"/>
        </w:rPr>
        <w:t>的先行者，互联网金融仍</w:t>
      </w:r>
      <w:r w:rsidRPr="00A51111">
        <w:rPr>
          <w:rFonts w:ascii="仿宋" w:eastAsia="仿宋" w:hAnsi="仿宋" w:hint="eastAsia"/>
          <w:sz w:val="24"/>
          <w:szCs w:val="24"/>
        </w:rPr>
        <w:t>大</w:t>
      </w:r>
      <w:r w:rsidRPr="00A51111">
        <w:rPr>
          <w:rFonts w:ascii="仿宋" w:eastAsia="仿宋" w:hAnsi="仿宋"/>
          <w:sz w:val="24"/>
          <w:szCs w:val="24"/>
        </w:rPr>
        <w:t>有前景</w:t>
      </w:r>
      <w:r w:rsidRPr="00A51111">
        <w:rPr>
          <w:rFonts w:ascii="仿宋" w:eastAsia="仿宋" w:hAnsi="仿宋" w:hint="eastAsia"/>
          <w:sz w:val="24"/>
          <w:szCs w:val="24"/>
        </w:rPr>
        <w:t>，不能</w:t>
      </w:r>
      <w:r w:rsidRPr="00A51111">
        <w:rPr>
          <w:rFonts w:ascii="仿宋" w:eastAsia="仿宋" w:hAnsi="仿宋"/>
          <w:sz w:val="24"/>
          <w:szCs w:val="24"/>
        </w:rPr>
        <w:t>因为一时受阻便因噎废食</w:t>
      </w:r>
      <w:r w:rsidRPr="00A51111">
        <w:rPr>
          <w:rFonts w:ascii="仿宋" w:eastAsia="仿宋" w:hAnsi="仿宋" w:hint="eastAsia"/>
          <w:sz w:val="24"/>
          <w:szCs w:val="24"/>
        </w:rPr>
        <w:t>停止探索</w:t>
      </w:r>
      <w:r w:rsidRPr="00A51111">
        <w:rPr>
          <w:rFonts w:ascii="仿宋" w:eastAsia="仿宋" w:hAnsi="仿宋"/>
          <w:sz w:val="24"/>
          <w:szCs w:val="24"/>
        </w:rPr>
        <w:t>的脚步。</w:t>
      </w:r>
      <w:r w:rsidRPr="00A51111">
        <w:rPr>
          <w:rFonts w:ascii="仿宋" w:eastAsia="仿宋" w:hAnsi="仿宋" w:hint="eastAsia"/>
          <w:sz w:val="24"/>
          <w:szCs w:val="24"/>
        </w:rPr>
        <w:t>当前行业的野蛮发展经过</w:t>
      </w:r>
      <w:r w:rsidRPr="00A51111">
        <w:rPr>
          <w:rFonts w:ascii="仿宋" w:eastAsia="仿宋" w:hAnsi="仿宋"/>
          <w:sz w:val="24"/>
          <w:szCs w:val="24"/>
        </w:rPr>
        <w:t>梳理和再重构</w:t>
      </w:r>
      <w:r w:rsidRPr="00A51111">
        <w:rPr>
          <w:rFonts w:ascii="仿宋" w:eastAsia="仿宋" w:hAnsi="仿宋" w:hint="eastAsia"/>
          <w:sz w:val="24"/>
          <w:szCs w:val="24"/>
        </w:rPr>
        <w:t>之后，会</w:t>
      </w:r>
      <w:r w:rsidRPr="00A51111">
        <w:rPr>
          <w:rFonts w:ascii="仿宋" w:eastAsia="仿宋" w:hAnsi="仿宋"/>
          <w:sz w:val="24"/>
          <w:szCs w:val="24"/>
        </w:rPr>
        <w:t>继续</w:t>
      </w:r>
      <w:r w:rsidRPr="00A51111">
        <w:rPr>
          <w:rFonts w:ascii="仿宋" w:eastAsia="仿宋" w:hAnsi="仿宋" w:hint="eastAsia"/>
          <w:sz w:val="24"/>
          <w:szCs w:val="24"/>
        </w:rPr>
        <w:t>走上发展的正轨。</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行业重塑</w:t>
      </w:r>
      <w:r w:rsidRPr="00A51111">
        <w:rPr>
          <w:rFonts w:ascii="仿宋" w:eastAsia="仿宋" w:hAnsi="仿宋"/>
          <w:sz w:val="24"/>
          <w:szCs w:val="24"/>
        </w:rPr>
        <w:t>很大驱动力来自政策</w:t>
      </w:r>
      <w:r w:rsidRPr="00A51111">
        <w:rPr>
          <w:rFonts w:ascii="仿宋" w:eastAsia="仿宋" w:hAnsi="仿宋" w:hint="eastAsia"/>
          <w:sz w:val="24"/>
          <w:szCs w:val="24"/>
        </w:rPr>
        <w:t>，政策变量会影响未来商业模式的形态，最终会影响潜在市场容量的预期。《促进互联网金融健康</w:t>
      </w:r>
      <w:r w:rsidRPr="00A51111">
        <w:rPr>
          <w:rFonts w:ascii="仿宋" w:eastAsia="仿宋" w:hAnsi="仿宋"/>
          <w:sz w:val="24"/>
          <w:szCs w:val="24"/>
        </w:rPr>
        <w:t>发展的</w:t>
      </w:r>
      <w:r w:rsidRPr="00A51111">
        <w:rPr>
          <w:rFonts w:ascii="仿宋" w:eastAsia="仿宋" w:hAnsi="仿宋" w:hint="eastAsia"/>
          <w:sz w:val="24"/>
          <w:szCs w:val="24"/>
        </w:rPr>
        <w:t>指导意见》可谓互联网</w:t>
      </w:r>
      <w:r w:rsidRPr="00A51111">
        <w:rPr>
          <w:rFonts w:ascii="仿宋" w:eastAsia="仿宋" w:hAnsi="仿宋"/>
          <w:sz w:val="24"/>
          <w:szCs w:val="24"/>
        </w:rPr>
        <w:t>金融领域的纲领性文件，</w:t>
      </w:r>
      <w:r w:rsidRPr="00A51111">
        <w:rPr>
          <w:rFonts w:ascii="仿宋" w:eastAsia="仿宋" w:hAnsi="仿宋" w:hint="eastAsia"/>
          <w:sz w:val="24"/>
          <w:szCs w:val="24"/>
        </w:rPr>
        <w:t>明确互联网金融的本质是金融，强调</w:t>
      </w:r>
      <w:r w:rsidRPr="00A51111">
        <w:rPr>
          <w:rFonts w:ascii="仿宋" w:eastAsia="仿宋" w:hAnsi="仿宋"/>
          <w:sz w:val="24"/>
          <w:szCs w:val="24"/>
        </w:rPr>
        <w:t>了创新和监管双轮驱动</w:t>
      </w:r>
      <w:r w:rsidRPr="00A51111">
        <w:rPr>
          <w:rFonts w:ascii="仿宋" w:eastAsia="仿宋" w:hAnsi="仿宋" w:hint="eastAsia"/>
          <w:sz w:val="24"/>
          <w:szCs w:val="24"/>
        </w:rPr>
        <w:t>，明确各个合作链条之间的地位。在互联网金融指导意见之后，网络支付是第一个落地管理办法的领域。互联网支付不得从事银行业等金融机构间的资金转移，相关业务不得参与货币创造的流程。把资金往来、划转透明化，防止金融风险在机构</w:t>
      </w:r>
      <w:r w:rsidRPr="00A51111">
        <w:rPr>
          <w:rFonts w:ascii="仿宋" w:eastAsia="仿宋" w:hAnsi="仿宋" w:hint="eastAsia"/>
          <w:sz w:val="24"/>
          <w:szCs w:val="24"/>
        </w:rPr>
        <w:lastRenderedPageBreak/>
        <w:t>之间的相互渗透传播，确保互联网支付乃至互联网金融不会脱“实”入“虚”。</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在政策</w:t>
      </w:r>
      <w:r w:rsidRPr="00A51111">
        <w:rPr>
          <w:rFonts w:ascii="仿宋" w:eastAsia="仿宋" w:hAnsi="仿宋"/>
          <w:sz w:val="24"/>
          <w:szCs w:val="24"/>
        </w:rPr>
        <w:t>影响下互联网</w:t>
      </w:r>
      <w:r w:rsidRPr="00A51111">
        <w:rPr>
          <w:rFonts w:ascii="仿宋" w:eastAsia="仿宋" w:hAnsi="仿宋" w:hint="eastAsia"/>
          <w:sz w:val="24"/>
          <w:szCs w:val="24"/>
        </w:rPr>
        <w:t>支付行业和P2P行业</w:t>
      </w:r>
      <w:r w:rsidRPr="00A51111">
        <w:rPr>
          <w:rFonts w:ascii="仿宋" w:eastAsia="仿宋" w:hAnsi="仿宋"/>
          <w:sz w:val="24"/>
          <w:szCs w:val="24"/>
        </w:rPr>
        <w:t>将会产生较大</w:t>
      </w:r>
      <w:r w:rsidRPr="00A51111">
        <w:rPr>
          <w:rFonts w:ascii="仿宋" w:eastAsia="仿宋" w:hAnsi="仿宋" w:hint="eastAsia"/>
          <w:sz w:val="24"/>
          <w:szCs w:val="24"/>
        </w:rPr>
        <w:t>变局</w:t>
      </w:r>
      <w:r w:rsidRPr="00A51111">
        <w:rPr>
          <w:rFonts w:ascii="仿宋" w:eastAsia="仿宋" w:hAnsi="仿宋"/>
          <w:sz w:val="24"/>
          <w:szCs w:val="24"/>
        </w:rPr>
        <w:t>。互联网</w:t>
      </w:r>
      <w:r w:rsidRPr="00A51111">
        <w:rPr>
          <w:rFonts w:ascii="仿宋" w:eastAsia="仿宋" w:hAnsi="仿宋" w:hint="eastAsia"/>
          <w:sz w:val="24"/>
          <w:szCs w:val="24"/>
        </w:rPr>
        <w:t>支付方面</w:t>
      </w:r>
      <w:r w:rsidRPr="00A51111">
        <w:rPr>
          <w:rFonts w:ascii="仿宋" w:eastAsia="仿宋" w:hAnsi="仿宋"/>
          <w:sz w:val="24"/>
          <w:szCs w:val="24"/>
        </w:rPr>
        <w:t>，</w:t>
      </w:r>
      <w:r w:rsidRPr="00A51111">
        <w:rPr>
          <w:rFonts w:ascii="仿宋" w:eastAsia="仿宋" w:hAnsi="仿宋" w:hint="eastAsia"/>
          <w:sz w:val="24"/>
          <w:szCs w:val="24"/>
        </w:rPr>
        <w:t>预计第三方支付行业未来</w:t>
      </w:r>
      <w:r w:rsidRPr="00A51111">
        <w:rPr>
          <w:rFonts w:ascii="仿宋" w:eastAsia="仿宋" w:hAnsi="仿宋"/>
          <w:sz w:val="24"/>
          <w:szCs w:val="24"/>
        </w:rPr>
        <w:t>将</w:t>
      </w:r>
      <w:r w:rsidRPr="00A51111">
        <w:rPr>
          <w:rFonts w:ascii="仿宋" w:eastAsia="仿宋" w:hAnsi="仿宋" w:hint="eastAsia"/>
          <w:sz w:val="24"/>
          <w:szCs w:val="24"/>
        </w:rPr>
        <w:t>重回“支付”本质，“资金池”模式或</w:t>
      </w:r>
      <w:r w:rsidRPr="00A51111">
        <w:rPr>
          <w:rFonts w:ascii="仿宋" w:eastAsia="仿宋" w:hAnsi="仿宋"/>
          <w:sz w:val="24"/>
          <w:szCs w:val="24"/>
        </w:rPr>
        <w:t>将</w:t>
      </w:r>
      <w:r w:rsidRPr="00A51111">
        <w:rPr>
          <w:rFonts w:ascii="仿宋" w:eastAsia="仿宋" w:hAnsi="仿宋" w:hint="eastAsia"/>
          <w:sz w:val="24"/>
          <w:szCs w:val="24"/>
        </w:rPr>
        <w:t>受到抑制，而“数据变现”模式受到</w:t>
      </w:r>
      <w:r w:rsidRPr="00A51111">
        <w:rPr>
          <w:rFonts w:ascii="仿宋" w:eastAsia="仿宋" w:hAnsi="仿宋"/>
          <w:sz w:val="24"/>
          <w:szCs w:val="24"/>
        </w:rPr>
        <w:t>的</w:t>
      </w:r>
      <w:r w:rsidRPr="00A51111">
        <w:rPr>
          <w:rFonts w:ascii="仿宋" w:eastAsia="仿宋" w:hAnsi="仿宋" w:hint="eastAsia"/>
          <w:sz w:val="24"/>
          <w:szCs w:val="24"/>
        </w:rPr>
        <w:t>影响较小。与应用场景紧密连接、</w:t>
      </w:r>
      <w:r w:rsidRPr="00A51111">
        <w:rPr>
          <w:rFonts w:ascii="仿宋" w:eastAsia="仿宋" w:hAnsi="仿宋"/>
          <w:sz w:val="24"/>
          <w:szCs w:val="24"/>
        </w:rPr>
        <w:t>融合在大生态圈中的</w:t>
      </w:r>
      <w:r w:rsidRPr="00A51111">
        <w:rPr>
          <w:rFonts w:ascii="仿宋" w:eastAsia="仿宋" w:hAnsi="仿宋" w:hint="eastAsia"/>
          <w:sz w:val="24"/>
          <w:szCs w:val="24"/>
        </w:rPr>
        <w:t>第三方支付平台依然</w:t>
      </w:r>
      <w:r w:rsidRPr="00A51111">
        <w:rPr>
          <w:rFonts w:ascii="仿宋" w:eastAsia="仿宋" w:hAnsi="仿宋"/>
          <w:sz w:val="24"/>
          <w:szCs w:val="24"/>
        </w:rPr>
        <w:t>能保持较好的价值地位。</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在</w:t>
      </w:r>
      <w:r w:rsidRPr="00A51111">
        <w:rPr>
          <w:rFonts w:ascii="仿宋" w:eastAsia="仿宋" w:hAnsi="仿宋"/>
          <w:sz w:val="24"/>
          <w:szCs w:val="24"/>
        </w:rPr>
        <w:t>明确P2P公司作为信息中介</w:t>
      </w:r>
      <w:r w:rsidRPr="00A51111">
        <w:rPr>
          <w:rFonts w:ascii="仿宋" w:eastAsia="仿宋" w:hAnsi="仿宋" w:hint="eastAsia"/>
          <w:sz w:val="24"/>
          <w:szCs w:val="24"/>
        </w:rPr>
        <w:t>不得</w:t>
      </w:r>
      <w:r w:rsidRPr="00A51111">
        <w:rPr>
          <w:rFonts w:ascii="仿宋" w:eastAsia="仿宋" w:hAnsi="仿宋"/>
          <w:sz w:val="24"/>
          <w:szCs w:val="24"/>
        </w:rPr>
        <w:t>提供增</w:t>
      </w:r>
      <w:r w:rsidRPr="00A51111">
        <w:rPr>
          <w:rFonts w:ascii="仿宋" w:eastAsia="仿宋" w:hAnsi="仿宋" w:hint="eastAsia"/>
          <w:sz w:val="24"/>
          <w:szCs w:val="24"/>
        </w:rPr>
        <w:t>信服务</w:t>
      </w:r>
      <w:r w:rsidRPr="00A51111">
        <w:rPr>
          <w:rFonts w:ascii="仿宋" w:eastAsia="仿宋" w:hAnsi="仿宋"/>
          <w:sz w:val="24"/>
          <w:szCs w:val="24"/>
        </w:rPr>
        <w:t>的</w:t>
      </w:r>
      <w:r w:rsidRPr="00A51111">
        <w:rPr>
          <w:rFonts w:ascii="仿宋" w:eastAsia="仿宋" w:hAnsi="仿宋" w:hint="eastAsia"/>
          <w:sz w:val="24"/>
          <w:szCs w:val="24"/>
        </w:rPr>
        <w:t>政策</w:t>
      </w:r>
      <w:r w:rsidRPr="00A51111">
        <w:rPr>
          <w:rFonts w:ascii="仿宋" w:eastAsia="仿宋" w:hAnsi="仿宋"/>
          <w:sz w:val="24"/>
          <w:szCs w:val="24"/>
        </w:rPr>
        <w:t>约束下，</w:t>
      </w:r>
      <w:r w:rsidRPr="00A51111">
        <w:rPr>
          <w:rFonts w:ascii="仿宋" w:eastAsia="仿宋" w:hAnsi="仿宋" w:hint="eastAsia"/>
          <w:sz w:val="24"/>
          <w:szCs w:val="24"/>
        </w:rPr>
        <w:t>预期</w:t>
      </w:r>
      <w:r w:rsidRPr="00A51111">
        <w:rPr>
          <w:rFonts w:ascii="仿宋" w:eastAsia="仿宋" w:hAnsi="仿宋"/>
          <w:sz w:val="24"/>
          <w:szCs w:val="24"/>
        </w:rPr>
        <w:t>会带来P2P行业较大的洗牌，</w:t>
      </w:r>
      <w:r w:rsidRPr="00A51111">
        <w:rPr>
          <w:rFonts w:ascii="仿宋" w:eastAsia="仿宋" w:hAnsi="仿宋" w:hint="eastAsia"/>
          <w:sz w:val="24"/>
          <w:szCs w:val="24"/>
        </w:rPr>
        <w:t>行业</w:t>
      </w:r>
      <w:r w:rsidRPr="00A51111">
        <w:rPr>
          <w:rFonts w:ascii="仿宋" w:eastAsia="仿宋" w:hAnsi="仿宋"/>
          <w:sz w:val="24"/>
          <w:szCs w:val="24"/>
        </w:rPr>
        <w:t>进入分化期，</w:t>
      </w:r>
      <w:r w:rsidRPr="00A51111">
        <w:rPr>
          <w:rFonts w:ascii="仿宋" w:eastAsia="仿宋" w:hAnsi="仿宋" w:hint="eastAsia"/>
          <w:sz w:val="24"/>
          <w:szCs w:val="24"/>
        </w:rPr>
        <w:t>合</w:t>
      </w:r>
      <w:proofErr w:type="gramStart"/>
      <w:r w:rsidRPr="00A51111">
        <w:rPr>
          <w:rFonts w:ascii="仿宋" w:eastAsia="仿宋" w:hAnsi="仿宋" w:hint="eastAsia"/>
          <w:sz w:val="24"/>
          <w:szCs w:val="24"/>
        </w:rPr>
        <w:t>规</w:t>
      </w:r>
      <w:proofErr w:type="gramEnd"/>
      <w:r w:rsidRPr="00A51111">
        <w:rPr>
          <w:rFonts w:ascii="仿宋" w:eastAsia="仿宋" w:hAnsi="仿宋" w:hint="eastAsia"/>
          <w:sz w:val="24"/>
          <w:szCs w:val="24"/>
        </w:rPr>
        <w:t>性强</w:t>
      </w:r>
      <w:r w:rsidRPr="00A51111">
        <w:rPr>
          <w:rFonts w:ascii="仿宋" w:eastAsia="仿宋" w:hAnsi="仿宋"/>
          <w:sz w:val="24"/>
          <w:szCs w:val="24"/>
        </w:rPr>
        <w:t>的龙头公司</w:t>
      </w:r>
      <w:r w:rsidRPr="00A51111">
        <w:rPr>
          <w:rFonts w:ascii="仿宋" w:eastAsia="仿宋" w:hAnsi="仿宋" w:hint="eastAsia"/>
          <w:sz w:val="24"/>
          <w:szCs w:val="24"/>
        </w:rPr>
        <w:t>会受益</w:t>
      </w:r>
      <w:r w:rsidRPr="00A51111">
        <w:rPr>
          <w:rFonts w:ascii="仿宋" w:eastAsia="仿宋" w:hAnsi="仿宋"/>
          <w:sz w:val="24"/>
          <w:szCs w:val="24"/>
        </w:rPr>
        <w:t>于变化，相信不久之后会登录资本市场。</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银行牌照价值大</w:t>
      </w:r>
      <w:r w:rsidRPr="00A51111">
        <w:rPr>
          <w:rFonts w:ascii="仿宋" w:eastAsia="仿宋" w:hAnsi="仿宋"/>
          <w:sz w:val="24"/>
          <w:szCs w:val="24"/>
        </w:rPr>
        <w:t>概率</w:t>
      </w:r>
      <w:r w:rsidRPr="00A51111">
        <w:rPr>
          <w:rFonts w:ascii="仿宋" w:eastAsia="仿宋" w:hAnsi="仿宋" w:hint="eastAsia"/>
          <w:sz w:val="24"/>
          <w:szCs w:val="24"/>
        </w:rPr>
        <w:t>提升，生态圈布局完善的互联网平台“强者恒强”。新</w:t>
      </w:r>
      <w:proofErr w:type="gramStart"/>
      <w:r w:rsidRPr="00A51111">
        <w:rPr>
          <w:rFonts w:ascii="仿宋" w:eastAsia="仿宋" w:hAnsi="仿宋" w:hint="eastAsia"/>
          <w:sz w:val="24"/>
          <w:szCs w:val="24"/>
        </w:rPr>
        <w:t>规</w:t>
      </w:r>
      <w:proofErr w:type="gramEnd"/>
      <w:r w:rsidRPr="00A51111">
        <w:rPr>
          <w:rFonts w:ascii="仿宋" w:eastAsia="仿宋" w:hAnsi="仿宋" w:hint="eastAsia"/>
          <w:sz w:val="24"/>
          <w:szCs w:val="24"/>
        </w:rPr>
        <w:t>再次凸显了银行牌照的价值，当行业规则更清晰、门槛不断提升，互联网平台公司都在努力将牌照揽于一身，以打造各自的一站式金融服务。对于阿里这类的互联网巨头，围绕商业场景布局的金融业务版图趋于完整，商业与金融业务相伴相生、互相促进，形成良性循环，最终将会强者恒强。</w:t>
      </w:r>
    </w:p>
    <w:p w:rsidR="00A51111" w:rsidRPr="00A51111"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此外</w:t>
      </w:r>
      <w:r w:rsidRPr="00A51111">
        <w:rPr>
          <w:rFonts w:ascii="仿宋" w:eastAsia="仿宋" w:hAnsi="仿宋"/>
          <w:sz w:val="24"/>
          <w:szCs w:val="24"/>
        </w:rPr>
        <w:t>，</w:t>
      </w:r>
      <w:r w:rsidRPr="00A51111">
        <w:rPr>
          <w:rFonts w:ascii="仿宋" w:eastAsia="仿宋" w:hAnsi="仿宋" w:hint="eastAsia"/>
          <w:sz w:val="24"/>
          <w:szCs w:val="24"/>
        </w:rPr>
        <w:t>供应</w:t>
      </w:r>
      <w:proofErr w:type="gramStart"/>
      <w:r w:rsidRPr="00A51111">
        <w:rPr>
          <w:rFonts w:ascii="仿宋" w:eastAsia="仿宋" w:hAnsi="仿宋" w:hint="eastAsia"/>
          <w:sz w:val="24"/>
          <w:szCs w:val="24"/>
        </w:rPr>
        <w:t>链金融</w:t>
      </w:r>
      <w:proofErr w:type="gramEnd"/>
      <w:r w:rsidRPr="00A51111">
        <w:rPr>
          <w:rFonts w:ascii="仿宋" w:eastAsia="仿宋" w:hAnsi="仿宋" w:hint="eastAsia"/>
          <w:sz w:val="24"/>
          <w:szCs w:val="24"/>
        </w:rPr>
        <w:t>定位服务实体，发展趋势</w:t>
      </w:r>
      <w:r w:rsidRPr="00A51111">
        <w:rPr>
          <w:rFonts w:ascii="仿宋" w:eastAsia="仿宋" w:hAnsi="仿宋"/>
          <w:sz w:val="24"/>
          <w:szCs w:val="24"/>
        </w:rPr>
        <w:t>不变</w:t>
      </w:r>
      <w:r w:rsidRPr="00A51111">
        <w:rPr>
          <w:rFonts w:ascii="仿宋" w:eastAsia="仿宋" w:hAnsi="仿宋" w:hint="eastAsia"/>
          <w:sz w:val="24"/>
          <w:szCs w:val="24"/>
        </w:rPr>
        <w:t>。监管层的思路以</w:t>
      </w:r>
      <w:r w:rsidRPr="00A51111">
        <w:rPr>
          <w:rFonts w:ascii="仿宋" w:eastAsia="仿宋" w:hAnsi="仿宋"/>
          <w:sz w:val="24"/>
          <w:szCs w:val="24"/>
        </w:rPr>
        <w:t>服务实体经济为</w:t>
      </w:r>
      <w:r w:rsidRPr="00A51111">
        <w:rPr>
          <w:rFonts w:ascii="仿宋" w:eastAsia="仿宋" w:hAnsi="仿宋" w:hint="eastAsia"/>
          <w:sz w:val="24"/>
          <w:szCs w:val="24"/>
        </w:rPr>
        <w:t>目标</w:t>
      </w:r>
      <w:r w:rsidRPr="00A51111">
        <w:rPr>
          <w:rFonts w:ascii="仿宋" w:eastAsia="仿宋" w:hAnsi="仿宋"/>
          <w:sz w:val="24"/>
          <w:szCs w:val="24"/>
        </w:rPr>
        <w:t>，</w:t>
      </w:r>
      <w:r w:rsidRPr="00A51111">
        <w:rPr>
          <w:rFonts w:ascii="仿宋" w:eastAsia="仿宋" w:hAnsi="仿宋" w:hint="eastAsia"/>
          <w:sz w:val="24"/>
          <w:szCs w:val="24"/>
        </w:rPr>
        <w:t>是梳理未受到充分监管的互联网金融领域，限制的是资金在支付账户、创新类金融平台上的流转，控制潜在风险。供应</w:t>
      </w:r>
      <w:proofErr w:type="gramStart"/>
      <w:r w:rsidRPr="00A51111">
        <w:rPr>
          <w:rFonts w:ascii="仿宋" w:eastAsia="仿宋" w:hAnsi="仿宋" w:hint="eastAsia"/>
          <w:sz w:val="24"/>
          <w:szCs w:val="24"/>
        </w:rPr>
        <w:t>链金融</w:t>
      </w:r>
      <w:proofErr w:type="gramEnd"/>
      <w:r w:rsidRPr="00A51111">
        <w:rPr>
          <w:rFonts w:ascii="仿宋" w:eastAsia="仿宋" w:hAnsi="仿宋" w:hint="eastAsia"/>
          <w:sz w:val="24"/>
          <w:szCs w:val="24"/>
        </w:rPr>
        <w:t>依托</w:t>
      </w:r>
      <w:r w:rsidRPr="00A51111">
        <w:rPr>
          <w:rFonts w:ascii="仿宋" w:eastAsia="仿宋" w:hAnsi="仿宋"/>
          <w:sz w:val="24"/>
          <w:szCs w:val="24"/>
        </w:rPr>
        <w:t>实体经济场景而展开，</w:t>
      </w:r>
      <w:r w:rsidRPr="00A51111">
        <w:rPr>
          <w:rFonts w:ascii="仿宋" w:eastAsia="仿宋" w:hAnsi="仿宋" w:hint="eastAsia"/>
          <w:sz w:val="24"/>
          <w:szCs w:val="24"/>
        </w:rPr>
        <w:t>或</w:t>
      </w:r>
      <w:r w:rsidRPr="00A51111">
        <w:rPr>
          <w:rFonts w:ascii="仿宋" w:eastAsia="仿宋" w:hAnsi="仿宋"/>
          <w:sz w:val="24"/>
          <w:szCs w:val="24"/>
        </w:rPr>
        <w:t>将</w:t>
      </w:r>
      <w:r w:rsidRPr="00A51111">
        <w:rPr>
          <w:rFonts w:ascii="仿宋" w:eastAsia="仿宋" w:hAnsi="仿宋" w:hint="eastAsia"/>
          <w:sz w:val="24"/>
          <w:szCs w:val="24"/>
        </w:rPr>
        <w:t>成为互联网金融重要突破口，我们认为供应</w:t>
      </w:r>
      <w:proofErr w:type="gramStart"/>
      <w:r w:rsidRPr="00A51111">
        <w:rPr>
          <w:rFonts w:ascii="仿宋" w:eastAsia="仿宋" w:hAnsi="仿宋" w:hint="eastAsia"/>
          <w:sz w:val="24"/>
          <w:szCs w:val="24"/>
        </w:rPr>
        <w:t>链金融</w:t>
      </w:r>
      <w:proofErr w:type="gramEnd"/>
      <w:r w:rsidRPr="00A51111">
        <w:rPr>
          <w:rFonts w:ascii="仿宋" w:eastAsia="仿宋" w:hAnsi="仿宋" w:hint="eastAsia"/>
          <w:sz w:val="24"/>
          <w:szCs w:val="24"/>
        </w:rPr>
        <w:t>相关标的应</w:t>
      </w:r>
      <w:r w:rsidRPr="00A51111">
        <w:rPr>
          <w:rFonts w:ascii="仿宋" w:eastAsia="仿宋" w:hAnsi="仿宋"/>
          <w:sz w:val="24"/>
          <w:szCs w:val="24"/>
        </w:rPr>
        <w:t>值得重点关注</w:t>
      </w:r>
      <w:r w:rsidRPr="00A51111">
        <w:rPr>
          <w:rFonts w:ascii="仿宋" w:eastAsia="仿宋" w:hAnsi="仿宋" w:hint="eastAsia"/>
          <w:sz w:val="24"/>
          <w:szCs w:val="24"/>
        </w:rPr>
        <w:t>。</w:t>
      </w:r>
    </w:p>
    <w:p w:rsidR="008F70E9" w:rsidRPr="008F70E9" w:rsidRDefault="00A51111" w:rsidP="00A51111">
      <w:pPr>
        <w:spacing w:beforeLines="50" w:before="156" w:line="324" w:lineRule="auto"/>
        <w:ind w:leftChars="1080" w:left="2268" w:rightChars="471" w:right="989" w:firstLineChars="200" w:firstLine="480"/>
        <w:jc w:val="left"/>
        <w:rPr>
          <w:rFonts w:ascii="仿宋" w:eastAsia="仿宋" w:hAnsi="仿宋"/>
          <w:sz w:val="24"/>
          <w:szCs w:val="24"/>
        </w:rPr>
      </w:pPr>
      <w:r w:rsidRPr="00A51111">
        <w:rPr>
          <w:rFonts w:ascii="仿宋" w:eastAsia="仿宋" w:hAnsi="仿宋" w:hint="eastAsia"/>
          <w:sz w:val="24"/>
          <w:szCs w:val="24"/>
        </w:rPr>
        <w:t>物竞天</w:t>
      </w:r>
      <w:r w:rsidRPr="00A51111">
        <w:rPr>
          <w:rFonts w:ascii="仿宋" w:eastAsia="仿宋" w:hAnsi="仿宋"/>
          <w:sz w:val="24"/>
          <w:szCs w:val="24"/>
        </w:rPr>
        <w:t>择</w:t>
      </w:r>
      <w:r w:rsidRPr="00A51111">
        <w:rPr>
          <w:rFonts w:ascii="仿宋" w:eastAsia="仿宋" w:hAnsi="仿宋" w:hint="eastAsia"/>
          <w:sz w:val="24"/>
          <w:szCs w:val="24"/>
        </w:rPr>
        <w:t>，互联网</w:t>
      </w:r>
      <w:r w:rsidRPr="00A51111">
        <w:rPr>
          <w:rFonts w:ascii="仿宋" w:eastAsia="仿宋" w:hAnsi="仿宋"/>
          <w:sz w:val="24"/>
          <w:szCs w:val="24"/>
        </w:rPr>
        <w:t>金融作为这个时代的新生事物</w:t>
      </w:r>
      <w:r w:rsidRPr="00A51111">
        <w:rPr>
          <w:rFonts w:ascii="仿宋" w:eastAsia="仿宋" w:hAnsi="仿宋" w:hint="eastAsia"/>
          <w:sz w:val="24"/>
          <w:szCs w:val="24"/>
        </w:rPr>
        <w:t>经历波动</w:t>
      </w:r>
      <w:r w:rsidRPr="00A51111">
        <w:rPr>
          <w:rFonts w:ascii="仿宋" w:eastAsia="仿宋" w:hAnsi="仿宋"/>
          <w:sz w:val="24"/>
          <w:szCs w:val="24"/>
        </w:rPr>
        <w:t>是必然，</w:t>
      </w:r>
      <w:r w:rsidRPr="00A51111">
        <w:rPr>
          <w:rFonts w:ascii="仿宋" w:eastAsia="仿宋" w:hAnsi="仿宋" w:hint="eastAsia"/>
          <w:sz w:val="24"/>
          <w:szCs w:val="24"/>
        </w:rPr>
        <w:t>投资</w:t>
      </w:r>
      <w:r w:rsidRPr="00A51111">
        <w:rPr>
          <w:rFonts w:ascii="仿宋" w:eastAsia="仿宋" w:hAnsi="仿宋"/>
          <w:sz w:val="24"/>
          <w:szCs w:val="24"/>
        </w:rPr>
        <w:t>者要做的是在短期的不确定性中寻找长期的强者</w:t>
      </w:r>
      <w:r w:rsidRPr="00A51111">
        <w:rPr>
          <w:rFonts w:ascii="仿宋" w:eastAsia="仿宋" w:hAnsi="仿宋" w:hint="eastAsia"/>
          <w:sz w:val="24"/>
          <w:szCs w:val="24"/>
        </w:rPr>
        <w:t>，</w:t>
      </w:r>
      <w:r w:rsidRPr="00A51111">
        <w:rPr>
          <w:rFonts w:ascii="仿宋" w:eastAsia="仿宋" w:hAnsi="仿宋"/>
          <w:sz w:val="24"/>
          <w:szCs w:val="24"/>
        </w:rPr>
        <w:t>这将成为我们获得超额收益的重要来源。</w:t>
      </w:r>
    </w:p>
    <w:p w:rsidR="006519CF" w:rsidRDefault="006519CF"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2F21F1">
        <w:rPr>
          <w:rFonts w:ascii="仿宋" w:eastAsia="仿宋" w:hAnsi="仿宋"/>
          <w:b/>
          <w:color w:val="082F6B"/>
          <w:sz w:val="36"/>
          <w:szCs w:val="36"/>
        </w:rPr>
        <w:t>810</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2F21F1">
        <w:rPr>
          <w:rFonts w:ascii="仿宋" w:eastAsia="仿宋" w:hAnsi="仿宋"/>
          <w:b/>
          <w:color w:val="082F6B"/>
          <w:sz w:val="36"/>
          <w:szCs w:val="36"/>
        </w:rPr>
        <w:t>814</w:t>
      </w:r>
      <w:r w:rsidR="000D524A">
        <w:rPr>
          <w:rFonts w:ascii="仿宋" w:eastAsia="仿宋" w:hAnsi="仿宋" w:hint="eastAsia"/>
          <w:b/>
          <w:color w:val="082F6B"/>
          <w:sz w:val="36"/>
          <w:szCs w:val="36"/>
        </w:rPr>
        <w:t>）</w:t>
      </w:r>
    </w:p>
    <w:p w:rsidR="000F5EB7" w:rsidRPr="00E16A7D" w:rsidRDefault="00B7035E" w:rsidP="00A51111">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本周上证综指</w:t>
      </w:r>
      <w:r w:rsidR="00717662">
        <w:rPr>
          <w:rFonts w:ascii="仿宋" w:eastAsia="仿宋" w:hAnsi="仿宋" w:hint="eastAsia"/>
          <w:sz w:val="24"/>
          <w:szCs w:val="24"/>
          <w:lang w:val="en-GB"/>
        </w:rPr>
        <w:t>上涨5.91</w:t>
      </w:r>
      <w:r w:rsidR="00B01259">
        <w:rPr>
          <w:rFonts w:ascii="仿宋" w:eastAsia="仿宋" w:hAnsi="仿宋" w:hint="eastAsia"/>
          <w:sz w:val="24"/>
          <w:szCs w:val="24"/>
          <w:lang w:val="en-GB"/>
        </w:rPr>
        <w:t>%</w:t>
      </w:r>
      <w:r w:rsidR="00B01259" w:rsidRPr="00567F50">
        <w:rPr>
          <w:rFonts w:ascii="仿宋" w:eastAsia="仿宋" w:hAnsi="仿宋" w:hint="eastAsia"/>
          <w:sz w:val="24"/>
          <w:szCs w:val="24"/>
          <w:lang w:val="en-GB"/>
        </w:rPr>
        <w:t>，深证成指</w:t>
      </w:r>
      <w:r w:rsidR="00717662">
        <w:rPr>
          <w:rFonts w:ascii="仿宋" w:eastAsia="仿宋" w:hAnsi="仿宋" w:hint="eastAsia"/>
          <w:sz w:val="24"/>
          <w:szCs w:val="24"/>
          <w:lang w:val="en-GB"/>
        </w:rPr>
        <w:t>上涨</w:t>
      </w:r>
      <w:r w:rsidR="00717662" w:rsidRPr="00717662">
        <w:rPr>
          <w:rFonts w:ascii="仿宋" w:eastAsia="仿宋" w:hAnsi="仿宋"/>
          <w:sz w:val="24"/>
          <w:szCs w:val="24"/>
          <w:lang w:val="en-GB"/>
        </w:rPr>
        <w:t>5.43</w:t>
      </w:r>
      <w:r w:rsidR="00B01259">
        <w:rPr>
          <w:rFonts w:ascii="仿宋" w:eastAsia="仿宋" w:hAnsi="仿宋"/>
          <w:sz w:val="24"/>
          <w:szCs w:val="24"/>
          <w:lang w:val="en-GB"/>
        </w:rPr>
        <w:t>%</w:t>
      </w:r>
      <w:r w:rsidR="00B01259" w:rsidRPr="00567F50">
        <w:rPr>
          <w:rFonts w:ascii="仿宋" w:eastAsia="仿宋" w:hAnsi="仿宋" w:hint="eastAsia"/>
          <w:sz w:val="24"/>
          <w:szCs w:val="24"/>
          <w:lang w:val="en-GB"/>
        </w:rPr>
        <w:t>，中小</w:t>
      </w:r>
      <w:proofErr w:type="gramStart"/>
      <w:r w:rsidR="00B01259" w:rsidRPr="00567F50">
        <w:rPr>
          <w:rFonts w:ascii="仿宋" w:eastAsia="仿宋" w:hAnsi="仿宋" w:hint="eastAsia"/>
          <w:sz w:val="24"/>
          <w:szCs w:val="24"/>
          <w:lang w:val="en-GB"/>
        </w:rPr>
        <w:t>板指数</w:t>
      </w:r>
      <w:proofErr w:type="gramEnd"/>
      <w:r w:rsidR="00717662">
        <w:rPr>
          <w:rFonts w:ascii="仿宋" w:eastAsia="仿宋" w:hAnsi="仿宋" w:hint="eastAsia"/>
          <w:sz w:val="24"/>
          <w:szCs w:val="24"/>
          <w:lang w:val="en-GB"/>
        </w:rPr>
        <w:t>上涨</w:t>
      </w:r>
      <w:r w:rsidR="00717662" w:rsidRPr="00717662">
        <w:rPr>
          <w:rFonts w:ascii="仿宋" w:eastAsia="仿宋" w:hAnsi="仿宋"/>
          <w:sz w:val="24"/>
          <w:szCs w:val="24"/>
          <w:lang w:val="en-GB"/>
        </w:rPr>
        <w:t>6.51</w:t>
      </w:r>
      <w:r w:rsidR="00B01259">
        <w:rPr>
          <w:rFonts w:ascii="仿宋" w:eastAsia="仿宋" w:hAnsi="仿宋"/>
          <w:sz w:val="24"/>
          <w:szCs w:val="24"/>
          <w:lang w:val="en-GB"/>
        </w:rPr>
        <w:t>%</w:t>
      </w:r>
      <w:r w:rsidR="00B01259" w:rsidRPr="00567F50">
        <w:rPr>
          <w:rFonts w:ascii="仿宋" w:eastAsia="仿宋" w:hAnsi="仿宋" w:hint="eastAsia"/>
          <w:sz w:val="24"/>
          <w:szCs w:val="24"/>
          <w:lang w:val="en-GB"/>
        </w:rPr>
        <w:t>，沪深两市成交量为</w:t>
      </w:r>
      <w:r w:rsidR="00717662" w:rsidRPr="00717662">
        <w:rPr>
          <w:rFonts w:ascii="仿宋" w:eastAsia="仿宋" w:hAnsi="仿宋"/>
          <w:sz w:val="24"/>
          <w:szCs w:val="24"/>
          <w:lang w:val="en-GB"/>
        </w:rPr>
        <w:t>59,578.46</w:t>
      </w:r>
      <w:r w:rsidR="00B01259" w:rsidRPr="00567F50">
        <w:rPr>
          <w:rFonts w:ascii="仿宋" w:eastAsia="仿宋" w:hAnsi="仿宋" w:hint="eastAsia"/>
          <w:sz w:val="24"/>
          <w:szCs w:val="24"/>
          <w:lang w:val="en-GB"/>
        </w:rPr>
        <w:t>亿元。</w:t>
      </w:r>
      <w:r w:rsidR="00717662">
        <w:rPr>
          <w:rFonts w:ascii="仿宋" w:eastAsia="仿宋" w:hAnsi="仿宋" w:hint="eastAsia"/>
          <w:sz w:val="24"/>
          <w:szCs w:val="24"/>
          <w:lang w:val="en-GB"/>
        </w:rPr>
        <w:t>商业贸易</w:t>
      </w:r>
      <w:r w:rsidR="003B5D7B">
        <w:rPr>
          <w:rFonts w:ascii="仿宋" w:eastAsia="仿宋" w:hAnsi="仿宋"/>
          <w:sz w:val="24"/>
          <w:szCs w:val="24"/>
          <w:lang w:val="en-GB"/>
        </w:rPr>
        <w:t>、</w:t>
      </w:r>
      <w:r w:rsidR="00717662">
        <w:rPr>
          <w:rFonts w:ascii="仿宋" w:eastAsia="仿宋" w:hAnsi="仿宋" w:hint="eastAsia"/>
          <w:sz w:val="24"/>
          <w:szCs w:val="24"/>
          <w:lang w:val="en-GB"/>
        </w:rPr>
        <w:t>纺织服装</w:t>
      </w:r>
      <w:r w:rsidR="003B5D7B">
        <w:rPr>
          <w:rFonts w:ascii="仿宋" w:eastAsia="仿宋" w:hAnsi="仿宋"/>
          <w:sz w:val="24"/>
          <w:szCs w:val="24"/>
          <w:lang w:val="en-GB"/>
        </w:rPr>
        <w:t>、</w:t>
      </w:r>
      <w:r w:rsidR="00717662">
        <w:rPr>
          <w:rFonts w:ascii="仿宋" w:eastAsia="仿宋" w:hAnsi="仿宋" w:hint="eastAsia"/>
          <w:sz w:val="24"/>
          <w:szCs w:val="24"/>
          <w:lang w:val="en-GB"/>
        </w:rPr>
        <w:t>国防军工</w:t>
      </w:r>
      <w:proofErr w:type="gramStart"/>
      <w:r w:rsidR="003B5D7B">
        <w:rPr>
          <w:rFonts w:ascii="仿宋" w:eastAsia="仿宋" w:hAnsi="仿宋"/>
          <w:sz w:val="24"/>
          <w:szCs w:val="24"/>
          <w:lang w:val="en-GB"/>
        </w:rPr>
        <w:t>行业</w:t>
      </w:r>
      <w:r w:rsidR="00717662">
        <w:rPr>
          <w:rFonts w:ascii="仿宋" w:eastAsia="仿宋" w:hAnsi="仿宋" w:hint="eastAsia"/>
          <w:sz w:val="24"/>
          <w:szCs w:val="24"/>
          <w:lang w:val="en-GB"/>
        </w:rPr>
        <w:t>涨</w:t>
      </w:r>
      <w:r w:rsidR="003B5D7B">
        <w:rPr>
          <w:rFonts w:ascii="仿宋" w:eastAsia="仿宋" w:hAnsi="仿宋" w:hint="eastAsia"/>
          <w:sz w:val="24"/>
          <w:szCs w:val="24"/>
          <w:lang w:val="en-GB"/>
        </w:rPr>
        <w:t>幅</w:t>
      </w:r>
      <w:proofErr w:type="gramEnd"/>
      <w:r w:rsidR="003B5D7B">
        <w:rPr>
          <w:rFonts w:ascii="仿宋" w:eastAsia="仿宋" w:hAnsi="仿宋" w:hint="eastAsia"/>
          <w:sz w:val="24"/>
          <w:szCs w:val="24"/>
          <w:lang w:val="en-GB"/>
        </w:rPr>
        <w:t>最大</w:t>
      </w:r>
      <w:r w:rsidR="00122485">
        <w:rPr>
          <w:rFonts w:ascii="仿宋" w:eastAsia="仿宋" w:hAnsi="仿宋"/>
          <w:sz w:val="24"/>
          <w:szCs w:val="24"/>
          <w:lang w:val="en-GB"/>
        </w:rPr>
        <w:t>，</w:t>
      </w:r>
      <w:r w:rsidR="00717662">
        <w:rPr>
          <w:rFonts w:ascii="仿宋" w:eastAsia="仿宋" w:hAnsi="仿宋" w:hint="eastAsia"/>
          <w:sz w:val="24"/>
          <w:szCs w:val="24"/>
          <w:lang w:val="en-GB"/>
        </w:rPr>
        <w:t>涨</w:t>
      </w:r>
      <w:r w:rsidR="00122485">
        <w:rPr>
          <w:rFonts w:ascii="仿宋" w:eastAsia="仿宋" w:hAnsi="仿宋" w:hint="eastAsia"/>
          <w:sz w:val="24"/>
          <w:szCs w:val="24"/>
          <w:lang w:val="en-GB"/>
        </w:rPr>
        <w:t>幅</w:t>
      </w:r>
      <w:r w:rsidR="00122485">
        <w:rPr>
          <w:rFonts w:ascii="仿宋" w:eastAsia="仿宋" w:hAnsi="仿宋"/>
          <w:sz w:val="24"/>
          <w:szCs w:val="24"/>
          <w:lang w:val="en-GB"/>
        </w:rPr>
        <w:lastRenderedPageBreak/>
        <w:t>分别为</w:t>
      </w:r>
      <w:r w:rsidR="00717662" w:rsidRPr="00717662">
        <w:rPr>
          <w:rFonts w:ascii="仿宋" w:eastAsia="仿宋" w:hAnsi="仿宋"/>
          <w:sz w:val="24"/>
          <w:szCs w:val="24"/>
          <w:lang w:val="en-GB"/>
        </w:rPr>
        <w:t>15.94%</w:t>
      </w:r>
      <w:r w:rsidR="003B5D7B">
        <w:rPr>
          <w:rFonts w:ascii="仿宋" w:eastAsia="仿宋" w:hAnsi="仿宋"/>
          <w:sz w:val="24"/>
          <w:szCs w:val="24"/>
          <w:lang w:val="en-GB"/>
        </w:rPr>
        <w:t>、</w:t>
      </w:r>
      <w:r w:rsidR="00717662" w:rsidRPr="00717662">
        <w:rPr>
          <w:rFonts w:ascii="仿宋" w:eastAsia="仿宋" w:hAnsi="仿宋"/>
          <w:sz w:val="24"/>
          <w:szCs w:val="24"/>
          <w:lang w:val="en-GB"/>
        </w:rPr>
        <w:t>14.96%</w:t>
      </w:r>
      <w:r w:rsidR="003B5D7B">
        <w:rPr>
          <w:rFonts w:ascii="仿宋" w:eastAsia="仿宋" w:hAnsi="仿宋"/>
          <w:sz w:val="24"/>
          <w:szCs w:val="24"/>
          <w:lang w:val="en-GB"/>
        </w:rPr>
        <w:t>、</w:t>
      </w:r>
      <w:r w:rsidR="00717662" w:rsidRPr="00717662">
        <w:rPr>
          <w:rFonts w:ascii="仿宋" w:eastAsia="仿宋" w:hAnsi="仿宋"/>
          <w:sz w:val="24"/>
          <w:szCs w:val="24"/>
          <w:lang w:val="en-GB"/>
        </w:rPr>
        <w:t>11.48%</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717662">
        <w:rPr>
          <w:rFonts w:ascii="仿宋" w:eastAsia="仿宋" w:hAnsi="仿宋" w:hint="eastAsia"/>
          <w:sz w:val="24"/>
          <w:szCs w:val="24"/>
          <w:lang w:val="en-GB"/>
        </w:rPr>
        <w:t>纺织服装</w:t>
      </w:r>
      <w:r w:rsidR="00E7095B">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4A3A0E">
        <w:rPr>
          <w:rFonts w:ascii="仿宋" w:eastAsia="仿宋" w:hAnsi="仿宋" w:hint="eastAsia"/>
          <w:sz w:val="24"/>
          <w:szCs w:val="24"/>
          <w:lang w:val="en-GB"/>
        </w:rPr>
        <w:t>为</w:t>
      </w:r>
      <w:r w:rsidR="00717662" w:rsidRPr="00717662">
        <w:rPr>
          <w:rFonts w:ascii="仿宋" w:eastAsia="仿宋" w:hAnsi="仿宋"/>
          <w:sz w:val="24"/>
          <w:szCs w:val="24"/>
          <w:lang w:val="en-GB"/>
        </w:rPr>
        <w:t>25.66%</w:t>
      </w:r>
      <w:r w:rsidR="009534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2F21F1" w:rsidRPr="00842A20" w:rsidTr="002F21F1">
        <w:trPr>
          <w:trHeight w:val="64"/>
        </w:trPr>
        <w:tc>
          <w:tcPr>
            <w:tcW w:w="1484" w:type="dxa"/>
            <w:shd w:val="clear" w:color="auto" w:fill="auto"/>
          </w:tcPr>
          <w:p w:rsidR="002F21F1" w:rsidRPr="002F21F1" w:rsidRDefault="002F21F1" w:rsidP="002F21F1">
            <w:pPr>
              <w:widowControl/>
              <w:jc w:val="left"/>
              <w:rPr>
                <w:rFonts w:ascii="仿宋" w:eastAsia="仿宋" w:hAnsi="仿宋" w:cs="Arial"/>
              </w:rPr>
            </w:pPr>
            <w:r w:rsidRPr="002F21F1">
              <w:rPr>
                <w:rFonts w:ascii="仿宋" w:eastAsia="仿宋" w:hAnsi="仿宋" w:cs="Arial"/>
              </w:rPr>
              <w:t>上证综指</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5.91%</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31,881.1</w:t>
            </w:r>
          </w:p>
        </w:tc>
        <w:tc>
          <w:tcPr>
            <w:tcW w:w="283" w:type="dxa"/>
            <w:vMerge/>
            <w:tcBorders>
              <w:left w:val="single" w:sz="4" w:space="0" w:color="1F497D"/>
            </w:tcBorders>
            <w:vAlign w:val="center"/>
          </w:tcPr>
          <w:p w:rsidR="002F21F1" w:rsidRPr="00567F50" w:rsidRDefault="002F21F1" w:rsidP="002F21F1">
            <w:pPr>
              <w:jc w:val="center"/>
              <w:rPr>
                <w:rFonts w:ascii="仿宋" w:eastAsia="仿宋" w:hAnsi="仿宋" w:cs="Arial"/>
              </w:rPr>
            </w:pPr>
          </w:p>
        </w:tc>
        <w:tc>
          <w:tcPr>
            <w:tcW w:w="3901" w:type="dxa"/>
          </w:tcPr>
          <w:p w:rsidR="002F21F1" w:rsidRPr="002F21F1" w:rsidRDefault="002F21F1" w:rsidP="002F21F1">
            <w:pPr>
              <w:widowControl/>
              <w:jc w:val="left"/>
              <w:rPr>
                <w:rFonts w:ascii="仿宋" w:eastAsia="仿宋" w:hAnsi="仿宋" w:cs="Arial"/>
              </w:rPr>
            </w:pPr>
            <w:r w:rsidRPr="002F21F1">
              <w:rPr>
                <w:rFonts w:ascii="仿宋" w:eastAsia="仿宋" w:hAnsi="仿宋" w:cs="Arial"/>
              </w:rPr>
              <w:t>A股总市值（亿元）</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606,308.73</w:t>
            </w:r>
          </w:p>
        </w:tc>
      </w:tr>
      <w:tr w:rsidR="002F21F1" w:rsidRPr="00842A20" w:rsidTr="002F21F1">
        <w:trPr>
          <w:trHeight w:val="7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上证180</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4.30%</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13,006.3</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A股流通市值（亿元）</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439,150.54</w:t>
            </w:r>
          </w:p>
        </w:tc>
      </w:tr>
      <w:tr w:rsidR="002F21F1" w:rsidRPr="00842A20" w:rsidTr="002F21F1">
        <w:trPr>
          <w:trHeight w:val="2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上证50</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2.93%</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5,564.9</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A股市盈率（最新年报，剔除负值）</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23.02</w:t>
            </w:r>
          </w:p>
        </w:tc>
      </w:tr>
      <w:tr w:rsidR="002F21F1" w:rsidRPr="00842A20" w:rsidTr="002F21F1">
        <w:trPr>
          <w:trHeight w:val="2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沪深300</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4.26%</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18,184.6</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A股市盈率（递推12个月，剔除负值）</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22.03</w:t>
            </w:r>
          </w:p>
        </w:tc>
      </w:tr>
      <w:tr w:rsidR="002F21F1" w:rsidRPr="00842A20" w:rsidTr="002F21F1">
        <w:trPr>
          <w:trHeight w:val="2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深证成指</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5.43%</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14,021.5</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A股市净率（最新年报，剔除负值）</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2.94</w:t>
            </w:r>
          </w:p>
        </w:tc>
      </w:tr>
      <w:tr w:rsidR="002F21F1" w:rsidRPr="00842A20" w:rsidTr="002F21F1">
        <w:trPr>
          <w:trHeight w:val="2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深证100</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4.37%</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4,483.6</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A股市净率（最新报告期，剔除负值）</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2.77</w:t>
            </w:r>
          </w:p>
        </w:tc>
      </w:tr>
      <w:tr w:rsidR="002F21F1" w:rsidRPr="00842A20" w:rsidTr="002F21F1">
        <w:trPr>
          <w:trHeight w:val="20"/>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申万中小板</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6.51%</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11,290.3</w:t>
            </w:r>
          </w:p>
        </w:tc>
        <w:tc>
          <w:tcPr>
            <w:tcW w:w="283" w:type="dxa"/>
            <w:vMerge/>
            <w:tcBorders>
              <w:left w:val="single" w:sz="4" w:space="0" w:color="1F497D"/>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A股加权平均股价</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12.64</w:t>
            </w:r>
          </w:p>
        </w:tc>
      </w:tr>
      <w:tr w:rsidR="002F21F1" w:rsidRPr="00842A20" w:rsidTr="002F21F1">
        <w:trPr>
          <w:trHeight w:val="138"/>
        </w:trPr>
        <w:tc>
          <w:tcPr>
            <w:tcW w:w="1484" w:type="dxa"/>
            <w:shd w:val="clear" w:color="auto" w:fill="auto"/>
          </w:tcPr>
          <w:p w:rsidR="002F21F1" w:rsidRPr="002F21F1" w:rsidRDefault="002F21F1" w:rsidP="002F21F1">
            <w:pPr>
              <w:jc w:val="left"/>
              <w:rPr>
                <w:rFonts w:ascii="仿宋" w:eastAsia="仿宋" w:hAnsi="仿宋" w:cs="Arial"/>
              </w:rPr>
            </w:pPr>
            <w:r w:rsidRPr="002F21F1">
              <w:rPr>
                <w:rFonts w:ascii="仿宋" w:eastAsia="仿宋" w:hAnsi="仿宋" w:cs="Arial"/>
              </w:rPr>
              <w:t>申万基金重仓</w:t>
            </w:r>
          </w:p>
        </w:tc>
        <w:tc>
          <w:tcPr>
            <w:tcW w:w="1021" w:type="dxa"/>
            <w:shd w:val="clear" w:color="auto" w:fill="auto"/>
          </w:tcPr>
          <w:p w:rsidR="002F21F1" w:rsidRPr="002F21F1" w:rsidRDefault="002F21F1" w:rsidP="002F21F1">
            <w:pPr>
              <w:jc w:val="center"/>
              <w:rPr>
                <w:rFonts w:ascii="仿宋" w:eastAsia="仿宋" w:hAnsi="仿宋" w:cs="Arial"/>
              </w:rPr>
            </w:pPr>
            <w:r w:rsidRPr="002F21F1">
              <w:rPr>
                <w:rFonts w:ascii="仿宋" w:eastAsia="仿宋" w:hAnsi="仿宋" w:cs="Arial"/>
              </w:rPr>
              <w:t>5.74%</w:t>
            </w:r>
          </w:p>
        </w:tc>
        <w:tc>
          <w:tcPr>
            <w:tcW w:w="1134" w:type="dxa"/>
            <w:shd w:val="clear" w:color="auto" w:fill="auto"/>
          </w:tcPr>
          <w:p w:rsidR="002F21F1" w:rsidRPr="002F21F1" w:rsidRDefault="002F21F1" w:rsidP="002F21F1">
            <w:pPr>
              <w:jc w:val="right"/>
              <w:rPr>
                <w:rFonts w:ascii="仿宋" w:eastAsia="仿宋" w:hAnsi="仿宋" w:cs="Arial"/>
              </w:rPr>
            </w:pPr>
            <w:r w:rsidRPr="002F21F1">
              <w:rPr>
                <w:rFonts w:ascii="仿宋" w:eastAsia="仿宋" w:hAnsi="仿宋" w:cs="Arial"/>
              </w:rPr>
              <w:t>42,983.0</w:t>
            </w:r>
          </w:p>
        </w:tc>
        <w:tc>
          <w:tcPr>
            <w:tcW w:w="283" w:type="dxa"/>
            <w:vMerge/>
            <w:tcBorders>
              <w:left w:val="single" w:sz="4" w:space="0" w:color="1F497D"/>
              <w:bottom w:val="nil"/>
            </w:tcBorders>
            <w:vAlign w:val="center"/>
          </w:tcPr>
          <w:p w:rsidR="002F21F1" w:rsidRPr="00567F50" w:rsidRDefault="002F21F1" w:rsidP="002F21F1">
            <w:pPr>
              <w:widowControl/>
              <w:jc w:val="center"/>
              <w:rPr>
                <w:rFonts w:ascii="仿宋" w:eastAsia="仿宋" w:hAnsi="仿宋" w:cs="Arial"/>
              </w:rPr>
            </w:pPr>
          </w:p>
        </w:tc>
        <w:tc>
          <w:tcPr>
            <w:tcW w:w="3901" w:type="dxa"/>
          </w:tcPr>
          <w:p w:rsidR="002F21F1" w:rsidRPr="002F21F1" w:rsidRDefault="002F21F1" w:rsidP="002F21F1">
            <w:pPr>
              <w:jc w:val="left"/>
              <w:rPr>
                <w:rFonts w:ascii="仿宋" w:eastAsia="仿宋" w:hAnsi="仿宋" w:cs="Arial"/>
              </w:rPr>
            </w:pPr>
            <w:r w:rsidRPr="002F21F1">
              <w:rPr>
                <w:rFonts w:ascii="仿宋" w:eastAsia="仿宋" w:hAnsi="仿宋" w:cs="Arial"/>
              </w:rPr>
              <w:t>两市A股成交金额(亿元)</w:t>
            </w:r>
          </w:p>
        </w:tc>
        <w:tc>
          <w:tcPr>
            <w:tcW w:w="1315" w:type="dxa"/>
          </w:tcPr>
          <w:p w:rsidR="002F21F1" w:rsidRPr="002F21F1" w:rsidRDefault="002F21F1" w:rsidP="002F21F1">
            <w:pPr>
              <w:jc w:val="right"/>
              <w:rPr>
                <w:rFonts w:ascii="仿宋" w:eastAsia="仿宋" w:hAnsi="仿宋" w:cs="Arial"/>
              </w:rPr>
            </w:pPr>
            <w:r w:rsidRPr="002F21F1">
              <w:rPr>
                <w:rFonts w:ascii="仿宋" w:eastAsia="仿宋" w:hAnsi="仿宋" w:cs="Arial"/>
              </w:rPr>
              <w:t>59,578.46</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2F21F1" w:rsidRPr="004321E3" w:rsidTr="0006381E">
        <w:tc>
          <w:tcPr>
            <w:tcW w:w="1984" w:type="dxa"/>
            <w:tcBorders>
              <w:left w:val="single" w:sz="4" w:space="0" w:color="D9D9D9"/>
            </w:tcBorders>
          </w:tcPr>
          <w:p w:rsidR="002F21F1" w:rsidRPr="002F21F1" w:rsidRDefault="002F21F1" w:rsidP="002F21F1">
            <w:pPr>
              <w:widowControl/>
              <w:jc w:val="left"/>
              <w:rPr>
                <w:rFonts w:ascii="仿宋" w:eastAsia="仿宋" w:hAnsi="仿宋" w:cs="Arial"/>
              </w:rPr>
            </w:pPr>
            <w:r w:rsidRPr="002F21F1">
              <w:rPr>
                <w:rFonts w:ascii="仿宋" w:eastAsia="仿宋" w:hAnsi="仿宋" w:cs="Arial"/>
              </w:rPr>
              <w:t>商业贸易</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15.94%</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20.06%</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widowControl/>
              <w:jc w:val="left"/>
              <w:rPr>
                <w:rFonts w:ascii="仿宋" w:eastAsia="仿宋" w:hAnsi="仿宋" w:cs="Arial"/>
              </w:rPr>
            </w:pPr>
            <w:r w:rsidRPr="002F21F1">
              <w:rPr>
                <w:rFonts w:ascii="仿宋" w:eastAsia="仿宋" w:hAnsi="仿宋" w:cs="Arial"/>
              </w:rPr>
              <w:t>轻工制造</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7.04%</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22.77%</w:t>
            </w:r>
          </w:p>
        </w:tc>
      </w:tr>
      <w:tr w:rsidR="002F21F1" w:rsidRPr="004321E3" w:rsidTr="00383885">
        <w:trPr>
          <w:trHeight w:val="185"/>
        </w:trPr>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纺织服装</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14.96%</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25.66%</w:t>
            </w:r>
          </w:p>
        </w:tc>
        <w:tc>
          <w:tcPr>
            <w:tcW w:w="518" w:type="dxa"/>
            <w:vMerge w:val="restart"/>
            <w:tcBorders>
              <w:top w:val="nil"/>
              <w:left w:val="single" w:sz="4" w:space="0" w:color="D9D9D9"/>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钢铁</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6.46%</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10.62%</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国防军工</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11.48%</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24.51%</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电气设备</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6.24%</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18.66%</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采掘</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10.97%</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14.75%</w:t>
            </w:r>
          </w:p>
        </w:tc>
        <w:tc>
          <w:tcPr>
            <w:tcW w:w="518" w:type="dxa"/>
            <w:tcBorders>
              <w:top w:val="nil"/>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传媒</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6.05%</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14.75%</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房地产</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10.62%</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15.86%</w:t>
            </w:r>
          </w:p>
        </w:tc>
        <w:tc>
          <w:tcPr>
            <w:tcW w:w="518" w:type="dxa"/>
            <w:tcBorders>
              <w:top w:val="nil"/>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电子</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6.02%</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19.65%</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公用事业</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9.82%</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18.72%</w:t>
            </w:r>
          </w:p>
        </w:tc>
        <w:tc>
          <w:tcPr>
            <w:tcW w:w="518" w:type="dxa"/>
            <w:vMerge w:val="restart"/>
            <w:tcBorders>
              <w:top w:val="nil"/>
              <w:left w:val="single" w:sz="4" w:space="0" w:color="D9D9D9"/>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计算机</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5.35%</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23.24%</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建筑装饰</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9.64%</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13.49%</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汽车</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5.34%</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15.37%</w:t>
            </w:r>
          </w:p>
        </w:tc>
      </w:tr>
      <w:tr w:rsidR="002F21F1" w:rsidRPr="004321E3" w:rsidTr="0006381E">
        <w:trPr>
          <w:trHeight w:val="284"/>
        </w:trPr>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通信</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9.18%</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16.08%</w:t>
            </w:r>
          </w:p>
        </w:tc>
        <w:tc>
          <w:tcPr>
            <w:tcW w:w="518" w:type="dxa"/>
            <w:vMerge w:val="restart"/>
            <w:tcBorders>
              <w:top w:val="nil"/>
              <w:left w:val="single" w:sz="4" w:space="0" w:color="D9D9D9"/>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化工</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5.17%</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7.15%</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农林牧渔</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8.74%</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22.72%</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非</w:t>
            </w:r>
            <w:proofErr w:type="gramStart"/>
            <w:r w:rsidRPr="002F21F1">
              <w:rPr>
                <w:rFonts w:ascii="仿宋" w:eastAsia="仿宋" w:hAnsi="仿宋" w:cs="Arial"/>
              </w:rPr>
              <w:t>银金融</w:t>
            </w:r>
            <w:proofErr w:type="gramEnd"/>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4.68%</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10.41%</w:t>
            </w:r>
          </w:p>
        </w:tc>
      </w:tr>
      <w:tr w:rsidR="002F21F1" w:rsidRPr="004321E3" w:rsidTr="0006381E">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有色金属</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8.52%</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21.82%</w:t>
            </w:r>
          </w:p>
        </w:tc>
        <w:tc>
          <w:tcPr>
            <w:tcW w:w="518" w:type="dxa"/>
            <w:vMerge w:val="restart"/>
            <w:tcBorders>
              <w:top w:val="nil"/>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家用电器</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4.64%</w:t>
            </w:r>
          </w:p>
        </w:tc>
        <w:tc>
          <w:tcPr>
            <w:tcW w:w="1275"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17.63%</w:t>
            </w:r>
          </w:p>
        </w:tc>
      </w:tr>
      <w:tr w:rsidR="002F21F1" w:rsidRPr="004321E3" w:rsidTr="004B7E6A">
        <w:trPr>
          <w:trHeight w:val="251"/>
        </w:trPr>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综合</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8.50%</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19.01%</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bottom w:val="single" w:sz="4" w:space="0" w:color="000000"/>
            </w:tcBorders>
          </w:tcPr>
          <w:p w:rsidR="002F21F1" w:rsidRPr="002F21F1" w:rsidRDefault="002F21F1" w:rsidP="002F21F1">
            <w:pPr>
              <w:jc w:val="left"/>
              <w:rPr>
                <w:rFonts w:ascii="仿宋" w:eastAsia="仿宋" w:hAnsi="仿宋" w:cs="Arial"/>
              </w:rPr>
            </w:pPr>
            <w:r w:rsidRPr="002F21F1">
              <w:rPr>
                <w:rFonts w:ascii="仿宋" w:eastAsia="仿宋" w:hAnsi="仿宋" w:cs="Arial"/>
              </w:rPr>
              <w:t>医药生物</w:t>
            </w:r>
          </w:p>
        </w:tc>
        <w:tc>
          <w:tcPr>
            <w:tcW w:w="1134" w:type="dxa"/>
            <w:tcBorders>
              <w:bottom w:val="single" w:sz="4" w:space="0" w:color="000000"/>
            </w:tcBorders>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4.62%</w:t>
            </w:r>
          </w:p>
        </w:tc>
        <w:tc>
          <w:tcPr>
            <w:tcW w:w="1275" w:type="dxa"/>
            <w:tcBorders>
              <w:bottom w:val="single" w:sz="4" w:space="0" w:color="000000"/>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14.58%</w:t>
            </w:r>
          </w:p>
        </w:tc>
      </w:tr>
      <w:tr w:rsidR="002F21F1" w:rsidRPr="004321E3" w:rsidTr="004B7E6A">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机械设备</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8.39%</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22.14%</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bottom w:val="single" w:sz="4" w:space="0" w:color="000000"/>
            </w:tcBorders>
          </w:tcPr>
          <w:p w:rsidR="002F21F1" w:rsidRPr="002F21F1" w:rsidRDefault="002F21F1" w:rsidP="002F21F1">
            <w:pPr>
              <w:jc w:val="left"/>
              <w:rPr>
                <w:rFonts w:ascii="仿宋" w:eastAsia="仿宋" w:hAnsi="仿宋" w:cs="Arial"/>
              </w:rPr>
            </w:pPr>
            <w:r w:rsidRPr="002F21F1">
              <w:rPr>
                <w:rFonts w:ascii="仿宋" w:eastAsia="仿宋" w:hAnsi="仿宋" w:cs="Arial"/>
              </w:rPr>
              <w:t>交通运输</w:t>
            </w:r>
          </w:p>
        </w:tc>
        <w:tc>
          <w:tcPr>
            <w:tcW w:w="1134" w:type="dxa"/>
            <w:tcBorders>
              <w:bottom w:val="single" w:sz="4" w:space="0" w:color="000000"/>
            </w:tcBorders>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4.01%</w:t>
            </w:r>
          </w:p>
        </w:tc>
        <w:tc>
          <w:tcPr>
            <w:tcW w:w="1275" w:type="dxa"/>
            <w:tcBorders>
              <w:bottom w:val="single" w:sz="4" w:space="0" w:color="000000"/>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11.69%</w:t>
            </w:r>
          </w:p>
        </w:tc>
      </w:tr>
      <w:tr w:rsidR="002F21F1" w:rsidRPr="004321E3" w:rsidTr="004B7E6A">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休闲服务</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8.23%</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18.90%</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2F21F1" w:rsidRPr="002F21F1" w:rsidRDefault="002F21F1" w:rsidP="002F21F1">
            <w:pPr>
              <w:jc w:val="left"/>
              <w:rPr>
                <w:rFonts w:ascii="仿宋" w:eastAsia="仿宋" w:hAnsi="仿宋" w:cs="Arial"/>
              </w:rPr>
            </w:pPr>
            <w:r w:rsidRPr="002F21F1">
              <w:rPr>
                <w:rFonts w:ascii="仿宋" w:eastAsia="仿宋" w:hAnsi="仿宋" w:cs="Arial"/>
              </w:rPr>
              <w:t>食品饮料</w:t>
            </w:r>
          </w:p>
        </w:tc>
        <w:tc>
          <w:tcPr>
            <w:tcW w:w="1134" w:type="dxa"/>
            <w:tcBorders>
              <w:top w:val="single" w:sz="4" w:space="0" w:color="000000"/>
              <w:bottom w:val="single" w:sz="4" w:space="0" w:color="000000"/>
            </w:tcBorders>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2.55%</w:t>
            </w:r>
          </w:p>
        </w:tc>
        <w:tc>
          <w:tcPr>
            <w:tcW w:w="1275" w:type="dxa"/>
            <w:tcBorders>
              <w:top w:val="single" w:sz="4" w:space="0" w:color="000000"/>
              <w:bottom w:val="single" w:sz="4" w:space="0" w:color="000000"/>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12.00%</w:t>
            </w:r>
          </w:p>
        </w:tc>
      </w:tr>
      <w:tr w:rsidR="002F21F1" w:rsidRPr="004321E3" w:rsidTr="005F67E3">
        <w:tc>
          <w:tcPr>
            <w:tcW w:w="1984" w:type="dxa"/>
            <w:tcBorders>
              <w:left w:val="single" w:sz="4" w:space="0" w:color="D9D9D9"/>
            </w:tcBorders>
          </w:tcPr>
          <w:p w:rsidR="002F21F1" w:rsidRPr="002F21F1" w:rsidRDefault="002F21F1" w:rsidP="002F21F1">
            <w:pPr>
              <w:jc w:val="left"/>
              <w:rPr>
                <w:rFonts w:ascii="仿宋" w:eastAsia="仿宋" w:hAnsi="仿宋" w:cs="Arial"/>
              </w:rPr>
            </w:pPr>
            <w:r w:rsidRPr="002F21F1">
              <w:rPr>
                <w:rFonts w:ascii="仿宋" w:eastAsia="仿宋" w:hAnsi="仿宋" w:cs="Arial"/>
              </w:rPr>
              <w:t>建筑材料</w:t>
            </w:r>
          </w:p>
        </w:tc>
        <w:tc>
          <w:tcPr>
            <w:tcW w:w="1134" w:type="dxa"/>
          </w:tcPr>
          <w:p w:rsidR="002F21F1" w:rsidRPr="002F21F1" w:rsidRDefault="002F21F1" w:rsidP="002F21F1">
            <w:pPr>
              <w:jc w:val="center"/>
              <w:rPr>
                <w:rFonts w:ascii="仿宋" w:eastAsia="仿宋" w:hAnsi="仿宋" w:cs="Arial"/>
                <w:sz w:val="20"/>
              </w:rPr>
            </w:pPr>
            <w:r w:rsidRPr="002F21F1">
              <w:rPr>
                <w:rFonts w:ascii="仿宋" w:eastAsia="仿宋" w:hAnsi="仿宋" w:cs="Arial"/>
                <w:sz w:val="20"/>
              </w:rPr>
              <w:t>7.70%</w:t>
            </w:r>
          </w:p>
        </w:tc>
        <w:tc>
          <w:tcPr>
            <w:tcW w:w="1134" w:type="dxa"/>
            <w:tcBorders>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19.78%</w:t>
            </w:r>
          </w:p>
        </w:tc>
        <w:tc>
          <w:tcPr>
            <w:tcW w:w="518" w:type="dxa"/>
            <w:vMerge/>
            <w:tcBorders>
              <w:left w:val="single" w:sz="4" w:space="0" w:color="D9D9D9"/>
              <w:bottom w:val="nil"/>
              <w:right w:val="single" w:sz="4" w:space="0" w:color="D9D9D9"/>
            </w:tcBorders>
            <w:vAlign w:val="center"/>
          </w:tcPr>
          <w:p w:rsidR="002F21F1" w:rsidRPr="00567F50" w:rsidRDefault="002F21F1" w:rsidP="002F21F1">
            <w:pPr>
              <w:jc w:val="center"/>
              <w:rPr>
                <w:rFonts w:ascii="仿宋" w:eastAsia="仿宋" w:hAnsi="仿宋" w:cs="Arial"/>
              </w:rPr>
            </w:pPr>
          </w:p>
        </w:tc>
        <w:tc>
          <w:tcPr>
            <w:tcW w:w="1994" w:type="dxa"/>
            <w:tcBorders>
              <w:left w:val="single" w:sz="4" w:space="0" w:color="D9D9D9"/>
              <w:bottom w:val="single" w:sz="4" w:space="0" w:color="000000"/>
            </w:tcBorders>
          </w:tcPr>
          <w:p w:rsidR="002F21F1" w:rsidRPr="002F21F1" w:rsidRDefault="002F21F1" w:rsidP="002F21F1">
            <w:pPr>
              <w:jc w:val="left"/>
              <w:rPr>
                <w:rFonts w:ascii="仿宋" w:eastAsia="仿宋" w:hAnsi="仿宋" w:cs="Arial"/>
              </w:rPr>
            </w:pPr>
            <w:r w:rsidRPr="002F21F1">
              <w:rPr>
                <w:rFonts w:ascii="仿宋" w:eastAsia="仿宋" w:hAnsi="仿宋" w:cs="Arial"/>
              </w:rPr>
              <w:t>银行</w:t>
            </w:r>
          </w:p>
        </w:tc>
        <w:tc>
          <w:tcPr>
            <w:tcW w:w="1134" w:type="dxa"/>
            <w:tcBorders>
              <w:bottom w:val="single" w:sz="4" w:space="0" w:color="000000"/>
            </w:tcBorders>
          </w:tcPr>
          <w:p w:rsidR="002F21F1" w:rsidRPr="002F21F1" w:rsidRDefault="002F21F1" w:rsidP="002F21F1">
            <w:pPr>
              <w:jc w:val="center"/>
              <w:rPr>
                <w:rFonts w:ascii="仿宋" w:eastAsia="仿宋" w:hAnsi="仿宋" w:cs="Arial"/>
                <w:sz w:val="20"/>
              </w:rPr>
            </w:pPr>
            <w:r>
              <w:rPr>
                <w:rFonts w:ascii="仿宋" w:eastAsia="仿宋" w:hAnsi="仿宋" w:cs="Arial" w:hint="eastAsia"/>
                <w:sz w:val="20"/>
              </w:rPr>
              <w:t>(</w:t>
            </w:r>
            <w:r w:rsidRPr="002F21F1">
              <w:rPr>
                <w:rFonts w:ascii="仿宋" w:eastAsia="仿宋" w:hAnsi="仿宋" w:cs="Arial"/>
                <w:sz w:val="20"/>
              </w:rPr>
              <w:t>1.04%</w:t>
            </w:r>
            <w:r>
              <w:rPr>
                <w:rFonts w:ascii="仿宋" w:eastAsia="仿宋" w:hAnsi="仿宋" w:cs="Arial" w:hint="eastAsia"/>
                <w:sz w:val="20"/>
              </w:rPr>
              <w:t>)</w:t>
            </w:r>
          </w:p>
        </w:tc>
        <w:tc>
          <w:tcPr>
            <w:tcW w:w="1275" w:type="dxa"/>
            <w:tcBorders>
              <w:bottom w:val="single" w:sz="4" w:space="0" w:color="000000"/>
              <w:right w:val="single" w:sz="4" w:space="0" w:color="D9D9D9"/>
            </w:tcBorders>
          </w:tcPr>
          <w:p w:rsidR="002F21F1" w:rsidRPr="002F21F1" w:rsidRDefault="002F21F1" w:rsidP="002F21F1">
            <w:pPr>
              <w:jc w:val="right"/>
              <w:rPr>
                <w:rFonts w:ascii="仿宋" w:eastAsia="仿宋" w:hAnsi="仿宋" w:cs="Arial"/>
                <w:sz w:val="20"/>
              </w:rPr>
            </w:pPr>
            <w:r w:rsidRPr="002F21F1">
              <w:rPr>
                <w:rFonts w:ascii="仿宋" w:eastAsia="仿宋" w:hAnsi="仿宋" w:cs="Arial"/>
                <w:sz w:val="20"/>
              </w:rPr>
              <w:t>1.25%</w:t>
            </w:r>
          </w:p>
        </w:tc>
      </w:tr>
    </w:tbl>
    <w:p w:rsidR="0036595A" w:rsidRDefault="0036595A" w:rsidP="00953450">
      <w:pPr>
        <w:widowControl/>
        <w:jc w:val="left"/>
        <w:rPr>
          <w:rFonts w:ascii="仿宋" w:eastAsia="仿宋" w:hAnsi="仿宋"/>
          <w:b/>
          <w:sz w:val="24"/>
          <w:szCs w:val="24"/>
        </w:rPr>
      </w:pPr>
    </w:p>
    <w:p w:rsidR="00B31C85" w:rsidRDefault="00B31C85" w:rsidP="00B31C85">
      <w:pPr>
        <w:widowControl/>
        <w:ind w:leftChars="100" w:left="210" w:firstLineChars="1100" w:firstLine="198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w:t>
      </w:r>
      <w:r w:rsidR="002F21F1">
        <w:rPr>
          <w:rFonts w:ascii="仿宋" w:eastAsia="仿宋" w:hAnsi="仿宋" w:hint="eastAsia"/>
          <w:color w:val="7F7F7F"/>
          <w:sz w:val="18"/>
          <w:szCs w:val="18"/>
        </w:rPr>
        <w:t>20150810</w:t>
      </w:r>
      <w:r w:rsidRPr="00567F50">
        <w:rPr>
          <w:rFonts w:ascii="仿宋" w:eastAsia="仿宋" w:hAnsi="仿宋" w:hint="eastAsia"/>
          <w:color w:val="7F7F7F"/>
          <w:sz w:val="18"/>
          <w:szCs w:val="18"/>
        </w:rPr>
        <w:t>-</w:t>
      </w:r>
      <w:r w:rsidR="002F21F1">
        <w:rPr>
          <w:rFonts w:ascii="仿宋" w:eastAsia="仿宋" w:hAnsi="仿宋" w:hint="eastAsia"/>
          <w:color w:val="7F7F7F"/>
          <w:sz w:val="18"/>
          <w:szCs w:val="18"/>
        </w:rPr>
        <w:t>20150814</w:t>
      </w:r>
    </w:p>
    <w:p w:rsidR="009E2DEE" w:rsidRPr="002F21F1" w:rsidRDefault="009E2DEE" w:rsidP="009E2DEE">
      <w:pPr>
        <w:spacing w:before="240" w:line="324" w:lineRule="auto"/>
        <w:ind w:leftChars="1080" w:left="2268" w:rightChars="471" w:right="989"/>
        <w:jc w:val="left"/>
        <w:rPr>
          <w:rFonts w:ascii="仿宋" w:eastAsia="仿宋" w:hAnsi="仿宋"/>
          <w:color w:val="7F7F7F"/>
          <w:sz w:val="44"/>
          <w:szCs w:val="44"/>
        </w:rPr>
      </w:pPr>
    </w:p>
    <w:p w:rsidR="0013534F" w:rsidRPr="00567F50" w:rsidRDefault="00EB5FBB" w:rsidP="00D65A36">
      <w:pPr>
        <w:widowControl/>
        <w:ind w:firstLineChars="500" w:firstLine="2209"/>
        <w:jc w:val="left"/>
        <w:rPr>
          <w:rFonts w:ascii="仿宋" w:eastAsia="仿宋" w:hAnsi="仿宋"/>
          <w:b/>
          <w:color w:val="082F6B"/>
          <w:sz w:val="36"/>
          <w:szCs w:val="36"/>
        </w:rPr>
      </w:pPr>
      <w:r w:rsidRPr="0059323C">
        <w:rPr>
          <w:rFonts w:ascii="仿宋" w:eastAsia="仿宋" w:hAnsi="仿宋" w:hint="eastAsia"/>
          <w:b/>
          <w:color w:val="082F6B"/>
          <w:sz w:val="44"/>
          <w:szCs w:val="44"/>
        </w:rPr>
        <w:lastRenderedPageBreak/>
        <w:t>宏观经济</w:t>
      </w:r>
      <w:r w:rsidR="00EA4F19" w:rsidRPr="0059323C">
        <w:rPr>
          <w:rFonts w:ascii="仿宋" w:eastAsia="仿宋" w:hAnsi="仿宋" w:hint="eastAsia"/>
          <w:b/>
          <w:color w:val="082F6B"/>
          <w:sz w:val="44"/>
          <w:szCs w:val="44"/>
        </w:rPr>
        <w:t>与</w:t>
      </w:r>
      <w:r w:rsidR="00EA4F19" w:rsidRPr="0059323C">
        <w:rPr>
          <w:rFonts w:ascii="仿宋" w:eastAsia="仿宋" w:hAnsi="仿宋"/>
          <w:b/>
          <w:color w:val="082F6B"/>
          <w:sz w:val="44"/>
          <w:szCs w:val="44"/>
        </w:rPr>
        <w:t>债券市场</w:t>
      </w:r>
      <w:r w:rsidR="002F21F1">
        <w:rPr>
          <w:rFonts w:ascii="仿宋" w:eastAsia="仿宋" w:hAnsi="仿宋" w:hint="eastAsia"/>
          <w:b/>
          <w:color w:val="082F6B"/>
          <w:sz w:val="36"/>
          <w:szCs w:val="36"/>
        </w:rPr>
        <w:t>20150810</w:t>
      </w:r>
      <w:r w:rsidR="004A3A0E" w:rsidRPr="00781053">
        <w:rPr>
          <w:rFonts w:ascii="仿宋" w:eastAsia="仿宋" w:hAnsi="仿宋" w:hint="eastAsia"/>
          <w:b/>
          <w:color w:val="082F6B"/>
          <w:sz w:val="36"/>
          <w:szCs w:val="36"/>
        </w:rPr>
        <w:t>-</w:t>
      </w:r>
      <w:r w:rsidR="002F21F1">
        <w:rPr>
          <w:rFonts w:ascii="仿宋" w:eastAsia="仿宋" w:hAnsi="仿宋" w:hint="eastAsia"/>
          <w:b/>
          <w:color w:val="082F6B"/>
          <w:sz w:val="36"/>
          <w:szCs w:val="36"/>
        </w:rPr>
        <w:t>20150814</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1B2B4F" w:rsidRPr="00C25616" w:rsidRDefault="00D30FEA" w:rsidP="005A3371">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59323C" w:rsidRPr="0059323C">
        <w:rPr>
          <w:rFonts w:ascii="仿宋" w:eastAsia="仿宋" w:hAnsi="仿宋" w:hint="eastAsia"/>
          <w:sz w:val="24"/>
          <w:szCs w:val="24"/>
        </w:rPr>
        <w:t>上周央行改革了人民币汇率中间价形成机制，导致人民币对美元一周贬值4.58%至6.3975%，即期汇率贬2.93%至6.3918%，</w:t>
      </w:r>
      <w:r w:rsidR="0059323C">
        <w:rPr>
          <w:rFonts w:ascii="仿宋" w:eastAsia="仿宋" w:hAnsi="仿宋" w:hint="eastAsia"/>
          <w:sz w:val="24"/>
          <w:szCs w:val="24"/>
        </w:rPr>
        <w:t>定价更加市场化；</w:t>
      </w:r>
      <w:r w:rsidR="005A3371">
        <w:rPr>
          <w:rFonts w:ascii="仿宋" w:eastAsia="仿宋" w:hAnsi="仿宋" w:hint="eastAsia"/>
          <w:sz w:val="24"/>
          <w:szCs w:val="24"/>
        </w:rPr>
        <w:t>除</w:t>
      </w:r>
      <w:r w:rsidR="005A3371">
        <w:rPr>
          <w:rFonts w:ascii="仿宋" w:eastAsia="仿宋" w:hAnsi="仿宋"/>
          <w:sz w:val="24"/>
          <w:szCs w:val="24"/>
        </w:rPr>
        <w:t>改革外，</w:t>
      </w:r>
      <w:r w:rsidR="0059323C">
        <w:rPr>
          <w:rFonts w:ascii="仿宋" w:eastAsia="仿宋" w:hAnsi="仿宋" w:hint="eastAsia"/>
          <w:sz w:val="24"/>
          <w:szCs w:val="24"/>
        </w:rPr>
        <w:t>此次贬值还是与</w:t>
      </w:r>
      <w:r w:rsidR="0059323C" w:rsidRPr="0059323C">
        <w:rPr>
          <w:rFonts w:ascii="仿宋" w:eastAsia="仿宋" w:hAnsi="仿宋" w:hint="eastAsia"/>
          <w:sz w:val="24"/>
          <w:szCs w:val="24"/>
        </w:rPr>
        <w:t>内外经济、大国博弈等综合</w:t>
      </w:r>
      <w:proofErr w:type="gramStart"/>
      <w:r w:rsidR="0059323C" w:rsidRPr="0059323C">
        <w:rPr>
          <w:rFonts w:ascii="仿宋" w:eastAsia="仿宋" w:hAnsi="仿宋" w:hint="eastAsia"/>
          <w:sz w:val="24"/>
          <w:szCs w:val="24"/>
        </w:rPr>
        <w:t>考量</w:t>
      </w:r>
      <w:proofErr w:type="gramEnd"/>
      <w:r w:rsidR="0059323C" w:rsidRPr="0059323C">
        <w:rPr>
          <w:rFonts w:ascii="仿宋" w:eastAsia="仿宋" w:hAnsi="仿宋" w:hint="eastAsia"/>
          <w:sz w:val="24"/>
          <w:szCs w:val="24"/>
        </w:rPr>
        <w:t>的结果</w:t>
      </w:r>
      <w:r w:rsidR="000F6F27">
        <w:rPr>
          <w:rFonts w:ascii="仿宋" w:eastAsia="仿宋" w:hAnsi="仿宋" w:hint="eastAsia"/>
          <w:sz w:val="24"/>
          <w:szCs w:val="24"/>
        </w:rPr>
        <w:t>。</w:t>
      </w:r>
      <w:r w:rsidR="000F6F27" w:rsidRPr="000F6F27">
        <w:rPr>
          <w:rFonts w:ascii="仿宋" w:eastAsia="仿宋" w:hAnsi="仿宋" w:hint="eastAsia"/>
          <w:sz w:val="24"/>
          <w:szCs w:val="24"/>
        </w:rPr>
        <w:t>市场普遍预计，此轮人民币贬值在5%左右或将趋于稳定</w:t>
      </w:r>
      <w:r w:rsidR="0074124B">
        <w:rPr>
          <w:rFonts w:ascii="仿宋" w:eastAsia="仿宋" w:hAnsi="仿宋" w:hint="eastAsia"/>
          <w:sz w:val="24"/>
          <w:szCs w:val="24"/>
        </w:rPr>
        <w:t>；</w:t>
      </w:r>
      <w:r w:rsidR="005A3371">
        <w:rPr>
          <w:rFonts w:ascii="仿宋" w:eastAsia="仿宋" w:hAnsi="仿宋" w:hint="eastAsia"/>
          <w:sz w:val="24"/>
          <w:szCs w:val="24"/>
        </w:rPr>
        <w:t>同时</w:t>
      </w:r>
      <w:r w:rsidR="005A3371">
        <w:rPr>
          <w:rFonts w:ascii="仿宋" w:eastAsia="仿宋" w:hAnsi="仿宋"/>
          <w:sz w:val="24"/>
          <w:szCs w:val="24"/>
        </w:rPr>
        <w:t>，</w:t>
      </w:r>
      <w:r w:rsidR="00D535E5" w:rsidRPr="00D535E5">
        <w:rPr>
          <w:rFonts w:ascii="仿宋" w:eastAsia="仿宋" w:hAnsi="仿宋" w:hint="eastAsia"/>
          <w:sz w:val="24"/>
          <w:szCs w:val="24"/>
        </w:rPr>
        <w:t>7月股市大幅下跌再度导致短期资本项目资金流出加剧。根据央行发布的数据，</w:t>
      </w:r>
      <w:r w:rsidR="005A3371" w:rsidRPr="0059323C">
        <w:rPr>
          <w:rFonts w:ascii="仿宋" w:eastAsia="仿宋" w:hAnsi="仿宋" w:hint="eastAsia"/>
          <w:sz w:val="24"/>
          <w:szCs w:val="24"/>
        </w:rPr>
        <w:t>7月央行口径和金融机构口径的外汇占款连续下滑创单月历史纪录。而资金流出压力的加大也</w:t>
      </w:r>
      <w:r w:rsidR="005A3371">
        <w:rPr>
          <w:rFonts w:ascii="仿宋" w:eastAsia="仿宋" w:hAnsi="仿宋" w:hint="eastAsia"/>
          <w:sz w:val="24"/>
          <w:szCs w:val="24"/>
        </w:rPr>
        <w:t>进一步</w:t>
      </w:r>
      <w:r w:rsidR="005A3371" w:rsidRPr="0059323C">
        <w:rPr>
          <w:rFonts w:ascii="仿宋" w:eastAsia="仿宋" w:hAnsi="仿宋" w:hint="eastAsia"/>
          <w:sz w:val="24"/>
          <w:szCs w:val="24"/>
        </w:rPr>
        <w:t>使得人民币贬值压力加大</w:t>
      </w:r>
      <w:r w:rsidR="00570DD8" w:rsidRPr="00570DD8">
        <w:rPr>
          <w:rFonts w:ascii="仿宋" w:eastAsia="仿宋" w:hAnsi="仿宋" w:hint="eastAsia"/>
          <w:sz w:val="24"/>
          <w:szCs w:val="24"/>
        </w:rPr>
        <w:t>。</w:t>
      </w:r>
    </w:p>
    <w:p w:rsidR="005108F6" w:rsidRPr="00D65A36" w:rsidRDefault="003D4344" w:rsidP="00742670">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A85E74">
        <w:rPr>
          <w:rFonts w:ascii="仿宋" w:eastAsia="仿宋" w:hAnsi="仿宋" w:hint="eastAsia"/>
          <w:b/>
          <w:sz w:val="24"/>
          <w:szCs w:val="24"/>
        </w:rPr>
        <w:t>国际宏观：</w:t>
      </w:r>
      <w:r w:rsidR="00742670" w:rsidRPr="00742670">
        <w:rPr>
          <w:rFonts w:ascii="仿宋" w:eastAsia="仿宋" w:hAnsi="仿宋" w:hint="eastAsia"/>
          <w:sz w:val="24"/>
          <w:szCs w:val="24"/>
        </w:rPr>
        <w:t>近期美</w:t>
      </w:r>
      <w:proofErr w:type="gramStart"/>
      <w:r w:rsidR="00742670" w:rsidRPr="00742670">
        <w:rPr>
          <w:rFonts w:ascii="仿宋" w:eastAsia="仿宋" w:hAnsi="仿宋" w:hint="eastAsia"/>
          <w:sz w:val="24"/>
          <w:szCs w:val="24"/>
        </w:rPr>
        <w:t>股各项</w:t>
      </w:r>
      <w:proofErr w:type="gramEnd"/>
      <w:r w:rsidR="00742670" w:rsidRPr="00742670">
        <w:rPr>
          <w:rFonts w:ascii="仿宋" w:eastAsia="仿宋" w:hAnsi="仿宋" w:hint="eastAsia"/>
          <w:sz w:val="24"/>
          <w:szCs w:val="24"/>
        </w:rPr>
        <w:t>经济数据向好，就业持续强劲；欧元区第二季GDP初值较前季增长0.3%，同比增长1.2%，德法意GDP环比分别为0.4%、0和0.3%；欧6月工业产出月率下跌0.4%，年率上升1.2%，德法意工业产出均下降，随着欧盟就救助希腊债务问题达成一致，预计欧元区经济或继续缓慢复苏；日本7月消费者信心指数较上个月下滑1.4点至40.3，创1月来最低，主要是受到食品价格上涨和工资增速有限的影响；因为通胀上升而工资增长缓慢，日本居民的实际收入连续下降，消费信心创下半年来最低。消费占日本经济总量的6成以上，消费信心下降表明日本经济结构调整进展或有限；近期，马来西亚林吉特兑美元汇率创下17年新低，上周人民币贬值的背景下，亚洲货币应声齐跌，马</w:t>
      </w:r>
      <w:proofErr w:type="gramStart"/>
      <w:r w:rsidR="00742670" w:rsidRPr="00742670">
        <w:rPr>
          <w:rFonts w:ascii="仿宋" w:eastAsia="仿宋" w:hAnsi="仿宋" w:hint="eastAsia"/>
          <w:sz w:val="24"/>
          <w:szCs w:val="24"/>
        </w:rPr>
        <w:t>币更是</w:t>
      </w:r>
      <w:proofErr w:type="gramEnd"/>
      <w:r w:rsidR="00742670" w:rsidRPr="00742670">
        <w:rPr>
          <w:rFonts w:ascii="仿宋" w:eastAsia="仿宋" w:hAnsi="仿宋" w:hint="eastAsia"/>
          <w:sz w:val="24"/>
          <w:szCs w:val="24"/>
        </w:rPr>
        <w:t>雪上加霜，兑美元失守4.00关口。</w:t>
      </w:r>
      <w:r w:rsidR="009D3A64">
        <w:rPr>
          <w:rFonts w:ascii="仿宋" w:eastAsia="仿宋" w:hAnsi="仿宋" w:hint="eastAsia"/>
          <w:sz w:val="24"/>
          <w:szCs w:val="24"/>
        </w:rPr>
        <w:t>同时</w:t>
      </w:r>
      <w:r w:rsidR="00742670" w:rsidRPr="00742670">
        <w:rPr>
          <w:rFonts w:ascii="仿宋" w:eastAsia="仿宋" w:hAnsi="仿宋" w:hint="eastAsia"/>
          <w:sz w:val="24"/>
          <w:szCs w:val="24"/>
        </w:rPr>
        <w:t>，马来西亚股市也是连续数日重挫，其金融市场动荡加剧。</w:t>
      </w:r>
    </w:p>
    <w:p w:rsidR="00387FEE" w:rsidRDefault="00EA4F19" w:rsidP="00387FEE">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00387FEE">
        <w:rPr>
          <w:rFonts w:ascii="仿宋" w:eastAsia="仿宋" w:hAnsi="仿宋" w:hint="eastAsia"/>
          <w:b/>
          <w:sz w:val="24"/>
          <w:szCs w:val="24"/>
        </w:rPr>
        <w:t>货币</w:t>
      </w:r>
      <w:r w:rsidR="00387FEE">
        <w:rPr>
          <w:rFonts w:ascii="仿宋" w:eastAsia="仿宋" w:hAnsi="仿宋"/>
          <w:b/>
          <w:sz w:val="24"/>
          <w:szCs w:val="24"/>
        </w:rPr>
        <w:t>市场</w:t>
      </w:r>
      <w:r w:rsidRPr="00F425B0">
        <w:rPr>
          <w:rFonts w:ascii="仿宋" w:eastAsia="仿宋" w:hAnsi="仿宋" w:hint="eastAsia"/>
          <w:b/>
          <w:sz w:val="24"/>
          <w:szCs w:val="24"/>
        </w:rPr>
        <w:t>:</w:t>
      </w:r>
      <w:r w:rsidR="00D34E1A" w:rsidRPr="00D34E1A">
        <w:rPr>
          <w:rFonts w:ascii="仿宋" w:eastAsia="仿宋" w:hAnsi="仿宋" w:hint="eastAsia"/>
          <w:sz w:val="24"/>
          <w:szCs w:val="24"/>
        </w:rPr>
        <w:t xml:space="preserve"> </w:t>
      </w:r>
      <w:r w:rsidR="00570DD8" w:rsidRPr="00570DD8">
        <w:rPr>
          <w:rFonts w:ascii="仿宋" w:eastAsia="仿宋" w:hAnsi="仿宋" w:hint="eastAsia"/>
          <w:sz w:val="24"/>
          <w:szCs w:val="24"/>
        </w:rPr>
        <w:t>上周人民币意外</w:t>
      </w:r>
      <w:proofErr w:type="gramStart"/>
      <w:r w:rsidR="00570DD8" w:rsidRPr="00570DD8">
        <w:rPr>
          <w:rFonts w:ascii="仿宋" w:eastAsia="仿宋" w:hAnsi="仿宋" w:hint="eastAsia"/>
          <w:sz w:val="24"/>
          <w:szCs w:val="24"/>
        </w:rPr>
        <w:t>快贬</w:t>
      </w:r>
      <w:r w:rsidR="00750416" w:rsidRPr="00750416">
        <w:rPr>
          <w:rFonts w:ascii="仿宋" w:eastAsia="仿宋" w:hAnsi="仿宋" w:hint="eastAsia"/>
          <w:sz w:val="24"/>
          <w:szCs w:val="24"/>
        </w:rPr>
        <w:t>未</w:t>
      </w:r>
      <w:proofErr w:type="gramEnd"/>
      <w:r w:rsidR="00750416" w:rsidRPr="00750416">
        <w:rPr>
          <w:rFonts w:ascii="仿宋" w:eastAsia="仿宋" w:hAnsi="仿宋" w:hint="eastAsia"/>
          <w:sz w:val="24"/>
          <w:szCs w:val="24"/>
        </w:rPr>
        <w:t>明显冲击货币市场</w:t>
      </w:r>
      <w:r w:rsidR="00750416">
        <w:rPr>
          <w:rFonts w:ascii="仿宋" w:eastAsia="仿宋" w:hAnsi="仿宋" w:hint="eastAsia"/>
          <w:sz w:val="24"/>
          <w:szCs w:val="24"/>
        </w:rPr>
        <w:t>。</w:t>
      </w:r>
      <w:r w:rsidR="00570DD8" w:rsidRPr="00570DD8">
        <w:rPr>
          <w:rFonts w:ascii="仿宋" w:eastAsia="仿宋" w:hAnsi="仿宋" w:hint="eastAsia"/>
          <w:sz w:val="24"/>
          <w:szCs w:val="24"/>
        </w:rPr>
        <w:t>流动性基本平稳。上周公开市场实现小额净投放</w:t>
      </w:r>
      <w:r w:rsidR="00570DD8" w:rsidRPr="00570DD8">
        <w:rPr>
          <w:rFonts w:ascii="仿宋" w:eastAsia="仿宋" w:hAnsi="仿宋"/>
          <w:sz w:val="24"/>
          <w:szCs w:val="24"/>
        </w:rPr>
        <w:t>50</w:t>
      </w:r>
      <w:r w:rsidR="00570DD8" w:rsidRPr="00570DD8">
        <w:rPr>
          <w:rFonts w:ascii="仿宋" w:eastAsia="仿宋" w:hAnsi="仿宋" w:hint="eastAsia"/>
          <w:sz w:val="24"/>
          <w:szCs w:val="24"/>
        </w:rPr>
        <w:t>亿元。近几周，公开市场净投放净回笼反复交替进行，可见在</w:t>
      </w:r>
      <w:r w:rsidR="00570DD8" w:rsidRPr="00570DD8">
        <w:rPr>
          <w:rFonts w:ascii="仿宋" w:eastAsia="仿宋" w:hAnsi="仿宋"/>
          <w:sz w:val="24"/>
          <w:szCs w:val="24"/>
        </w:rPr>
        <w:t>M2</w:t>
      </w:r>
      <w:r w:rsidR="00570DD8" w:rsidRPr="00570DD8">
        <w:rPr>
          <w:rFonts w:ascii="仿宋" w:eastAsia="仿宋" w:hAnsi="仿宋" w:hint="eastAsia"/>
          <w:sz w:val="24"/>
          <w:szCs w:val="24"/>
        </w:rPr>
        <w:t>大幅回升超过实体资金需求的情况下，未来一段时间央行将基于短期流动性供求变化在公开市场上保持双向调节操作。虽然美国加息预期下，下半年仍</w:t>
      </w:r>
      <w:proofErr w:type="gramStart"/>
      <w:r w:rsidR="00570DD8" w:rsidRPr="00570DD8">
        <w:rPr>
          <w:rFonts w:ascii="仿宋" w:eastAsia="仿宋" w:hAnsi="仿宋" w:hint="eastAsia"/>
          <w:sz w:val="24"/>
          <w:szCs w:val="24"/>
        </w:rPr>
        <w:t>有降准空间</w:t>
      </w:r>
      <w:proofErr w:type="gramEnd"/>
      <w:r w:rsidR="00570DD8" w:rsidRPr="00570DD8">
        <w:rPr>
          <w:rFonts w:ascii="仿宋" w:eastAsia="仿宋" w:hAnsi="仿宋" w:hint="eastAsia"/>
          <w:sz w:val="24"/>
          <w:szCs w:val="24"/>
        </w:rPr>
        <w:t>，但考虑到物价短期趋升，空间也不是非常充裕。从现在货币市场利率情况来看，短期这个需求还不十分迫切，快速一步到位的贬值避免了流动性恐慌。而对实体经济综合性的影响还需观察</w:t>
      </w:r>
      <w:r w:rsidR="0089209C">
        <w:rPr>
          <w:rFonts w:ascii="仿宋" w:eastAsia="仿宋" w:hAnsi="仿宋" w:hint="eastAsia"/>
          <w:sz w:val="24"/>
          <w:szCs w:val="24"/>
        </w:rPr>
        <w:t>。</w:t>
      </w:r>
    </w:p>
    <w:p w:rsidR="00172DEA" w:rsidRDefault="00172DEA">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9"/>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45" w:type="dxa"/>
        <w:tblLook w:val="04A0" w:firstRow="1" w:lastRow="0" w:firstColumn="1" w:lastColumn="0" w:noHBand="0" w:noVBand="1"/>
      </w:tblPr>
      <w:tblGrid>
        <w:gridCol w:w="1282"/>
        <w:gridCol w:w="1123"/>
        <w:gridCol w:w="304"/>
        <w:gridCol w:w="526"/>
        <w:gridCol w:w="1124"/>
        <w:gridCol w:w="297"/>
        <w:gridCol w:w="695"/>
        <w:gridCol w:w="1028"/>
        <w:gridCol w:w="13"/>
        <w:gridCol w:w="979"/>
        <w:gridCol w:w="1029"/>
        <w:gridCol w:w="424"/>
        <w:gridCol w:w="563"/>
        <w:gridCol w:w="1058"/>
      </w:tblGrid>
      <w:tr w:rsidR="00A21430" w:rsidRPr="00567F50" w:rsidTr="00EC79E0">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30"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EC79E0">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30"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87"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717662" w:rsidRPr="00567F50" w:rsidTr="00EC79E0">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0" w:tgtFrame="_blank" w:history="1">
              <w:r w:rsidR="00717662" w:rsidRPr="003B5D7B">
                <w:rPr>
                  <w:rFonts w:ascii="仿宋" w:eastAsia="仿宋" w:hAnsi="仿宋" w:cs="Arial" w:hint="eastAsia"/>
                  <w:b/>
                  <w:color w:val="002854"/>
                  <w:kern w:val="0"/>
                  <w:sz w:val="20"/>
                </w:rPr>
                <w:t>交银精选</w:t>
              </w:r>
            </w:hyperlink>
          </w:p>
        </w:tc>
        <w:tc>
          <w:tcPr>
            <w:tcW w:w="830"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widowControl/>
              <w:jc w:val="center"/>
              <w:rPr>
                <w:color w:val="000000"/>
                <w:kern w:val="0"/>
                <w:sz w:val="22"/>
              </w:rPr>
            </w:pPr>
            <w:r>
              <w:rPr>
                <w:rFonts w:hint="eastAsia"/>
                <w:color w:val="000000"/>
                <w:sz w:val="22"/>
              </w:rPr>
              <w:t>1.0661</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3.2869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-0.04%</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-9.60%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33.21%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65.41%</w:t>
            </w:r>
          </w:p>
        </w:tc>
        <w:tc>
          <w:tcPr>
            <w:tcW w:w="987"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419.72%</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18.15%</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1" w:tgtFrame="_blank" w:history="1">
              <w:r w:rsidR="00717662" w:rsidRPr="003B5D7B">
                <w:rPr>
                  <w:rFonts w:ascii="仿宋" w:eastAsia="仿宋" w:hAnsi="仿宋" w:cs="Arial" w:hint="eastAsia"/>
                  <w:b/>
                  <w:color w:val="002854"/>
                  <w:kern w:val="0"/>
                  <w:sz w:val="20"/>
                </w:rPr>
                <w:t>交银稳健</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1.7802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3.5612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-28.61%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23.66%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85.87%</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398.26%</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19.13%</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2"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银成长</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5.0229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5.5439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0.32%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-12.02%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41.57%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75.27%</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499.32%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22.53%</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3" w:tgtFrame="_blank" w:history="1">
              <w:r w:rsidR="00717662" w:rsidRPr="003B5D7B">
                <w:rPr>
                  <w:rFonts w:ascii="仿宋" w:eastAsia="仿宋" w:hAnsi="仿宋" w:cs="Arial" w:hint="eastAsia"/>
                  <w:b/>
                  <w:color w:val="002854"/>
                  <w:kern w:val="0"/>
                  <w:sz w:val="20"/>
                </w:rPr>
                <w:t>交银蓝筹</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0.908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1.123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-0.70%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-11.63%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30.16%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61.11%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14.94%</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1.75%</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4" w:tgtFrame="_blank" w:history="1">
              <w:r w:rsidR="00717662" w:rsidRPr="003B5D7B">
                <w:rPr>
                  <w:rFonts w:ascii="仿宋" w:eastAsia="仿宋" w:hAnsi="仿宋" w:cs="Arial" w:hint="eastAsia"/>
                  <w:b/>
                  <w:color w:val="002854"/>
                  <w:kern w:val="0"/>
                  <w:sz w:val="20"/>
                </w:rPr>
                <w:t>交银增利A/B</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1.0193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1.5613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0.04%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7.06%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17.49%</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70.59%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7.51%</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5" w:tgtFrame="_blank" w:history="1">
              <w:r w:rsidR="00717662" w:rsidRPr="003B5D7B">
                <w:rPr>
                  <w:rFonts w:ascii="仿宋" w:eastAsia="仿宋" w:hAnsi="仿宋" w:cs="Arial" w:hint="eastAsia"/>
                  <w:b/>
                  <w:color w:val="002854"/>
                  <w:kern w:val="0"/>
                  <w:sz w:val="20"/>
                </w:rPr>
                <w:t>交银增利C</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1.0184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1.5264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0.04%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6.82%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16.97%</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65.19%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7.04%</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6" w:tgtFrame="_blank" w:history="1">
              <w:r w:rsidR="00717662" w:rsidRPr="003B5D7B">
                <w:rPr>
                  <w:rFonts w:ascii="仿宋" w:eastAsia="仿宋" w:hAnsi="仿宋" w:cs="Arial" w:hint="eastAsia"/>
                  <w:b/>
                  <w:color w:val="002854"/>
                  <w:kern w:val="0"/>
                  <w:sz w:val="20"/>
                </w:rPr>
                <w:t>交银环球</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1.653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1.913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1.29%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-10.55%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3.70%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5.43%</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97.93%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10.28%</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7" w:tgtFrame="_blank" w:history="1">
              <w:r w:rsidR="00717662" w:rsidRPr="003B5D7B">
                <w:rPr>
                  <w:rFonts w:ascii="仿宋" w:eastAsia="仿宋" w:hAnsi="仿宋" w:cs="Arial" w:hint="eastAsia"/>
                  <w:b/>
                  <w:color w:val="002854"/>
                  <w:kern w:val="0"/>
                  <w:sz w:val="20"/>
                </w:rPr>
                <w:t>交银先锋</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1.8507</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1.9547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-0.23%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-13.22%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29.06%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55.28%</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101.43%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11.66%</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8" w:tgtFrame="_blank" w:history="1">
              <w:r w:rsidR="00717662" w:rsidRPr="003B5D7B">
                <w:rPr>
                  <w:rFonts w:ascii="仿宋" w:eastAsia="仿宋" w:hAnsi="仿宋" w:cs="Arial" w:hint="eastAsia"/>
                  <w:b/>
                  <w:color w:val="002854"/>
                  <w:kern w:val="0"/>
                  <w:sz w:val="20"/>
                </w:rPr>
                <w:t>治理ETF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1.149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1.279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-15.39%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13.31%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76.23%</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27.87%</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4.26%</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19"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银治理</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1.273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-0.08%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-14.62%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71.79%</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27.30%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4.19%</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0"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银主题</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1.705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0.59%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40.68%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120.85%</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72.88%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11.27%</w:t>
            </w:r>
          </w:p>
        </w:tc>
      </w:tr>
      <w:tr w:rsidR="00717662" w:rsidRPr="00567F50" w:rsidTr="00EC79E0">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1"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银趋势</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1.442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1.442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0.07%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-9.82%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34.14%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72.69%</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44.20%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8.20%</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2" w:tgtFrame="_blank" w:history="1">
              <w:r w:rsidR="00717662" w:rsidRPr="003B5D7B">
                <w:rPr>
                  <w:rFonts w:ascii="仿宋" w:eastAsia="仿宋" w:hAnsi="仿宋" w:cs="Arial" w:hint="eastAsia"/>
                  <w:b/>
                  <w:color w:val="002854"/>
                  <w:kern w:val="0"/>
                  <w:sz w:val="20"/>
                </w:rPr>
                <w:t>交银添利（LOF）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1.283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1.394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11.76%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22.42%</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42.56%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8.11%</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3" w:tgtFrame="_blank" w:history="1">
              <w:r w:rsidR="00717662" w:rsidRPr="003B5D7B">
                <w:rPr>
                  <w:rFonts w:ascii="仿宋" w:eastAsia="仿宋" w:hAnsi="仿宋" w:cs="Arial" w:hint="eastAsia"/>
                  <w:b/>
                  <w:color w:val="002854"/>
                  <w:kern w:val="0"/>
                  <w:sz w:val="20"/>
                </w:rPr>
                <w:t>交银制造</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2.291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2.291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48.96%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82.99%</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129.10%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22.12%</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4" w:tgtFrame="_blank" w:history="1">
              <w:proofErr w:type="gramStart"/>
              <w:r w:rsidR="00717662" w:rsidRPr="003B5D7B">
                <w:rPr>
                  <w:rFonts w:ascii="仿宋" w:eastAsia="仿宋" w:hAnsi="仿宋" w:cs="Arial" w:hint="eastAsia"/>
                  <w:b/>
                  <w:color w:val="002854"/>
                  <w:kern w:val="0"/>
                  <w:sz w:val="20"/>
                </w:rPr>
                <w:t>交银深证</w:t>
              </w:r>
              <w:proofErr w:type="gramEnd"/>
              <w:r w:rsidR="00717662" w:rsidRPr="003B5D7B">
                <w:rPr>
                  <w:rFonts w:ascii="仿宋" w:eastAsia="仿宋" w:hAnsi="仿宋" w:cs="Arial" w:hint="eastAsia"/>
                  <w:b/>
                  <w:color w:val="002854"/>
                  <w:kern w:val="0"/>
                  <w:sz w:val="20"/>
                </w:rPr>
                <w:t>300价值ETF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1.633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1.633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0.25%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-8.52%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21.59%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66.97%</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63.30%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13.41%</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5" w:tgtFrame="_blank" w:history="1">
              <w:proofErr w:type="gramStart"/>
              <w:r w:rsidR="00717662" w:rsidRPr="003B5D7B">
                <w:rPr>
                  <w:rFonts w:ascii="仿宋" w:eastAsia="仿宋" w:hAnsi="仿宋" w:cs="Arial" w:hint="eastAsia"/>
                  <w:b/>
                  <w:color w:val="002854"/>
                  <w:kern w:val="0"/>
                  <w:sz w:val="20"/>
                </w:rPr>
                <w:t>交银双利</w:t>
              </w:r>
              <w:proofErr w:type="gramEnd"/>
              <w:r w:rsidR="00717662" w:rsidRPr="003B5D7B">
                <w:rPr>
                  <w:rFonts w:ascii="仿宋" w:eastAsia="仿宋" w:hAnsi="仿宋" w:cs="Arial" w:hint="eastAsia"/>
                  <w:b/>
                  <w:color w:val="002854"/>
                  <w:kern w:val="0"/>
                  <w:sz w:val="20"/>
                </w:rPr>
                <w:t>A/B</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1.273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1.611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-0.08%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-2.45%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8.70%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36.93%</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68.78%</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14.42%</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717662" w:rsidRPr="003B5D7B" w:rsidRDefault="00654205" w:rsidP="00717662">
            <w:pPr>
              <w:widowControl/>
              <w:jc w:val="center"/>
              <w:rPr>
                <w:rFonts w:ascii="仿宋" w:eastAsia="仿宋" w:hAnsi="仿宋" w:cs="Arial"/>
                <w:b/>
                <w:color w:val="002854"/>
                <w:kern w:val="0"/>
                <w:sz w:val="20"/>
              </w:rPr>
            </w:pPr>
            <w:hyperlink r:id="rId26" w:tgtFrame="_blank" w:history="1">
              <w:proofErr w:type="gramStart"/>
              <w:r w:rsidR="00717662" w:rsidRPr="003B5D7B">
                <w:rPr>
                  <w:rFonts w:ascii="仿宋" w:eastAsia="仿宋" w:hAnsi="仿宋" w:cs="Arial" w:hint="eastAsia"/>
                  <w:b/>
                  <w:color w:val="002854"/>
                  <w:kern w:val="0"/>
                  <w:sz w:val="20"/>
                </w:rPr>
                <w:t>交银双利</w:t>
              </w:r>
              <w:proofErr w:type="gramEnd"/>
              <w:r w:rsidR="00717662" w:rsidRPr="003B5D7B">
                <w:rPr>
                  <w:rFonts w:ascii="仿宋" w:eastAsia="仿宋" w:hAnsi="仿宋" w:cs="Arial" w:hint="eastAsia"/>
                  <w:b/>
                  <w:color w:val="002854"/>
                  <w:kern w:val="0"/>
                  <w:sz w:val="20"/>
                </w:rPr>
                <w:t>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1.25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1.585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8.50%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36.40%</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65.83%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13.90%</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17662" w:rsidRPr="003B5D7B" w:rsidRDefault="00654205" w:rsidP="00717662">
            <w:pPr>
              <w:widowControl/>
              <w:jc w:val="center"/>
              <w:rPr>
                <w:rFonts w:ascii="仿宋" w:eastAsia="仿宋" w:hAnsi="仿宋" w:cs="Arial"/>
                <w:b/>
                <w:color w:val="002854"/>
                <w:kern w:val="0"/>
                <w:sz w:val="20"/>
              </w:rPr>
            </w:pPr>
            <w:hyperlink r:id="rId27"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银价值</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1.551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1.551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0.19%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-9.83%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18.49%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60.89%</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55.10%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11.98%</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17662" w:rsidRPr="003B5D7B" w:rsidRDefault="00654205" w:rsidP="00717662">
            <w:pPr>
              <w:widowControl/>
              <w:jc w:val="center"/>
              <w:rPr>
                <w:rFonts w:ascii="仿宋" w:eastAsia="仿宋" w:hAnsi="仿宋" w:cs="Arial"/>
                <w:b/>
                <w:color w:val="002854"/>
                <w:kern w:val="0"/>
                <w:sz w:val="20"/>
              </w:rPr>
            </w:pPr>
            <w:hyperlink r:id="rId28" w:tgtFrame="_blank" w:history="1">
              <w:r w:rsidR="00717662" w:rsidRPr="003B5D7B">
                <w:rPr>
                  <w:rFonts w:ascii="仿宋" w:eastAsia="仿宋" w:hAnsi="仿宋" w:cs="Arial" w:hint="eastAsia"/>
                  <w:b/>
                  <w:color w:val="002854"/>
                  <w:kern w:val="0"/>
                  <w:sz w:val="20"/>
                </w:rPr>
                <w:t>交银行业</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2.262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2.402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-0.40%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-6.68%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17662" w:rsidRDefault="00717662" w:rsidP="00EC79E0">
            <w:pPr>
              <w:jc w:val="center"/>
              <w:rPr>
                <w:color w:val="000000"/>
                <w:sz w:val="22"/>
              </w:rPr>
            </w:pPr>
            <w:r>
              <w:rPr>
                <w:rFonts w:hint="eastAsia"/>
                <w:color w:val="000000"/>
                <w:sz w:val="22"/>
              </w:rPr>
              <w:t>36.68%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96.34%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127.13%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26.17%</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17662" w:rsidRPr="003B5D7B" w:rsidRDefault="00654205" w:rsidP="00717662">
            <w:pPr>
              <w:widowControl/>
              <w:jc w:val="center"/>
              <w:rPr>
                <w:rFonts w:ascii="仿宋" w:eastAsia="仿宋" w:hAnsi="仿宋" w:cs="Arial"/>
                <w:b/>
                <w:color w:val="002854"/>
                <w:kern w:val="0"/>
                <w:sz w:val="20"/>
              </w:rPr>
            </w:pPr>
            <w:hyperlink r:id="rId29" w:tgtFrame="_blank" w:history="1">
              <w:r w:rsidR="00717662" w:rsidRPr="003B5D7B">
                <w:rPr>
                  <w:rFonts w:ascii="仿宋" w:eastAsia="仿宋" w:hAnsi="仿宋" w:cs="Arial" w:hint="eastAsia"/>
                  <w:b/>
                  <w:color w:val="002854"/>
                  <w:kern w:val="0"/>
                  <w:sz w:val="20"/>
                </w:rPr>
                <w:t>交</w:t>
              </w:r>
              <w:proofErr w:type="gramStart"/>
              <w:r w:rsidR="00717662" w:rsidRPr="003B5D7B">
                <w:rPr>
                  <w:rFonts w:ascii="仿宋" w:eastAsia="仿宋" w:hAnsi="仿宋" w:cs="Arial" w:hint="eastAsia"/>
                  <w:b/>
                  <w:color w:val="002854"/>
                  <w:kern w:val="0"/>
                  <w:sz w:val="20"/>
                </w:rPr>
                <w:t>银资源</w:t>
              </w:r>
              <w:proofErr w:type="gramEnd"/>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1.253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1.05%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-7.60%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17662" w:rsidRDefault="00717662" w:rsidP="00EC79E0">
            <w:pPr>
              <w:jc w:val="center"/>
              <w:rPr>
                <w:color w:val="000000"/>
                <w:sz w:val="22"/>
              </w:rPr>
            </w:pPr>
            <w:r>
              <w:rPr>
                <w:rFonts w:hint="eastAsia"/>
                <w:color w:val="000000"/>
                <w:sz w:val="22"/>
              </w:rPr>
              <w:t>12.48%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-0.95%</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17662" w:rsidRDefault="00717662" w:rsidP="00EC79E0">
            <w:pPr>
              <w:jc w:val="center"/>
              <w:rPr>
                <w:color w:val="000000"/>
                <w:sz w:val="22"/>
              </w:rPr>
            </w:pPr>
            <w:r>
              <w:rPr>
                <w:rFonts w:hint="eastAsia"/>
                <w:color w:val="000000"/>
                <w:sz w:val="22"/>
              </w:rPr>
              <w:t>27.65%</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17662" w:rsidRDefault="00717662" w:rsidP="00EC79E0">
            <w:pPr>
              <w:jc w:val="center"/>
              <w:rPr>
                <w:color w:val="000000"/>
                <w:sz w:val="22"/>
              </w:rPr>
            </w:pPr>
            <w:r>
              <w:rPr>
                <w:rFonts w:hint="eastAsia"/>
                <w:color w:val="000000"/>
                <w:sz w:val="22"/>
              </w:rPr>
              <w:t>7.86%</w:t>
            </w:r>
          </w:p>
        </w:tc>
      </w:tr>
      <w:tr w:rsidR="00717662"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17662" w:rsidRPr="003B5D7B" w:rsidRDefault="00654205" w:rsidP="00717662">
            <w:pPr>
              <w:widowControl/>
              <w:jc w:val="center"/>
              <w:rPr>
                <w:rFonts w:ascii="仿宋" w:eastAsia="仿宋" w:hAnsi="仿宋" w:cs="Arial"/>
                <w:b/>
                <w:color w:val="002854"/>
                <w:kern w:val="0"/>
                <w:sz w:val="20"/>
              </w:rPr>
            </w:pPr>
            <w:hyperlink r:id="rId30" w:tgtFrame="_blank" w:history="1">
              <w:proofErr w:type="gramStart"/>
              <w:r w:rsidR="00717662" w:rsidRPr="003B5D7B">
                <w:rPr>
                  <w:rFonts w:ascii="仿宋" w:eastAsia="仿宋" w:hAnsi="仿宋" w:cs="Arial" w:hint="eastAsia"/>
                  <w:b/>
                  <w:color w:val="002854"/>
                  <w:kern w:val="0"/>
                  <w:sz w:val="20"/>
                </w:rPr>
                <w:t>交银阿尔</w:t>
              </w:r>
              <w:proofErr w:type="gramEnd"/>
              <w:r w:rsidR="00717662" w:rsidRPr="003B5D7B">
                <w:rPr>
                  <w:rFonts w:ascii="仿宋" w:eastAsia="仿宋" w:hAnsi="仿宋" w:cs="Arial" w:hint="eastAsia"/>
                  <w:b/>
                  <w:color w:val="002854"/>
                  <w:kern w:val="0"/>
                  <w:sz w:val="20"/>
                </w:rPr>
                <w:t>法</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2.088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2.088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0.48%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-13.54%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24.88%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99.81%</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17662" w:rsidRDefault="00717662" w:rsidP="00EC79E0">
            <w:pPr>
              <w:jc w:val="center"/>
              <w:rPr>
                <w:color w:val="000000"/>
                <w:sz w:val="22"/>
              </w:rPr>
            </w:pPr>
            <w:r>
              <w:rPr>
                <w:rFonts w:hint="eastAsia"/>
                <w:color w:val="000000"/>
                <w:sz w:val="22"/>
              </w:rPr>
              <w:t>108.80%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17662" w:rsidRDefault="00717662" w:rsidP="00EC79E0">
            <w:pPr>
              <w:jc w:val="center"/>
              <w:rPr>
                <w:color w:val="000000"/>
                <w:sz w:val="22"/>
              </w:rPr>
            </w:pPr>
            <w:r>
              <w:rPr>
                <w:rFonts w:hint="eastAsia"/>
                <w:color w:val="000000"/>
                <w:sz w:val="22"/>
              </w:rPr>
              <w:t>27.50%</w:t>
            </w:r>
          </w:p>
        </w:tc>
      </w:tr>
      <w:tr w:rsidR="00A51111" w:rsidRPr="00567F50" w:rsidTr="00A51111">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vAlign w:val="center"/>
          </w:tcPr>
          <w:p w:rsidR="00A51111" w:rsidRPr="003B5D7B" w:rsidRDefault="00654205" w:rsidP="00A51111">
            <w:pPr>
              <w:widowControl/>
              <w:jc w:val="center"/>
              <w:rPr>
                <w:rFonts w:ascii="仿宋" w:eastAsia="仿宋" w:hAnsi="仿宋" w:cs="Arial"/>
                <w:b/>
                <w:color w:val="002854"/>
                <w:kern w:val="0"/>
                <w:sz w:val="20"/>
              </w:rPr>
            </w:pPr>
            <w:hyperlink r:id="rId31"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银纯债</w:t>
              </w:r>
              <w:proofErr w:type="gramEnd"/>
              <w:r w:rsidR="00A51111" w:rsidRPr="003B5D7B">
                <w:rPr>
                  <w:rFonts w:ascii="仿宋" w:eastAsia="仿宋" w:hAnsi="仿宋" w:cs="Arial" w:hint="eastAsia"/>
                  <w:b/>
                  <w:color w:val="002854"/>
                  <w:kern w:val="0"/>
                  <w:sz w:val="20"/>
                </w:rPr>
                <w:t>A/B</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1.072</w:t>
            </w:r>
          </w:p>
        </w:tc>
        <w:tc>
          <w:tcPr>
            <w:tcW w:w="1124"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1.174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2.43%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6.68%</w:t>
            </w:r>
          </w:p>
        </w:tc>
        <w:tc>
          <w:tcPr>
            <w:tcW w:w="1029"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10.21%</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17.96%</w:t>
            </w:r>
          </w:p>
        </w:tc>
        <w:tc>
          <w:tcPr>
            <w:tcW w:w="105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A51111" w:rsidRDefault="00A51111" w:rsidP="00A51111">
            <w:pPr>
              <w:jc w:val="center"/>
              <w:rPr>
                <w:color w:val="000000"/>
                <w:sz w:val="22"/>
              </w:rPr>
            </w:pPr>
            <w:r>
              <w:rPr>
                <w:rFonts w:hint="eastAsia"/>
                <w:color w:val="000000"/>
                <w:sz w:val="22"/>
              </w:rPr>
              <w:t>6.43%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2"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银纯债</w:t>
              </w:r>
              <w:proofErr w:type="gramEnd"/>
              <w:r w:rsidR="00A51111" w:rsidRPr="003B5D7B">
                <w:rPr>
                  <w:rFonts w:ascii="仿宋" w:eastAsia="仿宋" w:hAnsi="仿宋" w:cs="Arial" w:hint="eastAsia"/>
                  <w:b/>
                  <w:color w:val="002854"/>
                  <w:kern w:val="0"/>
                  <w:sz w:val="20"/>
                </w:rPr>
                <w:t>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1.056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1.157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2.27%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6.37%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9.82%</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16.22%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5.83%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3" w:tgtFrame="_blank" w:history="1">
              <w:r w:rsidR="00A51111" w:rsidRPr="003B5D7B">
                <w:rPr>
                  <w:rFonts w:ascii="仿宋" w:eastAsia="仿宋" w:hAnsi="仿宋" w:cs="Arial" w:hint="eastAsia"/>
                  <w:b/>
                  <w:color w:val="002854"/>
                  <w:kern w:val="0"/>
                  <w:sz w:val="20"/>
                </w:rPr>
                <w:t>交银双轮动A/B</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1.056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1.156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4.48%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8.61%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16.16%</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6.66%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4" w:tgtFrame="_blank" w:history="1">
              <w:r w:rsidR="00A51111" w:rsidRPr="003B5D7B">
                <w:rPr>
                  <w:rFonts w:ascii="仿宋" w:eastAsia="仿宋" w:hAnsi="仿宋" w:cs="Arial" w:hint="eastAsia"/>
                  <w:b/>
                  <w:color w:val="002854"/>
                  <w:kern w:val="0"/>
                  <w:sz w:val="20"/>
                </w:rPr>
                <w:t>交银双轮动C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1.047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4.31%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8.04%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14.89%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6.16%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5" w:tgtFrame="_blank" w:history="1">
              <w:r w:rsidR="00A51111" w:rsidRPr="003B5D7B">
                <w:rPr>
                  <w:rFonts w:ascii="仿宋" w:eastAsia="仿宋" w:hAnsi="仿宋" w:cs="Arial" w:hint="eastAsia"/>
                  <w:b/>
                  <w:color w:val="002854"/>
                  <w:kern w:val="0"/>
                  <w:sz w:val="20"/>
                </w:rPr>
                <w:t>交银荣祥保本</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1.004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1.447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0.30%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0.81%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18.42%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38.94%</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51.20%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19.63%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6"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银成长</w:t>
              </w:r>
              <w:proofErr w:type="gramEnd"/>
              <w:r w:rsidR="00A51111" w:rsidRPr="003B5D7B">
                <w:rPr>
                  <w:rFonts w:ascii="仿宋" w:eastAsia="仿宋" w:hAnsi="仿宋" w:cs="Arial" w:hint="eastAsia"/>
                  <w:b/>
                  <w:color w:val="002854"/>
                  <w:kern w:val="0"/>
                  <w:sz w:val="20"/>
                </w:rPr>
                <w:t>30</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1.667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1.667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-0.18%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-12.40%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31.78%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58.61%</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66.70%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26.26%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7" w:tgtFrame="_blank" w:history="1">
              <w:r w:rsidR="00A51111" w:rsidRPr="003B5D7B">
                <w:rPr>
                  <w:rFonts w:ascii="仿宋" w:eastAsia="仿宋" w:hAnsi="仿宋" w:cs="Arial" w:hint="eastAsia"/>
                  <w:b/>
                  <w:color w:val="002854"/>
                  <w:kern w:val="0"/>
                  <w:sz w:val="20"/>
                </w:rPr>
                <w:t>交银月月丰A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1.298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1.298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0.15%</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8.17%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20.52%</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29.80%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13.91%</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8" w:tgtFrame="_blank" w:history="1">
              <w:r w:rsidR="00A51111" w:rsidRPr="003B5D7B">
                <w:rPr>
                  <w:rFonts w:ascii="仿宋" w:eastAsia="仿宋" w:hAnsi="仿宋" w:cs="Arial" w:hint="eastAsia"/>
                  <w:b/>
                  <w:color w:val="002854"/>
                  <w:kern w:val="0"/>
                  <w:sz w:val="20"/>
                </w:rPr>
                <w:t>交银月月丰C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1.286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1.286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0.16%</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7.89%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19.96%</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28.60%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13.38%</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39"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银双息平衡</w:t>
              </w:r>
              <w:proofErr w:type="gramEnd"/>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1.718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1.718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-0.29%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-12.61%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25.95%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58.34%</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71.80%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32.13%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0" w:tgtFrame="_blank" w:history="1">
              <w:proofErr w:type="gramStart"/>
              <w:r w:rsidR="00A51111" w:rsidRPr="003B5D7B">
                <w:rPr>
                  <w:rFonts w:ascii="仿宋" w:eastAsia="仿宋" w:hAnsi="仿宋" w:cs="Arial" w:hint="eastAsia"/>
                  <w:b/>
                  <w:color w:val="002854"/>
                  <w:kern w:val="0"/>
                  <w:sz w:val="20"/>
                </w:rPr>
                <w:t>交银荣泰</w:t>
              </w:r>
              <w:proofErr w:type="gramEnd"/>
              <w:r w:rsidR="00A51111" w:rsidRPr="003B5D7B">
                <w:rPr>
                  <w:rFonts w:ascii="仿宋" w:eastAsia="仿宋" w:hAnsi="仿宋" w:cs="Arial" w:hint="eastAsia"/>
                  <w:b/>
                  <w:color w:val="002854"/>
                  <w:kern w:val="0"/>
                  <w:sz w:val="20"/>
                </w:rPr>
                <w:t>保本</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1.311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1.446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-0.08%</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3.55%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20.96%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40.65%</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47.55%</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26.85%</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1" w:tgtFrame="_blank" w:history="1">
              <w:r w:rsidR="00A51111" w:rsidRPr="003B5D7B">
                <w:rPr>
                  <w:rFonts w:ascii="仿宋" w:eastAsia="仿宋" w:hAnsi="仿宋" w:cs="Arial" w:hint="eastAsia"/>
                  <w:b/>
                  <w:color w:val="002854"/>
                  <w:kern w:val="0"/>
                  <w:sz w:val="20"/>
                </w:rPr>
                <w:t>交银强化回报A/B</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1.173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1.213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2.36%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10.87%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18.37%</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21.92%</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13.71%</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2" w:tgtFrame="_blank" w:history="1">
              <w:r w:rsidR="00A51111" w:rsidRPr="003B5D7B">
                <w:rPr>
                  <w:rFonts w:ascii="仿宋" w:eastAsia="仿宋" w:hAnsi="仿宋" w:cs="Arial" w:hint="eastAsia"/>
                  <w:b/>
                  <w:color w:val="002854"/>
                  <w:kern w:val="0"/>
                  <w:sz w:val="20"/>
                </w:rPr>
                <w:t>交银强化回报C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1.169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1.209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2.27%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10.81%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17.97%</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21.51%</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13.46%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3" w:tgtFrame="_blank" w:history="1">
              <w:r w:rsidR="00A51111" w:rsidRPr="003B5D7B">
                <w:rPr>
                  <w:rFonts w:ascii="仿宋" w:eastAsia="仿宋" w:hAnsi="仿宋" w:cs="Arial" w:hint="eastAsia"/>
                  <w:b/>
                  <w:color w:val="002854"/>
                  <w:kern w:val="0"/>
                  <w:sz w:val="20"/>
                </w:rPr>
                <w:t>交银新成长</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1.648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1.648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-0.30%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-16.47%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31.00%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63.65%</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64.80%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48.39%</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4" w:tgtFrame="_blank" w:history="1">
              <w:r w:rsidR="00A51111" w:rsidRPr="003B5D7B">
                <w:rPr>
                  <w:rFonts w:ascii="仿宋" w:eastAsia="仿宋" w:hAnsi="仿宋" w:cs="Arial" w:hint="eastAsia"/>
                  <w:b/>
                  <w:color w:val="002854"/>
                  <w:kern w:val="0"/>
                  <w:sz w:val="20"/>
                </w:rPr>
                <w:t>交银周期回报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1.136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1.306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7.90%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30.59%</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32.29%</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25.54%</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5" w:tgtFrame="_blank" w:history="1">
              <w:r w:rsidR="00A51111" w:rsidRPr="003B5D7B">
                <w:rPr>
                  <w:rFonts w:ascii="仿宋" w:eastAsia="仿宋" w:hAnsi="仿宋" w:cs="Arial" w:hint="eastAsia"/>
                  <w:b/>
                  <w:color w:val="002854"/>
                  <w:kern w:val="0"/>
                  <w:sz w:val="20"/>
                </w:rPr>
                <w:t>交银丰盈A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1.098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1.118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3.68%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7.65%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11.97%</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11.97%</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11.86%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6" w:tgtFrame="_blank" w:history="1">
              <w:r w:rsidR="00A51111" w:rsidRPr="003B5D7B">
                <w:rPr>
                  <w:rFonts w:ascii="仿宋" w:eastAsia="仿宋" w:hAnsi="仿宋" w:cs="Arial" w:hint="eastAsia"/>
                  <w:b/>
                  <w:color w:val="002854"/>
                  <w:kern w:val="0"/>
                  <w:sz w:val="20"/>
                </w:rPr>
                <w:t>交银丰润A</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1.081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1.081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8.21%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8.10%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12.47%</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7" w:tgtFrame="_blank" w:history="1">
              <w:r w:rsidR="00A51111" w:rsidRPr="003B5D7B">
                <w:rPr>
                  <w:rFonts w:ascii="仿宋" w:eastAsia="仿宋" w:hAnsi="仿宋" w:cs="Arial" w:hint="eastAsia"/>
                  <w:b/>
                  <w:color w:val="002854"/>
                  <w:kern w:val="0"/>
                  <w:sz w:val="20"/>
                </w:rPr>
                <w:t>交银丰润C</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1.077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0.19%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4.66%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7.92%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11.84%</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8"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银丰享</w:t>
              </w:r>
              <w:proofErr w:type="gramEnd"/>
              <w:r w:rsidR="00A51111" w:rsidRPr="003B5D7B">
                <w:rPr>
                  <w:rFonts w:ascii="仿宋" w:eastAsia="仿宋" w:hAnsi="仿宋" w:cs="Arial" w:hint="eastAsia"/>
                  <w:b/>
                  <w:color w:val="002854"/>
                  <w:kern w:val="0"/>
                  <w:sz w:val="20"/>
                </w:rPr>
                <w:t>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1.075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4.57%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7.50%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7.50%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13.33%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49" w:tgtFrame="_blank" w:history="1">
              <w:r w:rsidR="00A51111" w:rsidRPr="003B5D7B">
                <w:rPr>
                  <w:rFonts w:ascii="仿宋" w:eastAsia="仿宋" w:hAnsi="仿宋" w:cs="Arial" w:hint="eastAsia"/>
                  <w:b/>
                  <w:color w:val="002854"/>
                  <w:kern w:val="0"/>
                  <w:sz w:val="20"/>
                </w:rPr>
                <w:t>交银丰泽A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1.074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4.58%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7.40%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7.40%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14.14%</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0" w:tgtFrame="_blank" w:history="1">
              <w:r w:rsidR="00A51111" w:rsidRPr="003B5D7B">
                <w:rPr>
                  <w:rFonts w:ascii="仿宋" w:eastAsia="仿宋" w:hAnsi="仿宋" w:cs="Arial" w:hint="eastAsia"/>
                  <w:b/>
                  <w:color w:val="002854"/>
                  <w:kern w:val="0"/>
                  <w:sz w:val="20"/>
                </w:rPr>
                <w:t>交银新能源</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1.006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-13.65%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1.56%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1" w:tgtFrame="_blank" w:history="1">
              <w:r w:rsidR="00A51111" w:rsidRPr="003B5D7B">
                <w:rPr>
                  <w:rFonts w:ascii="仿宋" w:eastAsia="仿宋" w:hAnsi="仿宋" w:cs="Arial" w:hint="eastAsia"/>
                  <w:b/>
                  <w:color w:val="002854"/>
                  <w:kern w:val="0"/>
                  <w:sz w:val="20"/>
                </w:rPr>
                <w:t>交银新回报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1.015</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1.50%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1.50%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6.15%</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2" w:tgtFrame="_blank" w:history="1">
              <w:r w:rsidR="00A51111" w:rsidRPr="003B5D7B">
                <w:rPr>
                  <w:rFonts w:ascii="仿宋" w:eastAsia="仿宋" w:hAnsi="仿宋" w:cs="Arial" w:hint="eastAsia"/>
                  <w:b/>
                  <w:color w:val="002854"/>
                  <w:kern w:val="0"/>
                  <w:sz w:val="20"/>
                </w:rPr>
                <w:t>交</w:t>
              </w:r>
              <w:proofErr w:type="gramStart"/>
              <w:r w:rsidR="00A51111" w:rsidRPr="003B5D7B">
                <w:rPr>
                  <w:rFonts w:ascii="仿宋" w:eastAsia="仿宋" w:hAnsi="仿宋" w:cs="Arial" w:hint="eastAsia"/>
                  <w:b/>
                  <w:color w:val="002854"/>
                  <w:kern w:val="0"/>
                  <w:sz w:val="20"/>
                </w:rPr>
                <w:t>银海外</w:t>
              </w:r>
              <w:proofErr w:type="gramEnd"/>
              <w:r w:rsidR="00A51111" w:rsidRPr="003B5D7B">
                <w:rPr>
                  <w:rFonts w:ascii="仿宋" w:eastAsia="仿宋" w:hAnsi="仿宋" w:cs="Arial" w:hint="eastAsia"/>
                  <w:b/>
                  <w:color w:val="002854"/>
                  <w:kern w:val="0"/>
                  <w:sz w:val="20"/>
                </w:rPr>
                <w:t>中国互联网(LOF)</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0.847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0.847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2.17%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-15.30%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-54.02%</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3" w:tgtFrame="_blank" w:history="1">
              <w:proofErr w:type="gramStart"/>
              <w:r w:rsidR="00A51111" w:rsidRPr="003B5D7B">
                <w:rPr>
                  <w:rFonts w:ascii="仿宋" w:eastAsia="仿宋" w:hAnsi="仿宋" w:cs="Arial" w:hint="eastAsia"/>
                  <w:b/>
                  <w:color w:val="002854"/>
                  <w:kern w:val="0"/>
                  <w:sz w:val="20"/>
                </w:rPr>
                <w:t>交银荣和</w:t>
              </w:r>
              <w:proofErr w:type="gramEnd"/>
              <w:r w:rsidR="00A51111" w:rsidRPr="003B5D7B">
                <w:rPr>
                  <w:rFonts w:ascii="仿宋" w:eastAsia="仿宋" w:hAnsi="仿宋" w:cs="Arial" w:hint="eastAsia"/>
                  <w:b/>
                  <w:color w:val="002854"/>
                  <w:kern w:val="0"/>
                  <w:sz w:val="20"/>
                </w:rPr>
                <w:t>保本</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0.986</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0.986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-1.40%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-6.46%</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4" w:tgtFrame="_blank" w:history="1">
              <w:r w:rsidR="00A51111" w:rsidRPr="003B5D7B">
                <w:rPr>
                  <w:rFonts w:ascii="仿宋" w:eastAsia="仿宋" w:hAnsi="仿宋" w:cs="Arial" w:hint="eastAsia"/>
                  <w:b/>
                  <w:color w:val="002854"/>
                  <w:kern w:val="0"/>
                  <w:sz w:val="20"/>
                </w:rPr>
                <w:t>交银多策略</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1.002</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0.20%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1.00%</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5" w:tgtFrame="_blank" w:history="1">
              <w:r w:rsidR="00A51111" w:rsidRPr="003B5D7B">
                <w:rPr>
                  <w:rFonts w:ascii="仿宋" w:eastAsia="仿宋" w:hAnsi="仿宋" w:cs="Arial" w:hint="eastAsia"/>
                  <w:b/>
                  <w:color w:val="002854"/>
                  <w:kern w:val="0"/>
                  <w:sz w:val="20"/>
                </w:rPr>
                <w:t>交银国企改革</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0.973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0.973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0.41%</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-14.25%</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F2DCC" w:rsidRDefault="00654205" w:rsidP="00A51111">
            <w:pPr>
              <w:widowControl/>
              <w:jc w:val="center"/>
              <w:rPr>
                <w:color w:val="595959"/>
                <w:kern w:val="0"/>
                <w:sz w:val="18"/>
                <w:szCs w:val="18"/>
              </w:rPr>
            </w:pPr>
            <w:hyperlink r:id="rId56" w:tgtFrame="_blank" w:history="1">
              <w:r w:rsidR="00A51111" w:rsidRPr="003F2DCC">
                <w:rPr>
                  <w:rFonts w:ascii="仿宋" w:eastAsia="仿宋" w:hAnsi="仿宋" w:cs="Arial" w:hint="eastAsia"/>
                  <w:b/>
                  <w:color w:val="002854"/>
                  <w:kern w:val="0"/>
                  <w:sz w:val="20"/>
                </w:rPr>
                <w:t>交银互联网金融</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0.969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0.969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0.94%</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-3.10%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-20.91%</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7" w:tgtFrame="_blank" w:history="1">
              <w:r w:rsidR="00A51111" w:rsidRPr="003B5D7B">
                <w:rPr>
                  <w:rFonts w:ascii="仿宋" w:eastAsia="仿宋" w:hAnsi="仿宋" w:cs="Arial" w:hint="eastAsia"/>
                  <w:b/>
                  <w:color w:val="002854"/>
                  <w:kern w:val="0"/>
                  <w:sz w:val="20"/>
                </w:rPr>
                <w:t>交银策略回报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1.177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1.398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-0.08%</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-7.10%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8.44%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27.42%</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44.03%</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12.28%</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E503E9" w:rsidRDefault="00654205" w:rsidP="00A51111">
            <w:pPr>
              <w:widowControl/>
              <w:jc w:val="center"/>
              <w:rPr>
                <w:color w:val="595959"/>
                <w:kern w:val="0"/>
                <w:sz w:val="18"/>
                <w:szCs w:val="18"/>
              </w:rPr>
            </w:pPr>
            <w:hyperlink r:id="rId58" w:tgtFrame="_blank" w:history="1">
              <w:r w:rsidR="00A51111" w:rsidRPr="00E503E9">
                <w:rPr>
                  <w:rFonts w:ascii="仿宋" w:eastAsia="仿宋" w:hAnsi="仿宋" w:cs="Arial" w:hint="eastAsia"/>
                  <w:b/>
                  <w:color w:val="002854"/>
                  <w:kern w:val="0"/>
                  <w:sz w:val="20"/>
                </w:rPr>
                <w:t>交</w:t>
              </w:r>
              <w:proofErr w:type="gramStart"/>
              <w:r w:rsidR="00A51111" w:rsidRPr="00E503E9">
                <w:rPr>
                  <w:rFonts w:ascii="仿宋" w:eastAsia="仿宋" w:hAnsi="仿宋" w:cs="Arial" w:hint="eastAsia"/>
                  <w:b/>
                  <w:color w:val="002854"/>
                  <w:kern w:val="0"/>
                  <w:sz w:val="20"/>
                </w:rPr>
                <w:t>银消费</w:t>
              </w:r>
              <w:proofErr w:type="gramEnd"/>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0.895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1.792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0.11%</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-7.15%</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-45.23%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59" w:tgtFrame="_blank" w:history="1">
              <w:r w:rsidR="00A51111" w:rsidRPr="003B5D7B">
                <w:rPr>
                  <w:rFonts w:ascii="仿宋" w:eastAsia="仿宋" w:hAnsi="仿宋" w:cs="Arial" w:hint="eastAsia"/>
                  <w:b/>
                  <w:color w:val="002854"/>
                  <w:kern w:val="0"/>
                  <w:sz w:val="20"/>
                </w:rPr>
                <w:t>交银新能源A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1.021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2.10%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5.53%</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3B5D7B" w:rsidRDefault="00654205" w:rsidP="00A51111">
            <w:pPr>
              <w:widowControl/>
              <w:jc w:val="center"/>
              <w:rPr>
                <w:rFonts w:ascii="仿宋" w:eastAsia="仿宋" w:hAnsi="仿宋" w:cs="Arial"/>
                <w:b/>
                <w:color w:val="002854"/>
                <w:kern w:val="0"/>
                <w:sz w:val="20"/>
              </w:rPr>
            </w:pPr>
            <w:hyperlink r:id="rId60" w:tgtFrame="_blank" w:history="1">
              <w:r w:rsidR="00A51111" w:rsidRPr="003B5D7B">
                <w:rPr>
                  <w:rFonts w:ascii="仿宋" w:eastAsia="仿宋" w:hAnsi="仿宋" w:cs="Arial" w:hint="eastAsia"/>
                  <w:b/>
                  <w:color w:val="002854"/>
                  <w:kern w:val="0"/>
                  <w:sz w:val="20"/>
                </w:rPr>
                <w:t>交银新能源B</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jc w:val="center"/>
              <w:rPr>
                <w:color w:val="000000"/>
                <w:sz w:val="22"/>
              </w:rPr>
            </w:pPr>
            <w:r>
              <w:rPr>
                <w:rFonts w:hint="eastAsia"/>
                <w:color w:val="000000"/>
                <w:sz w:val="22"/>
              </w:rPr>
              <w:t>0.991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0.991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0.20%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-25.09%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-0.90%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-2.31%</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BF5AFD" w:rsidRDefault="00654205" w:rsidP="00A51111">
            <w:pPr>
              <w:widowControl/>
              <w:jc w:val="center"/>
              <w:rPr>
                <w:rFonts w:ascii="仿宋" w:eastAsia="仿宋" w:hAnsi="仿宋" w:cs="Arial"/>
                <w:b/>
                <w:color w:val="002854"/>
                <w:kern w:val="0"/>
                <w:sz w:val="20"/>
              </w:rPr>
            </w:pPr>
            <w:hyperlink r:id="rId61" w:tgtFrame="_blank" w:history="1">
              <w:r w:rsidR="00A51111" w:rsidRPr="00BF5AFD">
                <w:rPr>
                  <w:rFonts w:ascii="仿宋" w:eastAsia="仿宋" w:hAnsi="仿宋" w:cs="Arial" w:hint="eastAsia"/>
                  <w:b/>
                  <w:color w:val="002854"/>
                  <w:kern w:val="0"/>
                  <w:sz w:val="20"/>
                </w:rPr>
                <w:t>E金融A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A51111" w:rsidRDefault="00A51111" w:rsidP="00A51111">
            <w:pPr>
              <w:jc w:val="center"/>
              <w:rPr>
                <w:color w:val="000000"/>
                <w:sz w:val="22"/>
              </w:rPr>
            </w:pPr>
            <w:r>
              <w:rPr>
                <w:rFonts w:hint="eastAsia"/>
                <w:color w:val="000000"/>
                <w:sz w:val="22"/>
              </w:rPr>
              <w:t>1.008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1.008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0.80%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A51111" w:rsidRDefault="00A51111" w:rsidP="00A51111">
            <w:pPr>
              <w:jc w:val="center"/>
              <w:rPr>
                <w:color w:val="000000"/>
                <w:sz w:val="22"/>
              </w:rPr>
            </w:pPr>
            <w:r>
              <w:rPr>
                <w:rFonts w:hint="eastAsia"/>
                <w:color w:val="000000"/>
                <w:sz w:val="22"/>
              </w:rPr>
              <w:t>6.12%</w:t>
            </w:r>
          </w:p>
        </w:tc>
      </w:tr>
      <w:tr w:rsidR="00A51111" w:rsidRPr="00567F50" w:rsidTr="00EC79E0">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BF5AFD" w:rsidRDefault="00654205" w:rsidP="00A51111">
            <w:pPr>
              <w:jc w:val="center"/>
              <w:rPr>
                <w:rFonts w:ascii="仿宋" w:eastAsia="仿宋" w:hAnsi="仿宋" w:cs="Arial"/>
                <w:b/>
                <w:color w:val="002854"/>
                <w:kern w:val="0"/>
                <w:sz w:val="20"/>
              </w:rPr>
            </w:pPr>
            <w:hyperlink r:id="rId62" w:tgtFrame="_blank" w:history="1">
              <w:r w:rsidR="00A51111" w:rsidRPr="00BF5AFD">
                <w:rPr>
                  <w:rFonts w:ascii="仿宋" w:eastAsia="仿宋" w:hAnsi="仿宋" w:cs="Arial" w:hint="eastAsia"/>
                  <w:b/>
                  <w:color w:val="002854"/>
                  <w:kern w:val="0"/>
                  <w:sz w:val="20"/>
                </w:rPr>
                <w:t>E金融B</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A51111" w:rsidRDefault="00A51111" w:rsidP="00A51111">
            <w:pPr>
              <w:widowControl/>
              <w:jc w:val="center"/>
              <w:rPr>
                <w:color w:val="000000"/>
                <w:kern w:val="0"/>
                <w:sz w:val="22"/>
              </w:rPr>
            </w:pPr>
            <w:r>
              <w:rPr>
                <w:rFonts w:hint="eastAsia"/>
                <w:color w:val="000000"/>
                <w:sz w:val="22"/>
              </w:rPr>
              <w:t>0.93</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0.93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1.97%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-7.00%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A51111" w:rsidRDefault="00A51111" w:rsidP="00A51111">
            <w:pPr>
              <w:jc w:val="center"/>
              <w:rPr>
                <w:color w:val="000000"/>
                <w:sz w:val="22"/>
              </w:rPr>
            </w:pPr>
            <w:r>
              <w:rPr>
                <w:rFonts w:hint="eastAsia"/>
                <w:color w:val="000000"/>
                <w:sz w:val="22"/>
              </w:rPr>
              <w:t>-41.76%</w:t>
            </w:r>
          </w:p>
        </w:tc>
      </w:tr>
      <w:tr w:rsidR="00A51111" w:rsidRPr="00567F50" w:rsidTr="00EC79E0">
        <w:trPr>
          <w:trHeight w:val="255"/>
        </w:trPr>
        <w:tc>
          <w:tcPr>
            <w:tcW w:w="2405" w:type="dxa"/>
            <w:gridSpan w:val="2"/>
            <w:tcBorders>
              <w:top w:val="single" w:sz="4" w:space="0" w:color="AA9678"/>
            </w:tcBorders>
            <w:shd w:val="clear" w:color="auto" w:fill="auto"/>
            <w:noWrap/>
          </w:tcPr>
          <w:p w:rsidR="00A51111" w:rsidRPr="00567F50" w:rsidRDefault="00A51111" w:rsidP="00A51111">
            <w:pPr>
              <w:widowControl/>
              <w:rPr>
                <w:rFonts w:ascii="仿宋" w:eastAsia="仿宋" w:hAnsi="仿宋" w:cs="Arial"/>
                <w:b/>
                <w:color w:val="002854"/>
                <w:kern w:val="0"/>
                <w:sz w:val="20"/>
              </w:rPr>
            </w:pPr>
          </w:p>
        </w:tc>
        <w:tc>
          <w:tcPr>
            <w:tcW w:w="8040" w:type="dxa"/>
            <w:gridSpan w:val="12"/>
            <w:tcBorders>
              <w:top w:val="single" w:sz="4" w:space="0" w:color="AA9678"/>
            </w:tcBorders>
            <w:shd w:val="clear" w:color="auto" w:fill="auto"/>
            <w:noWrap/>
          </w:tcPr>
          <w:p w:rsidR="00A51111" w:rsidRPr="00BF5AFD" w:rsidRDefault="00A51111" w:rsidP="00A51111">
            <w:pPr>
              <w:jc w:val="center"/>
            </w:pPr>
          </w:p>
          <w:p w:rsidR="00A51111" w:rsidRPr="00BF5AFD" w:rsidRDefault="00A51111" w:rsidP="00A51111">
            <w:pPr>
              <w:jc w:val="center"/>
            </w:pPr>
          </w:p>
        </w:tc>
      </w:tr>
      <w:tr w:rsidR="00A51111" w:rsidRPr="00567F50" w:rsidTr="00EC79E0">
        <w:trPr>
          <w:gridBefore w:val="1"/>
          <w:gridAfter w:val="2"/>
          <w:wBefore w:w="1282" w:type="dxa"/>
          <w:wAfter w:w="1621" w:type="dxa"/>
          <w:trHeight w:val="255"/>
        </w:trPr>
        <w:tc>
          <w:tcPr>
            <w:tcW w:w="142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A51111" w:rsidRPr="00567F50" w:rsidRDefault="00A51111" w:rsidP="00A51111">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47"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A51111" w:rsidRPr="00567F50" w:rsidRDefault="00A51111" w:rsidP="00A51111">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A51111" w:rsidRPr="00567F50" w:rsidRDefault="00A51111" w:rsidP="00A51111">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32" w:type="dxa"/>
            <w:gridSpan w:val="3"/>
            <w:tcBorders>
              <w:top w:val="single" w:sz="12" w:space="0" w:color="AA9678"/>
              <w:left w:val="single" w:sz="2" w:space="0" w:color="001E3E"/>
              <w:bottom w:val="single" w:sz="4" w:space="0" w:color="AA9678"/>
              <w:right w:val="single" w:sz="4" w:space="0" w:color="FFFFFF"/>
            </w:tcBorders>
            <w:shd w:val="clear" w:color="auto" w:fill="002E60"/>
          </w:tcPr>
          <w:p w:rsidR="00A51111" w:rsidRPr="00567F50" w:rsidRDefault="00A51111" w:rsidP="00A51111">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A51111" w:rsidRPr="00567F50" w:rsidTr="00EC79E0">
        <w:trPr>
          <w:gridBefore w:val="1"/>
          <w:gridAfter w:val="2"/>
          <w:wBefore w:w="1282" w:type="dxa"/>
          <w:wAfter w:w="1621" w:type="dxa"/>
          <w:trHeight w:val="255"/>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A51111" w:rsidRPr="00567F50" w:rsidRDefault="00A51111" w:rsidP="00A51111">
            <w:pPr>
              <w:widowControl/>
              <w:jc w:val="center"/>
            </w:pPr>
            <w:r w:rsidRPr="00567F50">
              <w:rPr>
                <w:rFonts w:ascii="仿宋" w:eastAsia="仿宋" w:hAnsi="仿宋" w:cs="Arial" w:hint="eastAsia"/>
                <w:b/>
                <w:color w:val="002854"/>
                <w:kern w:val="0"/>
                <w:sz w:val="20"/>
                <w:szCs w:val="18"/>
              </w:rPr>
              <w:t>交银现金宝</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51111" w:rsidRDefault="00A51111" w:rsidP="00A51111">
            <w:pPr>
              <w:widowControl/>
              <w:jc w:val="center"/>
              <w:rPr>
                <w:color w:val="000000"/>
                <w:kern w:val="0"/>
                <w:sz w:val="22"/>
              </w:rPr>
            </w:pPr>
            <w:r>
              <w:rPr>
                <w:rFonts w:hint="eastAsia"/>
                <w:color w:val="000000"/>
                <w:sz w:val="22"/>
              </w:rPr>
              <w:t>0.6545</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51111" w:rsidRDefault="00A51111" w:rsidP="00A51111">
            <w:pPr>
              <w:widowControl/>
              <w:jc w:val="center"/>
              <w:rPr>
                <w:color w:val="000000"/>
                <w:kern w:val="0"/>
                <w:sz w:val="22"/>
              </w:rPr>
            </w:pPr>
            <w:r>
              <w:rPr>
                <w:rFonts w:hint="eastAsia"/>
                <w:color w:val="000000"/>
                <w:sz w:val="22"/>
              </w:rPr>
              <w:t>2.744%</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Pr="009476C8" w:rsidRDefault="00A51111" w:rsidP="00A51111">
            <w:pPr>
              <w:jc w:val="center"/>
            </w:pPr>
            <w:r w:rsidRPr="002D0CC4">
              <w:rPr>
                <w:rFonts w:hint="eastAsia"/>
              </w:rPr>
              <w:t>--</w:t>
            </w:r>
          </w:p>
        </w:tc>
      </w:tr>
      <w:tr w:rsidR="00A51111" w:rsidRPr="00567F50" w:rsidTr="00EC79E0">
        <w:trPr>
          <w:gridBefore w:val="1"/>
          <w:gridAfter w:val="2"/>
          <w:wBefore w:w="1282" w:type="dxa"/>
          <w:wAfter w:w="1621" w:type="dxa"/>
          <w:trHeight w:val="255"/>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51111" w:rsidRDefault="00A51111" w:rsidP="00A51111">
            <w:pPr>
              <w:jc w:val="center"/>
              <w:rPr>
                <w:color w:val="000000"/>
                <w:sz w:val="22"/>
              </w:rPr>
            </w:pPr>
            <w:r>
              <w:rPr>
                <w:rFonts w:hint="eastAsia"/>
                <w:color w:val="000000"/>
                <w:sz w:val="22"/>
              </w:rPr>
              <w:t>0.5964</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51111" w:rsidRDefault="00A51111" w:rsidP="00A51111">
            <w:pPr>
              <w:jc w:val="center"/>
              <w:rPr>
                <w:color w:val="000000"/>
                <w:sz w:val="22"/>
              </w:rPr>
            </w:pPr>
            <w:r>
              <w:rPr>
                <w:rFonts w:hint="eastAsia"/>
                <w:color w:val="000000"/>
                <w:sz w:val="22"/>
              </w:rPr>
              <w:t>2.882%</w:t>
            </w:r>
          </w:p>
        </w:tc>
        <w:tc>
          <w:tcPr>
            <w:tcW w:w="2432" w:type="dxa"/>
            <w:gridSpan w:val="3"/>
            <w:tcBorders>
              <w:top w:val="single" w:sz="4" w:space="0" w:color="AA9678"/>
              <w:left w:val="single" w:sz="4" w:space="0" w:color="AA9678"/>
              <w:bottom w:val="single" w:sz="4" w:space="0" w:color="AA9678"/>
            </w:tcBorders>
            <w:vAlign w:val="center"/>
          </w:tcPr>
          <w:p w:rsidR="00A51111" w:rsidRPr="009476C8" w:rsidRDefault="00A51111" w:rsidP="00A51111">
            <w:pPr>
              <w:widowControl/>
              <w:jc w:val="center"/>
            </w:pPr>
            <w:r w:rsidRPr="002D0CC4">
              <w:rPr>
                <w:rFonts w:hint="eastAsia"/>
              </w:rPr>
              <w:t>--</w:t>
            </w:r>
          </w:p>
        </w:tc>
      </w:tr>
      <w:tr w:rsidR="00A51111" w:rsidRPr="00567F50" w:rsidTr="00EC79E0">
        <w:trPr>
          <w:gridBefore w:val="1"/>
          <w:gridAfter w:val="2"/>
          <w:wBefore w:w="1282" w:type="dxa"/>
          <w:wAfter w:w="1621" w:type="dxa"/>
          <w:trHeight w:val="337"/>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divId w:val="1760326520"/>
              <w:rPr>
                <w:color w:val="000000"/>
                <w:sz w:val="22"/>
              </w:rPr>
            </w:pPr>
            <w:r>
              <w:rPr>
                <w:rFonts w:hint="eastAsia"/>
                <w:color w:val="000000"/>
                <w:sz w:val="22"/>
              </w:rPr>
              <w:t>0.6623</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A51111" w:rsidRDefault="00A51111" w:rsidP="00A51111">
            <w:pPr>
              <w:jc w:val="center"/>
              <w:divId w:val="492185313"/>
              <w:rPr>
                <w:color w:val="000000"/>
                <w:sz w:val="22"/>
              </w:rPr>
            </w:pPr>
            <w:r>
              <w:rPr>
                <w:rFonts w:hint="eastAsia"/>
                <w:color w:val="000000"/>
                <w:sz w:val="22"/>
              </w:rPr>
              <w:t>3.121%</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Pr="009476C8" w:rsidRDefault="00A51111" w:rsidP="00A51111">
            <w:pPr>
              <w:widowControl/>
              <w:jc w:val="center"/>
            </w:pPr>
            <w:r w:rsidRPr="002D0CC4">
              <w:rPr>
                <w:rFonts w:hint="eastAsia"/>
              </w:rPr>
              <w:t>--</w:t>
            </w:r>
          </w:p>
        </w:tc>
      </w:tr>
      <w:tr w:rsidR="00A51111" w:rsidRPr="00567F50" w:rsidTr="00EC79E0">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widowControl/>
              <w:jc w:val="center"/>
              <w:divId w:val="469252247"/>
              <w:rPr>
                <w:color w:val="000000"/>
                <w:kern w:val="0"/>
                <w:sz w:val="22"/>
              </w:rPr>
            </w:pPr>
            <w:r>
              <w:rPr>
                <w:rFonts w:hint="eastAsia"/>
                <w:color w:val="000000"/>
                <w:sz w:val="22"/>
              </w:rPr>
              <w:t>0.4035</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6.965%</w:t>
            </w:r>
          </w:p>
        </w:tc>
        <w:tc>
          <w:tcPr>
            <w:tcW w:w="2432" w:type="dxa"/>
            <w:gridSpan w:val="3"/>
            <w:tcBorders>
              <w:top w:val="single" w:sz="4" w:space="0" w:color="AA9678"/>
              <w:left w:val="single" w:sz="4" w:space="0" w:color="AA9678"/>
              <w:bottom w:val="single" w:sz="4" w:space="0" w:color="AA9678"/>
            </w:tcBorders>
            <w:vAlign w:val="center"/>
          </w:tcPr>
          <w:p w:rsidR="00A51111" w:rsidRDefault="00A51111" w:rsidP="00A51111">
            <w:pPr>
              <w:widowControl/>
              <w:jc w:val="center"/>
              <w:rPr>
                <w:color w:val="000000"/>
                <w:kern w:val="0"/>
                <w:sz w:val="22"/>
              </w:rPr>
            </w:pPr>
            <w:r>
              <w:rPr>
                <w:rFonts w:hint="eastAsia"/>
                <w:color w:val="000000"/>
                <w:sz w:val="22"/>
              </w:rPr>
              <w:t>5.764%</w:t>
            </w:r>
          </w:p>
        </w:tc>
      </w:tr>
      <w:tr w:rsidR="00A51111" w:rsidRPr="00567F50" w:rsidTr="00EC79E0">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0.483</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7.255%</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Default="00A51111" w:rsidP="00A51111">
            <w:pPr>
              <w:jc w:val="center"/>
              <w:rPr>
                <w:color w:val="000000"/>
                <w:sz w:val="22"/>
              </w:rPr>
            </w:pPr>
            <w:r>
              <w:rPr>
                <w:rFonts w:hint="eastAsia"/>
                <w:color w:val="000000"/>
                <w:sz w:val="22"/>
              </w:rPr>
              <w:t>5.217%</w:t>
            </w:r>
          </w:p>
        </w:tc>
      </w:tr>
      <w:tr w:rsidR="00A51111" w:rsidRPr="00567F50" w:rsidTr="00EC79E0">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0.4868</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A51111" w:rsidRDefault="00A51111" w:rsidP="00A51111">
            <w:pPr>
              <w:jc w:val="center"/>
              <w:rPr>
                <w:color w:val="000000"/>
                <w:sz w:val="22"/>
              </w:rPr>
            </w:pPr>
            <w:r>
              <w:rPr>
                <w:rFonts w:hint="eastAsia"/>
                <w:color w:val="000000"/>
                <w:sz w:val="22"/>
              </w:rPr>
              <w:t>1.677%</w:t>
            </w:r>
          </w:p>
        </w:tc>
        <w:tc>
          <w:tcPr>
            <w:tcW w:w="2432" w:type="dxa"/>
            <w:gridSpan w:val="3"/>
            <w:tcBorders>
              <w:top w:val="single" w:sz="4" w:space="0" w:color="AA9678"/>
              <w:left w:val="single" w:sz="4" w:space="0" w:color="AA9678"/>
              <w:bottom w:val="single" w:sz="4" w:space="0" w:color="AA9678"/>
            </w:tcBorders>
            <w:shd w:val="clear" w:color="auto" w:fill="auto"/>
            <w:vAlign w:val="center"/>
          </w:tcPr>
          <w:p w:rsidR="00A51111" w:rsidRDefault="00A51111" w:rsidP="00A51111">
            <w:pPr>
              <w:jc w:val="center"/>
              <w:rPr>
                <w:color w:val="000000"/>
                <w:sz w:val="22"/>
              </w:rPr>
            </w:pPr>
            <w:r>
              <w:rPr>
                <w:rFonts w:hint="eastAsia"/>
                <w:color w:val="000000"/>
                <w:sz w:val="22"/>
              </w:rPr>
              <w:t>4.643%</w:t>
            </w:r>
          </w:p>
        </w:tc>
      </w:tr>
      <w:tr w:rsidR="00A51111" w:rsidRPr="00567F50" w:rsidTr="00EC79E0">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Default="00A51111" w:rsidP="00A51111">
            <w:pPr>
              <w:jc w:val="center"/>
              <w:divId w:val="970135274"/>
              <w:rPr>
                <w:color w:val="000000"/>
                <w:sz w:val="22"/>
              </w:rPr>
            </w:pPr>
            <w:r>
              <w:rPr>
                <w:rFonts w:hint="eastAsia"/>
                <w:color w:val="000000"/>
                <w:sz w:val="22"/>
              </w:rPr>
              <w:t>0.5663</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A51111" w:rsidRDefault="00A51111" w:rsidP="00A51111">
            <w:pPr>
              <w:jc w:val="center"/>
              <w:rPr>
                <w:color w:val="000000"/>
                <w:sz w:val="22"/>
              </w:rPr>
            </w:pPr>
            <w:r>
              <w:rPr>
                <w:rFonts w:hint="eastAsia"/>
                <w:color w:val="000000"/>
                <w:sz w:val="22"/>
              </w:rPr>
              <w:t>1.967%</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Default="00A51111" w:rsidP="00A51111">
            <w:pPr>
              <w:jc w:val="center"/>
              <w:divId w:val="900873813"/>
              <w:rPr>
                <w:color w:val="000000"/>
                <w:sz w:val="22"/>
              </w:rPr>
            </w:pPr>
            <w:r>
              <w:rPr>
                <w:rFonts w:hint="eastAsia"/>
                <w:color w:val="000000"/>
                <w:sz w:val="22"/>
              </w:rPr>
              <w:t>4.632%</w:t>
            </w:r>
          </w:p>
        </w:tc>
      </w:tr>
    </w:tbl>
    <w:p w:rsidR="00B7035E" w:rsidRDefault="008351B3" w:rsidP="00D6713C">
      <w:pPr>
        <w:spacing w:line="360" w:lineRule="auto"/>
        <w:ind w:rightChars="471" w:right="989"/>
        <w:rPr>
          <w:rFonts w:ascii="仿宋" w:eastAsia="仿宋" w:hAnsi="仿宋"/>
          <w:color w:val="808080"/>
          <w:sz w:val="15"/>
          <w:szCs w:val="15"/>
        </w:rPr>
      </w:pPr>
      <w:r w:rsidRPr="00D6713C">
        <w:rPr>
          <w:rFonts w:ascii="仿宋" w:eastAsia="仿宋" w:hAnsi="仿宋"/>
          <w:noProof/>
          <w:color w:val="808080"/>
          <w:sz w:val="15"/>
          <w:szCs w:val="15"/>
        </w:rPr>
        <mc:AlternateContent>
          <mc:Choice Requires="wps">
            <w:drawing>
              <wp:anchor distT="45720" distB="45720" distL="114300" distR="114300" simplePos="0" relativeHeight="251659776" behindDoc="0" locked="0" layoutInCell="1" allowOverlap="1" wp14:anchorId="6A795C43" wp14:editId="4CD56E99">
                <wp:simplePos x="0" y="0"/>
                <wp:positionH relativeFrom="margin">
                  <wp:posOffset>970915</wp:posOffset>
                </wp:positionH>
                <wp:positionV relativeFrom="paragraph">
                  <wp:posOffset>6636256</wp:posOffset>
                </wp:positionV>
                <wp:extent cx="55816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F720AE" w:rsidRDefault="0059323C" w:rsidP="00F20773">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sidR="008351B3">
                              <w:rPr>
                                <w:rFonts w:ascii="仿宋" w:eastAsia="仿宋" w:hAnsi="仿宋"/>
                                <w:color w:val="808080"/>
                                <w:sz w:val="15"/>
                                <w:szCs w:val="15"/>
                              </w:rPr>
                              <w:t>14</w:t>
                            </w:r>
                            <w:r w:rsidRPr="00A94D2A">
                              <w:rPr>
                                <w:rFonts w:ascii="仿宋" w:eastAsia="仿宋" w:hAnsi="仿宋" w:hint="eastAsia"/>
                                <w:color w:val="808080"/>
                                <w:sz w:val="15"/>
                                <w:szCs w:val="15"/>
                              </w:rPr>
                              <w:t>日，</w:t>
                            </w:r>
                          </w:p>
                          <w:p w:rsidR="0059323C" w:rsidRDefault="0059323C" w:rsidP="00F20773">
                            <w:pPr>
                              <w:jc w:val="center"/>
                            </w:pPr>
                            <w:r w:rsidRPr="00A94D2A">
                              <w:rPr>
                                <w:rFonts w:ascii="仿宋" w:eastAsia="仿宋" w:hAnsi="仿宋" w:hint="eastAsia"/>
                                <w:color w:val="808080"/>
                                <w:sz w:val="15"/>
                                <w:szCs w:val="15"/>
                              </w:rPr>
                              <w:t>交银环球、交银资源</w:t>
                            </w:r>
                            <w:r w:rsidR="009E694F">
                              <w:rPr>
                                <w:rFonts w:ascii="仿宋" w:eastAsia="仿宋" w:hAnsi="仿宋" w:hint="eastAsia"/>
                                <w:color w:val="808080"/>
                                <w:sz w:val="15"/>
                                <w:szCs w:val="15"/>
                              </w:rPr>
                              <w:t>、</w:t>
                            </w:r>
                            <w:r w:rsidR="009E694F" w:rsidRPr="009E694F">
                              <w:rPr>
                                <w:rFonts w:ascii="仿宋" w:eastAsia="仿宋" w:hAnsi="仿宋" w:hint="eastAsia"/>
                                <w:color w:val="808080"/>
                                <w:sz w:val="15"/>
                                <w:szCs w:val="15"/>
                              </w:rPr>
                              <w:t>交</w:t>
                            </w:r>
                            <w:proofErr w:type="gramStart"/>
                            <w:r w:rsidR="009E694F" w:rsidRPr="009E694F">
                              <w:rPr>
                                <w:rFonts w:ascii="仿宋" w:eastAsia="仿宋" w:hAnsi="仿宋" w:hint="eastAsia"/>
                                <w:color w:val="808080"/>
                                <w:sz w:val="15"/>
                                <w:szCs w:val="15"/>
                              </w:rPr>
                              <w:t>银海外</w:t>
                            </w:r>
                            <w:proofErr w:type="gramEnd"/>
                            <w:r w:rsidR="009E694F" w:rsidRPr="009E694F">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sidR="008351B3">
                              <w:rPr>
                                <w:rFonts w:ascii="仿宋" w:eastAsia="仿宋" w:hAnsi="仿宋"/>
                                <w:color w:val="808080"/>
                                <w:sz w:val="15"/>
                                <w:szCs w:val="15"/>
                              </w:rPr>
                              <w:t>13</w:t>
                            </w:r>
                            <w:r w:rsidRPr="00A94D2A">
                              <w:rPr>
                                <w:rFonts w:ascii="仿宋" w:eastAsia="仿宋" w:hAnsi="仿宋" w:hint="eastAsia"/>
                                <w:color w:val="808080"/>
                                <w:sz w:val="15"/>
                                <w:szCs w:val="15"/>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795C43" id="_x0000_t202" coordsize="21600,21600" o:spt="202" path="m,l,21600r21600,l21600,xe">
                <v:stroke joinstyle="miter"/>
                <v:path gradientshapeok="t" o:connecttype="rect"/>
              </v:shapetype>
              <v:shape id="文本框 2" o:spid="_x0000_s1026" type="#_x0000_t202" style="position:absolute;left:0;text-align:left;margin-left:76.45pt;margin-top:522.55pt;width:439.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" filled="f" stroked="f">
                <v:textbox style="mso-fit-shape-to-text:t">
                  <w:txbxContent>
                    <w:p w:rsidR="00F720AE" w:rsidRDefault="0059323C" w:rsidP="00F20773">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sidR="008351B3">
                        <w:rPr>
                          <w:rFonts w:ascii="仿宋" w:eastAsia="仿宋" w:hAnsi="仿宋"/>
                          <w:color w:val="808080"/>
                          <w:sz w:val="15"/>
                          <w:szCs w:val="15"/>
                        </w:rPr>
                        <w:t>14</w:t>
                      </w:r>
                      <w:r w:rsidRPr="00A94D2A">
                        <w:rPr>
                          <w:rFonts w:ascii="仿宋" w:eastAsia="仿宋" w:hAnsi="仿宋" w:hint="eastAsia"/>
                          <w:color w:val="808080"/>
                          <w:sz w:val="15"/>
                          <w:szCs w:val="15"/>
                        </w:rPr>
                        <w:t>日，</w:t>
                      </w:r>
                    </w:p>
                    <w:p w:rsidR="0059323C" w:rsidRDefault="0059323C" w:rsidP="00F20773">
                      <w:pPr>
                        <w:jc w:val="center"/>
                      </w:pPr>
                      <w:r w:rsidRPr="00A94D2A">
                        <w:rPr>
                          <w:rFonts w:ascii="仿宋" w:eastAsia="仿宋" w:hAnsi="仿宋" w:hint="eastAsia"/>
                          <w:color w:val="808080"/>
                          <w:sz w:val="15"/>
                          <w:szCs w:val="15"/>
                        </w:rPr>
                        <w:t>交银环球、交银资源</w:t>
                      </w:r>
                      <w:r w:rsidR="009E694F">
                        <w:rPr>
                          <w:rFonts w:ascii="仿宋" w:eastAsia="仿宋" w:hAnsi="仿宋" w:hint="eastAsia"/>
                          <w:color w:val="808080"/>
                          <w:sz w:val="15"/>
                          <w:szCs w:val="15"/>
                        </w:rPr>
                        <w:t>、</w:t>
                      </w:r>
                      <w:r w:rsidR="009E694F" w:rsidRPr="009E694F">
                        <w:rPr>
                          <w:rFonts w:ascii="仿宋" w:eastAsia="仿宋" w:hAnsi="仿宋" w:hint="eastAsia"/>
                          <w:color w:val="808080"/>
                          <w:sz w:val="15"/>
                          <w:szCs w:val="15"/>
                        </w:rPr>
                        <w:t>交</w:t>
                      </w:r>
                      <w:proofErr w:type="gramStart"/>
                      <w:r w:rsidR="009E694F" w:rsidRPr="009E694F">
                        <w:rPr>
                          <w:rFonts w:ascii="仿宋" w:eastAsia="仿宋" w:hAnsi="仿宋" w:hint="eastAsia"/>
                          <w:color w:val="808080"/>
                          <w:sz w:val="15"/>
                          <w:szCs w:val="15"/>
                        </w:rPr>
                        <w:t>银海外</w:t>
                      </w:r>
                      <w:proofErr w:type="gramEnd"/>
                      <w:r w:rsidR="009E694F" w:rsidRPr="009E694F">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sidR="008351B3">
                        <w:rPr>
                          <w:rFonts w:ascii="仿宋" w:eastAsia="仿宋" w:hAnsi="仿宋"/>
                          <w:color w:val="808080"/>
                          <w:sz w:val="15"/>
                          <w:szCs w:val="15"/>
                        </w:rPr>
                        <w:t>13</w:t>
                      </w:r>
                      <w:r w:rsidRPr="00A94D2A">
                        <w:rPr>
                          <w:rFonts w:ascii="仿宋" w:eastAsia="仿宋" w:hAnsi="仿宋" w:hint="eastAsia"/>
                          <w:color w:val="808080"/>
                          <w:sz w:val="15"/>
                          <w:szCs w:val="15"/>
                        </w:rPr>
                        <w:t>日。</w:t>
                      </w:r>
                    </w:p>
                  </w:txbxContent>
                </v:textbox>
                <w10:wrap anchorx="margin"/>
              </v:shape>
            </w:pict>
          </mc:Fallback>
        </mc:AlternateContent>
      </w:r>
      <w:r w:rsidR="00AE66E6">
        <w:rPr>
          <w:rFonts w:ascii="仿宋" w:eastAsia="仿宋" w:hAnsi="仿宋"/>
          <w:color w:val="808080"/>
          <w:sz w:val="15"/>
          <w:szCs w:val="15"/>
        </w:rPr>
        <w:t>1</w:t>
      </w:r>
      <w:bookmarkStart w:id="0" w:name="_GoBack"/>
      <w:bookmarkEnd w:id="0"/>
    </w:p>
    <w:sectPr w:rsidR="00B7035E" w:rsidSect="009173CC">
      <w:headerReference w:type="default" r:id="rId63"/>
      <w:footerReference w:type="default" r:id="rId64"/>
      <w:headerReference w:type="first" r:id="rId65"/>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05" w:rsidRDefault="00654205" w:rsidP="000E7112">
      <w:r>
        <w:separator/>
      </w:r>
    </w:p>
  </w:endnote>
  <w:endnote w:type="continuationSeparator" w:id="0">
    <w:p w:rsidR="00654205" w:rsidRDefault="00654205"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3C" w:rsidRDefault="0059323C" w:rsidP="00210641">
    <w:pPr>
      <w:pStyle w:val="a3"/>
    </w:pPr>
  </w:p>
  <w:p w:rsidR="0059323C" w:rsidRDefault="0059323C"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9323C" w:rsidRDefault="0059323C"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7B3C2B">
      <w:rPr>
        <w:b/>
        <w:noProof/>
        <w:color w:val="0088CC"/>
      </w:rPr>
      <w:t>4</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7B3C2B">
      <w:rPr>
        <w:b/>
        <w:noProof/>
        <w:color w:val="7F7F7F"/>
      </w:rPr>
      <w:t>8</w:t>
    </w:r>
    <w:r w:rsidRPr="006A5CE8">
      <w:rPr>
        <w:b/>
        <w:color w:val="7F7F7F"/>
        <w:sz w:val="24"/>
        <w:szCs w:val="24"/>
      </w:rPr>
      <w:fldChar w:fldCharType="end"/>
    </w:r>
  </w:p>
  <w:p w:rsidR="0059323C" w:rsidRDefault="0059323C" w:rsidP="00210641">
    <w:pPr>
      <w:pStyle w:val="a3"/>
    </w:pPr>
  </w:p>
  <w:p w:rsidR="0059323C" w:rsidRDefault="00593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05" w:rsidRDefault="00654205" w:rsidP="000E7112">
      <w:r>
        <w:separator/>
      </w:r>
    </w:p>
  </w:footnote>
  <w:footnote w:type="continuationSeparator" w:id="0">
    <w:p w:rsidR="00654205" w:rsidRDefault="00654205"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3C" w:rsidRDefault="0059323C"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9323C" w:rsidRPr="009830F8" w:rsidRDefault="0059323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8</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27</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7"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A51111" w:rsidRPr="009830F8" w:rsidRDefault="00A51111">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8</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27</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59323C" w:rsidRDefault="005932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3C" w:rsidRDefault="0059323C" w:rsidP="00655522">
    <w:pPr>
      <w:pStyle w:val="a3"/>
      <w:ind w:rightChars="-857" w:right="-1800"/>
      <w:rPr>
        <w:noProof/>
      </w:rPr>
    </w:pPr>
  </w:p>
  <w:p w:rsidR="0059323C" w:rsidRDefault="0059323C"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9323C" w:rsidRPr="004F0FD3" w:rsidRDefault="0059323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8</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27</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8"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A51111" w:rsidRPr="004F0FD3" w:rsidRDefault="00A51111"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8</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27</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59323C" w:rsidRDefault="005932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15:restartNumberingAfterBreak="0">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15:restartNumberingAfterBreak="0">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15:restartNumberingAfterBreak="0">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15:restartNumberingAfterBreak="0">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15:restartNumberingAfterBreak="0">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15:restartNumberingAfterBreak="0">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15:restartNumberingAfterBreak="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15:restartNumberingAfterBreak="0">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15:restartNumberingAfterBreak="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15:restartNumberingAfterBreak="0">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15:restartNumberingAfterBreak="0">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15:restartNumberingAfterBreak="0">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15:restartNumberingAfterBreak="0">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5EE8"/>
    <w:rsid w:val="0000658D"/>
    <w:rsid w:val="00010C02"/>
    <w:rsid w:val="00010E8E"/>
    <w:rsid w:val="00010EBC"/>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41B5"/>
    <w:rsid w:val="0007545B"/>
    <w:rsid w:val="0007558E"/>
    <w:rsid w:val="00075C03"/>
    <w:rsid w:val="000763F8"/>
    <w:rsid w:val="00077585"/>
    <w:rsid w:val="00077B37"/>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27C"/>
    <w:rsid w:val="00086F97"/>
    <w:rsid w:val="00086FE9"/>
    <w:rsid w:val="00087023"/>
    <w:rsid w:val="000870AB"/>
    <w:rsid w:val="00087314"/>
    <w:rsid w:val="0008784D"/>
    <w:rsid w:val="000878F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2C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5EB7"/>
    <w:rsid w:val="000F60F2"/>
    <w:rsid w:val="000F6123"/>
    <w:rsid w:val="000F63D4"/>
    <w:rsid w:val="000F6612"/>
    <w:rsid w:val="000F66E4"/>
    <w:rsid w:val="000F6AF9"/>
    <w:rsid w:val="000F6B59"/>
    <w:rsid w:val="000F6D10"/>
    <w:rsid w:val="000F6F27"/>
    <w:rsid w:val="000F74AC"/>
    <w:rsid w:val="000F760A"/>
    <w:rsid w:val="000F7D75"/>
    <w:rsid w:val="0010064E"/>
    <w:rsid w:val="001008DC"/>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06BF2"/>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85"/>
    <w:rsid w:val="001224F7"/>
    <w:rsid w:val="00123222"/>
    <w:rsid w:val="001232D3"/>
    <w:rsid w:val="00123A16"/>
    <w:rsid w:val="00123F1B"/>
    <w:rsid w:val="00124C55"/>
    <w:rsid w:val="0012677B"/>
    <w:rsid w:val="00126B38"/>
    <w:rsid w:val="00127592"/>
    <w:rsid w:val="00127EBA"/>
    <w:rsid w:val="00130110"/>
    <w:rsid w:val="00131AAE"/>
    <w:rsid w:val="001326E8"/>
    <w:rsid w:val="00132F79"/>
    <w:rsid w:val="00133D48"/>
    <w:rsid w:val="0013534F"/>
    <w:rsid w:val="00135F10"/>
    <w:rsid w:val="00135F6C"/>
    <w:rsid w:val="001362F4"/>
    <w:rsid w:val="001369C3"/>
    <w:rsid w:val="00136DA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6CC"/>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DEA"/>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2B4F"/>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D7E20"/>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6FD"/>
    <w:rsid w:val="00204AE4"/>
    <w:rsid w:val="00204C38"/>
    <w:rsid w:val="002072EC"/>
    <w:rsid w:val="00210641"/>
    <w:rsid w:val="00210F46"/>
    <w:rsid w:val="0021110E"/>
    <w:rsid w:val="00211D6C"/>
    <w:rsid w:val="00211EF5"/>
    <w:rsid w:val="00211F76"/>
    <w:rsid w:val="00212F5E"/>
    <w:rsid w:val="002137C6"/>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5F02"/>
    <w:rsid w:val="00226244"/>
    <w:rsid w:val="002262CC"/>
    <w:rsid w:val="00226849"/>
    <w:rsid w:val="00227C87"/>
    <w:rsid w:val="00227E1B"/>
    <w:rsid w:val="00227F0E"/>
    <w:rsid w:val="0023097E"/>
    <w:rsid w:val="00230B27"/>
    <w:rsid w:val="002313FD"/>
    <w:rsid w:val="00232519"/>
    <w:rsid w:val="00233298"/>
    <w:rsid w:val="00233830"/>
    <w:rsid w:val="00233FE1"/>
    <w:rsid w:val="002351D7"/>
    <w:rsid w:val="00235599"/>
    <w:rsid w:val="00236112"/>
    <w:rsid w:val="00236129"/>
    <w:rsid w:val="00236133"/>
    <w:rsid w:val="002361AA"/>
    <w:rsid w:val="00237E11"/>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0FF8"/>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28C2"/>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2FAD"/>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1F1"/>
    <w:rsid w:val="002F2A72"/>
    <w:rsid w:val="002F31B7"/>
    <w:rsid w:val="002F3C30"/>
    <w:rsid w:val="002F41F4"/>
    <w:rsid w:val="002F4BB2"/>
    <w:rsid w:val="002F4C40"/>
    <w:rsid w:val="002F4E38"/>
    <w:rsid w:val="002F55DA"/>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5962"/>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1C6"/>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5A"/>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061F"/>
    <w:rsid w:val="0038100B"/>
    <w:rsid w:val="0038205B"/>
    <w:rsid w:val="0038251A"/>
    <w:rsid w:val="003828F9"/>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87FEE"/>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4A1"/>
    <w:rsid w:val="003A4553"/>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D7B"/>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2DCC"/>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2E5C"/>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21E3"/>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6FFB"/>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CEC"/>
    <w:rsid w:val="00492DD4"/>
    <w:rsid w:val="00492FAE"/>
    <w:rsid w:val="0049365B"/>
    <w:rsid w:val="00493A5A"/>
    <w:rsid w:val="00494A38"/>
    <w:rsid w:val="0049517E"/>
    <w:rsid w:val="0049577F"/>
    <w:rsid w:val="00496021"/>
    <w:rsid w:val="004963CB"/>
    <w:rsid w:val="004973AB"/>
    <w:rsid w:val="004A04F8"/>
    <w:rsid w:val="004A0685"/>
    <w:rsid w:val="004A0B2E"/>
    <w:rsid w:val="004A0F03"/>
    <w:rsid w:val="004A1A7E"/>
    <w:rsid w:val="004A1D5A"/>
    <w:rsid w:val="004A288B"/>
    <w:rsid w:val="004A39DF"/>
    <w:rsid w:val="004A3A0E"/>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90D"/>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08F6"/>
    <w:rsid w:val="00511748"/>
    <w:rsid w:val="005119C7"/>
    <w:rsid w:val="00511F50"/>
    <w:rsid w:val="005123F3"/>
    <w:rsid w:val="0051270B"/>
    <w:rsid w:val="00513715"/>
    <w:rsid w:val="00514000"/>
    <w:rsid w:val="0051421C"/>
    <w:rsid w:val="00514BE0"/>
    <w:rsid w:val="00514E39"/>
    <w:rsid w:val="005152AA"/>
    <w:rsid w:val="00515863"/>
    <w:rsid w:val="00515C33"/>
    <w:rsid w:val="0051604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1B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0DD8"/>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B1C"/>
    <w:rsid w:val="00587E09"/>
    <w:rsid w:val="0059031C"/>
    <w:rsid w:val="00590529"/>
    <w:rsid w:val="00590949"/>
    <w:rsid w:val="005916B5"/>
    <w:rsid w:val="0059207B"/>
    <w:rsid w:val="0059316A"/>
    <w:rsid w:val="0059323C"/>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371"/>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4D9"/>
    <w:rsid w:val="005B37A7"/>
    <w:rsid w:val="005B3F8B"/>
    <w:rsid w:val="005B4CF0"/>
    <w:rsid w:val="005B5017"/>
    <w:rsid w:val="005B5294"/>
    <w:rsid w:val="005B5437"/>
    <w:rsid w:val="005B59E1"/>
    <w:rsid w:val="005B5A76"/>
    <w:rsid w:val="005B6AB6"/>
    <w:rsid w:val="005B6DF7"/>
    <w:rsid w:val="005B72F1"/>
    <w:rsid w:val="005B7AC6"/>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546"/>
    <w:rsid w:val="00647B13"/>
    <w:rsid w:val="00647DF1"/>
    <w:rsid w:val="00647E0C"/>
    <w:rsid w:val="0065042E"/>
    <w:rsid w:val="00650841"/>
    <w:rsid w:val="00650959"/>
    <w:rsid w:val="00650A1F"/>
    <w:rsid w:val="006510B3"/>
    <w:rsid w:val="006511EE"/>
    <w:rsid w:val="006517B6"/>
    <w:rsid w:val="006517C8"/>
    <w:rsid w:val="006519CF"/>
    <w:rsid w:val="00652681"/>
    <w:rsid w:val="006528D1"/>
    <w:rsid w:val="00652A38"/>
    <w:rsid w:val="00653CA2"/>
    <w:rsid w:val="006541A7"/>
    <w:rsid w:val="00654205"/>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0FA"/>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237"/>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0835"/>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E7BE4"/>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700730"/>
    <w:rsid w:val="00701392"/>
    <w:rsid w:val="0070142E"/>
    <w:rsid w:val="00701DA7"/>
    <w:rsid w:val="00701EA3"/>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3E5A"/>
    <w:rsid w:val="00714292"/>
    <w:rsid w:val="0071447F"/>
    <w:rsid w:val="00715990"/>
    <w:rsid w:val="00716211"/>
    <w:rsid w:val="0071649F"/>
    <w:rsid w:val="00717662"/>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124B"/>
    <w:rsid w:val="0074250D"/>
    <w:rsid w:val="00742670"/>
    <w:rsid w:val="00742EF6"/>
    <w:rsid w:val="007436C7"/>
    <w:rsid w:val="0074382E"/>
    <w:rsid w:val="00743AC8"/>
    <w:rsid w:val="00743CEB"/>
    <w:rsid w:val="00743F07"/>
    <w:rsid w:val="0074406F"/>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0416"/>
    <w:rsid w:val="007515A9"/>
    <w:rsid w:val="007519CE"/>
    <w:rsid w:val="0075210E"/>
    <w:rsid w:val="00752545"/>
    <w:rsid w:val="0075384F"/>
    <w:rsid w:val="00753C18"/>
    <w:rsid w:val="00753CD7"/>
    <w:rsid w:val="00753D9C"/>
    <w:rsid w:val="007547C4"/>
    <w:rsid w:val="00755195"/>
    <w:rsid w:val="0075550F"/>
    <w:rsid w:val="00756017"/>
    <w:rsid w:val="007567DE"/>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053"/>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52C3"/>
    <w:rsid w:val="007A654E"/>
    <w:rsid w:val="007A6586"/>
    <w:rsid w:val="007A75AD"/>
    <w:rsid w:val="007A79CB"/>
    <w:rsid w:val="007B148F"/>
    <w:rsid w:val="007B2039"/>
    <w:rsid w:val="007B3C2B"/>
    <w:rsid w:val="007B4132"/>
    <w:rsid w:val="007B4556"/>
    <w:rsid w:val="007B45B7"/>
    <w:rsid w:val="007B499A"/>
    <w:rsid w:val="007B4F66"/>
    <w:rsid w:val="007B58A0"/>
    <w:rsid w:val="007B60CB"/>
    <w:rsid w:val="007B6F00"/>
    <w:rsid w:val="007B7499"/>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271E"/>
    <w:rsid w:val="007D3234"/>
    <w:rsid w:val="007D357A"/>
    <w:rsid w:val="007D37E0"/>
    <w:rsid w:val="007D385D"/>
    <w:rsid w:val="007D3A01"/>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E7C60"/>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1B3"/>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5CF7"/>
    <w:rsid w:val="00846ED6"/>
    <w:rsid w:val="008474FE"/>
    <w:rsid w:val="00850D0F"/>
    <w:rsid w:val="008527D3"/>
    <w:rsid w:val="008539D2"/>
    <w:rsid w:val="00853D79"/>
    <w:rsid w:val="008540D2"/>
    <w:rsid w:val="00854253"/>
    <w:rsid w:val="00854292"/>
    <w:rsid w:val="00854770"/>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46C4"/>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209C"/>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94D"/>
    <w:rsid w:val="008B1C3D"/>
    <w:rsid w:val="008B22BB"/>
    <w:rsid w:val="008B287D"/>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0E9"/>
    <w:rsid w:val="008F7A6A"/>
    <w:rsid w:val="008F7C33"/>
    <w:rsid w:val="00900B7F"/>
    <w:rsid w:val="00901A31"/>
    <w:rsid w:val="009025C0"/>
    <w:rsid w:val="009026D0"/>
    <w:rsid w:val="00902782"/>
    <w:rsid w:val="009028B7"/>
    <w:rsid w:val="00902C74"/>
    <w:rsid w:val="00902FD1"/>
    <w:rsid w:val="009032FB"/>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554F"/>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5AD"/>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A72"/>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2BEB"/>
    <w:rsid w:val="00953450"/>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7D4"/>
    <w:rsid w:val="009669D5"/>
    <w:rsid w:val="0096700C"/>
    <w:rsid w:val="00967A1A"/>
    <w:rsid w:val="00967BC3"/>
    <w:rsid w:val="00967C94"/>
    <w:rsid w:val="0097003B"/>
    <w:rsid w:val="009704A2"/>
    <w:rsid w:val="00970AC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A64"/>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2DEE"/>
    <w:rsid w:val="009E31DD"/>
    <w:rsid w:val="009E444B"/>
    <w:rsid w:val="009E469D"/>
    <w:rsid w:val="009E4BE7"/>
    <w:rsid w:val="009E57A6"/>
    <w:rsid w:val="009E5BF4"/>
    <w:rsid w:val="009E694F"/>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5CE5"/>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146"/>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119C"/>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11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54C"/>
    <w:rsid w:val="00A65C42"/>
    <w:rsid w:val="00A65DD2"/>
    <w:rsid w:val="00A66859"/>
    <w:rsid w:val="00A66A71"/>
    <w:rsid w:val="00A67176"/>
    <w:rsid w:val="00A674ED"/>
    <w:rsid w:val="00A70021"/>
    <w:rsid w:val="00A70FCA"/>
    <w:rsid w:val="00A715ED"/>
    <w:rsid w:val="00A72432"/>
    <w:rsid w:val="00A725CA"/>
    <w:rsid w:val="00A72A41"/>
    <w:rsid w:val="00A730A5"/>
    <w:rsid w:val="00A732D2"/>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74"/>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97AF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6CD4"/>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64E"/>
    <w:rsid w:val="00AD4881"/>
    <w:rsid w:val="00AD4B73"/>
    <w:rsid w:val="00AD5489"/>
    <w:rsid w:val="00AD5B8C"/>
    <w:rsid w:val="00AD5E4E"/>
    <w:rsid w:val="00AD6338"/>
    <w:rsid w:val="00AD6503"/>
    <w:rsid w:val="00AD67A5"/>
    <w:rsid w:val="00AD6AF4"/>
    <w:rsid w:val="00AD732E"/>
    <w:rsid w:val="00AD73D1"/>
    <w:rsid w:val="00AE0371"/>
    <w:rsid w:val="00AE04A6"/>
    <w:rsid w:val="00AE137C"/>
    <w:rsid w:val="00AE1C4D"/>
    <w:rsid w:val="00AE3011"/>
    <w:rsid w:val="00AE31FC"/>
    <w:rsid w:val="00AE326A"/>
    <w:rsid w:val="00AE3D36"/>
    <w:rsid w:val="00AE406D"/>
    <w:rsid w:val="00AE4838"/>
    <w:rsid w:val="00AE6621"/>
    <w:rsid w:val="00AE66E6"/>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259"/>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155E"/>
    <w:rsid w:val="00B22E83"/>
    <w:rsid w:val="00B23D76"/>
    <w:rsid w:val="00B24004"/>
    <w:rsid w:val="00B248B9"/>
    <w:rsid w:val="00B24FC9"/>
    <w:rsid w:val="00B256E4"/>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77F"/>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2EBB"/>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084"/>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4892"/>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114"/>
    <w:rsid w:val="00BB592D"/>
    <w:rsid w:val="00BB6111"/>
    <w:rsid w:val="00BB6541"/>
    <w:rsid w:val="00BB6C7C"/>
    <w:rsid w:val="00BB6E59"/>
    <w:rsid w:val="00BB7A55"/>
    <w:rsid w:val="00BB7BCC"/>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AA6"/>
    <w:rsid w:val="00BD4C66"/>
    <w:rsid w:val="00BD5B02"/>
    <w:rsid w:val="00BD5D11"/>
    <w:rsid w:val="00BD5F22"/>
    <w:rsid w:val="00BD6095"/>
    <w:rsid w:val="00BD6D82"/>
    <w:rsid w:val="00BD6DC1"/>
    <w:rsid w:val="00BE0B76"/>
    <w:rsid w:val="00BE0E74"/>
    <w:rsid w:val="00BE1014"/>
    <w:rsid w:val="00BE1086"/>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AFD"/>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31F"/>
    <w:rsid w:val="00C25616"/>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19FC"/>
    <w:rsid w:val="00C51EB7"/>
    <w:rsid w:val="00C5269D"/>
    <w:rsid w:val="00C5278C"/>
    <w:rsid w:val="00C527EF"/>
    <w:rsid w:val="00C52A0E"/>
    <w:rsid w:val="00C52CDD"/>
    <w:rsid w:val="00C5328E"/>
    <w:rsid w:val="00C5398D"/>
    <w:rsid w:val="00C53CCF"/>
    <w:rsid w:val="00C54277"/>
    <w:rsid w:val="00C54B3D"/>
    <w:rsid w:val="00C54F05"/>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5DA"/>
    <w:rsid w:val="00CA360A"/>
    <w:rsid w:val="00CA3BD3"/>
    <w:rsid w:val="00CA5700"/>
    <w:rsid w:val="00CA5842"/>
    <w:rsid w:val="00CA5A6F"/>
    <w:rsid w:val="00CA5E9C"/>
    <w:rsid w:val="00CA5F19"/>
    <w:rsid w:val="00CA6410"/>
    <w:rsid w:val="00CA73DF"/>
    <w:rsid w:val="00CA74A6"/>
    <w:rsid w:val="00CB0EA8"/>
    <w:rsid w:val="00CB2095"/>
    <w:rsid w:val="00CB21CE"/>
    <w:rsid w:val="00CB2640"/>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038"/>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47C"/>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677E"/>
    <w:rsid w:val="00D27347"/>
    <w:rsid w:val="00D27C5F"/>
    <w:rsid w:val="00D30FE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5E5"/>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44D"/>
    <w:rsid w:val="00D619B0"/>
    <w:rsid w:val="00D61BCA"/>
    <w:rsid w:val="00D6251A"/>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615B"/>
    <w:rsid w:val="00D97014"/>
    <w:rsid w:val="00D97AFB"/>
    <w:rsid w:val="00D97C39"/>
    <w:rsid w:val="00DA01EA"/>
    <w:rsid w:val="00DA09D3"/>
    <w:rsid w:val="00DA1CE7"/>
    <w:rsid w:val="00DA1DD9"/>
    <w:rsid w:val="00DA2300"/>
    <w:rsid w:val="00DA23C2"/>
    <w:rsid w:val="00DA24FD"/>
    <w:rsid w:val="00DA2A7D"/>
    <w:rsid w:val="00DA3314"/>
    <w:rsid w:val="00DA3323"/>
    <w:rsid w:val="00DA333F"/>
    <w:rsid w:val="00DA3660"/>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46D"/>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1BA8"/>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50A"/>
    <w:rsid w:val="00E41FCD"/>
    <w:rsid w:val="00E42808"/>
    <w:rsid w:val="00E44C21"/>
    <w:rsid w:val="00E45C33"/>
    <w:rsid w:val="00E45F8C"/>
    <w:rsid w:val="00E46586"/>
    <w:rsid w:val="00E46C41"/>
    <w:rsid w:val="00E46E1C"/>
    <w:rsid w:val="00E4736E"/>
    <w:rsid w:val="00E47688"/>
    <w:rsid w:val="00E477B4"/>
    <w:rsid w:val="00E47EC5"/>
    <w:rsid w:val="00E50171"/>
    <w:rsid w:val="00E50204"/>
    <w:rsid w:val="00E503E9"/>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1CD"/>
    <w:rsid w:val="00E65FAE"/>
    <w:rsid w:val="00E66456"/>
    <w:rsid w:val="00E7095B"/>
    <w:rsid w:val="00E709F1"/>
    <w:rsid w:val="00E71DF7"/>
    <w:rsid w:val="00E7204B"/>
    <w:rsid w:val="00E72174"/>
    <w:rsid w:val="00E72357"/>
    <w:rsid w:val="00E72DDD"/>
    <w:rsid w:val="00E73312"/>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E42"/>
    <w:rsid w:val="00EA4F19"/>
    <w:rsid w:val="00EA57C0"/>
    <w:rsid w:val="00EA5995"/>
    <w:rsid w:val="00EA6496"/>
    <w:rsid w:val="00EA6C53"/>
    <w:rsid w:val="00EA7201"/>
    <w:rsid w:val="00EA75ED"/>
    <w:rsid w:val="00EB003D"/>
    <w:rsid w:val="00EB0802"/>
    <w:rsid w:val="00EB0BB1"/>
    <w:rsid w:val="00EB0F85"/>
    <w:rsid w:val="00EB121A"/>
    <w:rsid w:val="00EB2187"/>
    <w:rsid w:val="00EB23E2"/>
    <w:rsid w:val="00EB27BC"/>
    <w:rsid w:val="00EB2812"/>
    <w:rsid w:val="00EB3FDC"/>
    <w:rsid w:val="00EB42C5"/>
    <w:rsid w:val="00EB5934"/>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9E0"/>
    <w:rsid w:val="00EC7BEB"/>
    <w:rsid w:val="00EC7C1C"/>
    <w:rsid w:val="00EC7FAC"/>
    <w:rsid w:val="00ED015B"/>
    <w:rsid w:val="00ED020D"/>
    <w:rsid w:val="00ED0308"/>
    <w:rsid w:val="00ED122F"/>
    <w:rsid w:val="00ED13D2"/>
    <w:rsid w:val="00ED2C62"/>
    <w:rsid w:val="00ED3A17"/>
    <w:rsid w:val="00ED3CCE"/>
    <w:rsid w:val="00ED461C"/>
    <w:rsid w:val="00ED4B1A"/>
    <w:rsid w:val="00ED4EC4"/>
    <w:rsid w:val="00ED5319"/>
    <w:rsid w:val="00ED5445"/>
    <w:rsid w:val="00ED5875"/>
    <w:rsid w:val="00ED5CAA"/>
    <w:rsid w:val="00ED6B04"/>
    <w:rsid w:val="00ED6B12"/>
    <w:rsid w:val="00EE18B3"/>
    <w:rsid w:val="00EE19F7"/>
    <w:rsid w:val="00EE1EBA"/>
    <w:rsid w:val="00EE269F"/>
    <w:rsid w:val="00EE2EC7"/>
    <w:rsid w:val="00EE3781"/>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DB2"/>
    <w:rsid w:val="00F160EC"/>
    <w:rsid w:val="00F166FA"/>
    <w:rsid w:val="00F16C28"/>
    <w:rsid w:val="00F1782B"/>
    <w:rsid w:val="00F17E31"/>
    <w:rsid w:val="00F206E8"/>
    <w:rsid w:val="00F20773"/>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0AE"/>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0AB"/>
    <w:rsid w:val="00FC02CA"/>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798"/>
    <w:rsid w:val="00FD196C"/>
    <w:rsid w:val="00FD1F41"/>
    <w:rsid w:val="00FD2F64"/>
    <w:rsid w:val="00FD487E"/>
    <w:rsid w:val="00FD492A"/>
    <w:rsid w:val="00FD5594"/>
    <w:rsid w:val="00FD5EE7"/>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E7C91"/>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188009">
      <w:bodyDiv w:val="1"/>
      <w:marLeft w:val="0"/>
      <w:marRight w:val="0"/>
      <w:marTop w:val="0"/>
      <w:marBottom w:val="0"/>
      <w:divBdr>
        <w:top w:val="none" w:sz="0" w:space="0" w:color="auto"/>
        <w:left w:val="none" w:sz="0" w:space="0" w:color="auto"/>
        <w:bottom w:val="none" w:sz="0" w:space="0" w:color="auto"/>
        <w:right w:val="none" w:sz="0" w:space="0" w:color="auto"/>
      </w:divBdr>
      <w:divsChild>
        <w:div w:id="1895772921">
          <w:marLeft w:val="0"/>
          <w:marRight w:val="0"/>
          <w:marTop w:val="0"/>
          <w:marBottom w:val="0"/>
          <w:divBdr>
            <w:top w:val="none" w:sz="0" w:space="0" w:color="auto"/>
            <w:left w:val="none" w:sz="0" w:space="0" w:color="auto"/>
            <w:bottom w:val="none" w:sz="0" w:space="0" w:color="auto"/>
            <w:right w:val="none" w:sz="0" w:space="0" w:color="auto"/>
          </w:divBdr>
          <w:divsChild>
            <w:div w:id="1947804083">
              <w:marLeft w:val="0"/>
              <w:marRight w:val="0"/>
              <w:marTop w:val="0"/>
              <w:marBottom w:val="0"/>
              <w:divBdr>
                <w:top w:val="none" w:sz="0" w:space="0" w:color="auto"/>
                <w:left w:val="single" w:sz="6" w:space="0" w:color="CCCCCC"/>
                <w:bottom w:val="single" w:sz="2" w:space="23" w:color="CCCCCC"/>
                <w:right w:val="single" w:sz="6" w:space="0" w:color="CCCCCC"/>
              </w:divBdr>
              <w:divsChild>
                <w:div w:id="2038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1068896">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350481">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042">
      <w:bodyDiv w:val="1"/>
      <w:marLeft w:val="0"/>
      <w:marRight w:val="0"/>
      <w:marTop w:val="0"/>
      <w:marBottom w:val="0"/>
      <w:divBdr>
        <w:top w:val="none" w:sz="0" w:space="0" w:color="auto"/>
        <w:left w:val="none" w:sz="0" w:space="0" w:color="auto"/>
        <w:bottom w:val="none" w:sz="0" w:space="0" w:color="auto"/>
        <w:right w:val="none" w:sz="0" w:space="0" w:color="auto"/>
      </w:divBdr>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7314453">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218531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9440">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0511546">
      <w:bodyDiv w:val="1"/>
      <w:marLeft w:val="0"/>
      <w:marRight w:val="0"/>
      <w:marTop w:val="0"/>
      <w:marBottom w:val="0"/>
      <w:divBdr>
        <w:top w:val="none" w:sz="0" w:space="0" w:color="auto"/>
        <w:left w:val="none" w:sz="0" w:space="0" w:color="auto"/>
        <w:bottom w:val="none" w:sz="0" w:space="0" w:color="auto"/>
        <w:right w:val="none" w:sz="0" w:space="0" w:color="auto"/>
      </w:divBdr>
      <w:divsChild>
        <w:div w:id="970135274">
          <w:marLeft w:val="0"/>
          <w:marRight w:val="0"/>
          <w:marTop w:val="0"/>
          <w:marBottom w:val="0"/>
          <w:divBdr>
            <w:top w:val="none" w:sz="0" w:space="0" w:color="auto"/>
            <w:left w:val="none" w:sz="0" w:space="0" w:color="auto"/>
            <w:bottom w:val="none" w:sz="0" w:space="0" w:color="auto"/>
            <w:right w:val="none" w:sz="0" w:space="0" w:color="auto"/>
          </w:divBdr>
          <w:divsChild>
            <w:div w:id="1252155830">
              <w:marLeft w:val="0"/>
              <w:marRight w:val="0"/>
              <w:marTop w:val="0"/>
              <w:marBottom w:val="0"/>
              <w:divBdr>
                <w:top w:val="none" w:sz="0" w:space="0" w:color="auto"/>
                <w:left w:val="none" w:sz="0" w:space="0" w:color="auto"/>
                <w:bottom w:val="none" w:sz="0" w:space="0" w:color="auto"/>
                <w:right w:val="none" w:sz="0" w:space="0" w:color="auto"/>
              </w:divBdr>
              <w:divsChild>
                <w:div w:id="588348350">
                  <w:marLeft w:val="0"/>
                  <w:marRight w:val="0"/>
                  <w:marTop w:val="0"/>
                  <w:marBottom w:val="0"/>
                  <w:divBdr>
                    <w:top w:val="none" w:sz="0" w:space="0" w:color="auto"/>
                    <w:left w:val="none" w:sz="0" w:space="0" w:color="auto"/>
                    <w:bottom w:val="none" w:sz="0" w:space="0" w:color="auto"/>
                    <w:right w:val="none" w:sz="0" w:space="0" w:color="auto"/>
                  </w:divBdr>
                  <w:divsChild>
                    <w:div w:id="469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0873813">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4172825">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399790808">
      <w:bodyDiv w:val="1"/>
      <w:marLeft w:val="0"/>
      <w:marRight w:val="0"/>
      <w:marTop w:val="0"/>
      <w:marBottom w:val="0"/>
      <w:divBdr>
        <w:top w:val="none" w:sz="0" w:space="0" w:color="auto"/>
        <w:left w:val="none" w:sz="0" w:space="0" w:color="auto"/>
        <w:bottom w:val="none" w:sz="0" w:space="0" w:color="auto"/>
        <w:right w:val="none" w:sz="0" w:space="0" w:color="auto"/>
      </w:divBdr>
      <w:divsChild>
        <w:div w:id="1575359051">
          <w:marLeft w:val="0"/>
          <w:marRight w:val="0"/>
          <w:marTop w:val="0"/>
          <w:marBottom w:val="0"/>
          <w:divBdr>
            <w:top w:val="none" w:sz="0" w:space="0" w:color="auto"/>
            <w:left w:val="none" w:sz="0" w:space="0" w:color="auto"/>
            <w:bottom w:val="none" w:sz="0" w:space="0" w:color="auto"/>
            <w:right w:val="none" w:sz="0" w:space="0" w:color="auto"/>
          </w:divBdr>
          <w:divsChild>
            <w:div w:id="1558784436">
              <w:marLeft w:val="0"/>
              <w:marRight w:val="0"/>
              <w:marTop w:val="0"/>
              <w:marBottom w:val="0"/>
              <w:divBdr>
                <w:top w:val="none" w:sz="0" w:space="0" w:color="auto"/>
                <w:left w:val="none" w:sz="0" w:space="0" w:color="auto"/>
                <w:bottom w:val="none" w:sz="0" w:space="0" w:color="auto"/>
                <w:right w:val="none" w:sz="0" w:space="0" w:color="auto"/>
              </w:divBdr>
              <w:divsChild>
                <w:div w:id="784272367">
                  <w:marLeft w:val="0"/>
                  <w:marRight w:val="0"/>
                  <w:marTop w:val="0"/>
                  <w:marBottom w:val="0"/>
                  <w:divBdr>
                    <w:top w:val="none" w:sz="0" w:space="0" w:color="auto"/>
                    <w:left w:val="none" w:sz="0" w:space="0" w:color="auto"/>
                    <w:bottom w:val="none" w:sz="0" w:space="0" w:color="auto"/>
                    <w:right w:val="none" w:sz="0" w:space="0" w:color="auto"/>
                  </w:divBdr>
                  <w:divsChild>
                    <w:div w:id="1575309846">
                      <w:marLeft w:val="0"/>
                      <w:marRight w:val="0"/>
                      <w:marTop w:val="0"/>
                      <w:marBottom w:val="0"/>
                      <w:divBdr>
                        <w:top w:val="none" w:sz="0" w:space="0" w:color="auto"/>
                        <w:left w:val="none" w:sz="0" w:space="0" w:color="auto"/>
                        <w:bottom w:val="none" w:sz="0" w:space="0" w:color="auto"/>
                        <w:right w:val="none" w:sz="0" w:space="0" w:color="auto"/>
                      </w:divBdr>
                      <w:divsChild>
                        <w:div w:id="159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4277337">
      <w:bodyDiv w:val="1"/>
      <w:marLeft w:val="0"/>
      <w:marRight w:val="0"/>
      <w:marTop w:val="0"/>
      <w:marBottom w:val="0"/>
      <w:divBdr>
        <w:top w:val="none" w:sz="0" w:space="0" w:color="auto"/>
        <w:left w:val="none" w:sz="0" w:space="0" w:color="auto"/>
        <w:bottom w:val="none" w:sz="0" w:space="0" w:color="auto"/>
        <w:right w:val="none" w:sz="0" w:space="0" w:color="auto"/>
      </w:divBdr>
      <w:divsChild>
        <w:div w:id="456218302">
          <w:marLeft w:val="0"/>
          <w:marRight w:val="0"/>
          <w:marTop w:val="0"/>
          <w:marBottom w:val="0"/>
          <w:divBdr>
            <w:top w:val="none" w:sz="0" w:space="0" w:color="auto"/>
            <w:left w:val="none" w:sz="0" w:space="0" w:color="auto"/>
            <w:bottom w:val="none" w:sz="0" w:space="0" w:color="auto"/>
            <w:right w:val="none" w:sz="0" w:space="0" w:color="auto"/>
          </w:divBdr>
          <w:divsChild>
            <w:div w:id="882062750">
              <w:marLeft w:val="0"/>
              <w:marRight w:val="0"/>
              <w:marTop w:val="0"/>
              <w:marBottom w:val="0"/>
              <w:divBdr>
                <w:top w:val="none" w:sz="0" w:space="0" w:color="auto"/>
                <w:left w:val="none" w:sz="0" w:space="0" w:color="auto"/>
                <w:bottom w:val="none" w:sz="0" w:space="0" w:color="auto"/>
                <w:right w:val="none" w:sz="0" w:space="0" w:color="auto"/>
              </w:divBdr>
              <w:divsChild>
                <w:div w:id="89667683">
                  <w:marLeft w:val="0"/>
                  <w:marRight w:val="0"/>
                  <w:marTop w:val="0"/>
                  <w:marBottom w:val="0"/>
                  <w:divBdr>
                    <w:top w:val="none" w:sz="0" w:space="0" w:color="auto"/>
                    <w:left w:val="none" w:sz="0" w:space="0" w:color="auto"/>
                    <w:bottom w:val="none" w:sz="0" w:space="0" w:color="auto"/>
                    <w:right w:val="none" w:sz="0" w:space="0" w:color="auto"/>
                  </w:divBdr>
                  <w:divsChild>
                    <w:div w:id="1795975262">
                      <w:marLeft w:val="0"/>
                      <w:marRight w:val="0"/>
                      <w:marTop w:val="0"/>
                      <w:marBottom w:val="0"/>
                      <w:divBdr>
                        <w:top w:val="none" w:sz="0" w:space="0" w:color="auto"/>
                        <w:left w:val="none" w:sz="0" w:space="0" w:color="auto"/>
                        <w:bottom w:val="none" w:sz="0" w:space="0" w:color="auto"/>
                        <w:right w:val="none" w:sz="0" w:space="0" w:color="auto"/>
                      </w:divBdr>
                      <w:divsChild>
                        <w:div w:id="84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271084">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0326520">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94/index.shtml" TargetMode="External"/><Relationship Id="rId18" Type="http://schemas.openxmlformats.org/officeDocument/2006/relationships/hyperlink" Target="http://www.fund001.com/fund/510010/index.shtml" TargetMode="External"/><Relationship Id="rId26" Type="http://schemas.openxmlformats.org/officeDocument/2006/relationships/hyperlink" Target="http://www.fund001.com/fund/519685/index.shtml" TargetMode="External"/><Relationship Id="rId39" Type="http://schemas.openxmlformats.org/officeDocument/2006/relationships/hyperlink" Target="http://www.fund001.com/fund/519732/index.shtml" TargetMode="External"/><Relationship Id="rId21" Type="http://schemas.openxmlformats.org/officeDocument/2006/relationships/hyperlink" Target="http://www.fund001.com/fund/519702/index.shtml" TargetMode="External"/><Relationship Id="rId34" Type="http://schemas.openxmlformats.org/officeDocument/2006/relationships/hyperlink" Target="http://www.fund001.com/fund/519725/index.shtml" TargetMode="External"/><Relationship Id="rId42" Type="http://schemas.openxmlformats.org/officeDocument/2006/relationships/hyperlink" Target="http://www.fund001.com/fund/519735/index.shtml" TargetMode="External"/><Relationship Id="rId47" Type="http://schemas.openxmlformats.org/officeDocument/2006/relationships/hyperlink" Target="http://www.fund001.com/fund/519745/index.shtml" TargetMode="External"/><Relationship Id="rId50" Type="http://schemas.openxmlformats.org/officeDocument/2006/relationships/hyperlink" Target="http://www.fund001.com/fund2015/164905/index.shtml" TargetMode="External"/><Relationship Id="rId55" Type="http://schemas.openxmlformats.org/officeDocument/2006/relationships/hyperlink" Target="http://www.fund001.com/fund/519756/index.shtm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96/index.shtml" TargetMode="External"/><Relationship Id="rId29" Type="http://schemas.openxmlformats.org/officeDocument/2006/relationships/hyperlink" Target="http://www.fund001.com/fund/519709/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690/index.shtml" TargetMode="External"/><Relationship Id="rId24" Type="http://schemas.openxmlformats.org/officeDocument/2006/relationships/hyperlink" Target="http://www.fund001.com/fund/159913/index.shtml" TargetMode="External"/><Relationship Id="rId32" Type="http://schemas.openxmlformats.org/officeDocument/2006/relationships/hyperlink" Target="http://www.fund001.com/fund/519720/index.shtml" TargetMode="External"/><Relationship Id="rId37" Type="http://schemas.openxmlformats.org/officeDocument/2006/relationships/hyperlink" Target="http://www.fund001.com/fund/519730/index.shtml" TargetMode="External"/><Relationship Id="rId40" Type="http://schemas.openxmlformats.org/officeDocument/2006/relationships/hyperlink" Target="http://www.fund001.com/fund/519729/index.shtml" TargetMode="External"/><Relationship Id="rId45" Type="http://schemas.openxmlformats.org/officeDocument/2006/relationships/hyperlink" Target="http://www.fund001.com/fund/519740/index.shtml" TargetMode="External"/><Relationship Id="rId53" Type="http://schemas.openxmlformats.org/officeDocument/2006/relationships/hyperlink" Target="http://www.fund001.com/fund/519753/index.shtml" TargetMode="External"/><Relationship Id="rId58" Type="http://schemas.openxmlformats.org/officeDocument/2006/relationships/hyperlink" Target="http://www.fund001.com/fund/519714/index.s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001.com/fund/519682/index.shtml" TargetMode="External"/><Relationship Id="rId23" Type="http://schemas.openxmlformats.org/officeDocument/2006/relationships/hyperlink" Target="http://www.fund001.com/fund/519704/index.shtml" TargetMode="External"/><Relationship Id="rId28" Type="http://schemas.openxmlformats.org/officeDocument/2006/relationships/hyperlink" Target="http://www.fund001.com/fund/519697/index.shtml" TargetMode="External"/><Relationship Id="rId36" Type="http://schemas.openxmlformats.org/officeDocument/2006/relationships/hyperlink" Target="http://www.fund001.com/fund/519727/index.shtml" TargetMode="External"/><Relationship Id="rId49" Type="http://schemas.openxmlformats.org/officeDocument/2006/relationships/hyperlink" Target="http://www.fund001.com/fund/519749/index.shtml" TargetMode="External"/><Relationship Id="rId57" Type="http://schemas.openxmlformats.org/officeDocument/2006/relationships/hyperlink" Target="http://www.fund001.com/fund/519710/index.shtml" TargetMode="External"/><Relationship Id="rId61" Type="http://schemas.openxmlformats.org/officeDocument/2006/relationships/hyperlink" Target="http://www.fund001.com/fund2015/164907/index.shtml" TargetMode="External"/><Relationship Id="rId10" Type="http://schemas.openxmlformats.org/officeDocument/2006/relationships/hyperlink" Target="http://www.fund001.com/fund/519688/index.shtml" TargetMode="External"/><Relationship Id="rId19" Type="http://schemas.openxmlformats.org/officeDocument/2006/relationships/hyperlink" Target="http://www.fund001.com/fund/519686/index.shtml" TargetMode="External"/><Relationship Id="rId31" Type="http://schemas.openxmlformats.org/officeDocument/2006/relationships/hyperlink" Target="http://www.fund001.com/fund/519718/index.shtml" TargetMode="External"/><Relationship Id="rId44" Type="http://schemas.openxmlformats.org/officeDocument/2006/relationships/hyperlink" Target="http://www.fund001.com/fund/519738/index.shtml" TargetMode="External"/><Relationship Id="rId52" Type="http://schemas.openxmlformats.org/officeDocument/2006/relationships/hyperlink" Target="http://www.fund001.com/fund/164906/index.shtml" TargetMode="External"/><Relationship Id="rId60" Type="http://schemas.openxmlformats.org/officeDocument/2006/relationships/hyperlink" Target="http://www.fund001.com/fund2015/164905/index.shtml"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80/index.shtml" TargetMode="External"/><Relationship Id="rId22" Type="http://schemas.openxmlformats.org/officeDocument/2006/relationships/hyperlink" Target="http://www.fund001.com/fund/164902/index.shtml" TargetMode="External"/><Relationship Id="rId27" Type="http://schemas.openxmlformats.org/officeDocument/2006/relationships/hyperlink" Target="http://www.fund001.com/fund/519706/index.shtml" TargetMode="External"/><Relationship Id="rId30" Type="http://schemas.openxmlformats.org/officeDocument/2006/relationships/hyperlink" Target="http://www.fund001.com/fund/519712/index.shtml" TargetMode="External"/><Relationship Id="rId35" Type="http://schemas.openxmlformats.org/officeDocument/2006/relationships/hyperlink" Target="http://www.fund001.com/fund/519726/index.shtml" TargetMode="External"/><Relationship Id="rId43" Type="http://schemas.openxmlformats.org/officeDocument/2006/relationships/hyperlink" Target="http://www.fund001.com/fund/519736/index.shtml" TargetMode="External"/><Relationship Id="rId48" Type="http://schemas.openxmlformats.org/officeDocument/2006/relationships/hyperlink" Target="http://www.fund001.com/fund/519748/index.shtml" TargetMode="External"/><Relationship Id="rId56" Type="http://schemas.openxmlformats.org/officeDocument/2006/relationships/hyperlink" Target="http://www.fund001.com/fund2015/164907/index.shtm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fund001.com/fund/519752/index.shtml" TargetMode="External"/><Relationship Id="rId3" Type="http://schemas.openxmlformats.org/officeDocument/2006/relationships/styles" Target="styles.xml"/><Relationship Id="rId12" Type="http://schemas.openxmlformats.org/officeDocument/2006/relationships/hyperlink" Target="http://www.fund001.com/fund/519692/index.shtml" TargetMode="External"/><Relationship Id="rId17" Type="http://schemas.openxmlformats.org/officeDocument/2006/relationships/hyperlink" Target="http://www.fund001.com/fund/519698/index.shtml" TargetMode="External"/><Relationship Id="rId25" Type="http://schemas.openxmlformats.org/officeDocument/2006/relationships/hyperlink" Target="http://www.fund001.com/fund/519683/index.shtml" TargetMode="External"/><Relationship Id="rId33" Type="http://schemas.openxmlformats.org/officeDocument/2006/relationships/hyperlink" Target="http://www.fund001.com/fund/519723/index.shtml" TargetMode="External"/><Relationship Id="rId38" Type="http://schemas.openxmlformats.org/officeDocument/2006/relationships/hyperlink" Target="http://www.fund001.com/fund/519731/index.shtml" TargetMode="External"/><Relationship Id="rId46" Type="http://schemas.openxmlformats.org/officeDocument/2006/relationships/hyperlink" Target="http://www.fund001.com/fund/519743/index.shtml" TargetMode="External"/><Relationship Id="rId59" Type="http://schemas.openxmlformats.org/officeDocument/2006/relationships/hyperlink" Target="http://www.fund001.com/fund2015/164905/index.shtml" TargetMode="External"/><Relationship Id="rId67" Type="http://schemas.openxmlformats.org/officeDocument/2006/relationships/theme" Target="theme/theme1.xml"/><Relationship Id="rId20" Type="http://schemas.openxmlformats.org/officeDocument/2006/relationships/hyperlink" Target="http://www.fund001.com/fund/519700/index.shtml" TargetMode="External"/><Relationship Id="rId41" Type="http://schemas.openxmlformats.org/officeDocument/2006/relationships/hyperlink" Target="http://www.fund001.com/fund/519733/index.shtml" TargetMode="External"/><Relationship Id="rId54" Type="http://schemas.openxmlformats.org/officeDocument/2006/relationships/hyperlink" Target="http://www.fund001.com/fund/519755/index.shtml" TargetMode="External"/><Relationship Id="rId62" Type="http://schemas.openxmlformats.org/officeDocument/2006/relationships/hyperlink" Target="http://www.fund001.com/fund2015/164907/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2601-41C1-45D5-A8B3-1E3A798D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1689</Words>
  <Characters>9631</Characters>
  <Application>Microsoft Office Word</Application>
  <DocSecurity>0</DocSecurity>
  <Lines>80</Lines>
  <Paragraphs>22</Paragraphs>
  <ScaleCrop>false</ScaleCrop>
  <Company>Microsoft</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53</cp:revision>
  <cp:lastPrinted>2015-08-17T07:59:00Z</cp:lastPrinted>
  <dcterms:created xsi:type="dcterms:W3CDTF">2015-08-17T02:19:00Z</dcterms:created>
  <dcterms:modified xsi:type="dcterms:W3CDTF">2015-08-17T08:02:00Z</dcterms:modified>
</cp:coreProperties>
</file>