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交银施罗德定期支付双息平衡混合型证券投资基金</w:t>
      </w:r>
    </w:p>
    <w:p w:rsidR="002279D3" w:rsidRPr="0081286B" w:rsidRDefault="002279D3" w:rsidP="00C15CAC">
      <w:pPr>
        <w:spacing w:before="29" w:line="288" w:lineRule="auto"/>
        <w:jc w:val="center"/>
        <w:rPr>
          <w:b/>
          <w:sz w:val="36"/>
          <w:szCs w:val="36"/>
        </w:rPr>
      </w:pPr>
      <w:r w:rsidRPr="0081286B">
        <w:rPr>
          <w:b/>
          <w:sz w:val="36"/>
          <w:szCs w:val="36"/>
        </w:rPr>
        <w:t>2015</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2015</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二〇一五年七月十八日</w:t>
      </w:r>
    </w:p>
    <w:p w:rsidR="004061AC" w:rsidRPr="00414345" w:rsidRDefault="004061AC" w:rsidP="006E6726">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1E75C9" w:rsidRDefault="00E45D66">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1E75C9" w:rsidRDefault="00E45D66">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2015</w:t>
      </w:r>
      <w:r>
        <w:rPr>
          <w:color w:val="000000"/>
          <w:sz w:val="24"/>
          <w:szCs w:val="24"/>
        </w:rPr>
        <w:t>年</w:t>
      </w:r>
      <w:r>
        <w:rPr>
          <w:color w:val="000000"/>
          <w:sz w:val="24"/>
          <w:szCs w:val="24"/>
        </w:rPr>
        <w:t>7</w:t>
      </w:r>
      <w:r>
        <w:rPr>
          <w:color w:val="000000"/>
          <w:sz w:val="24"/>
          <w:szCs w:val="24"/>
        </w:rPr>
        <w:t>月</w:t>
      </w:r>
      <w:r>
        <w:rPr>
          <w:color w:val="000000"/>
          <w:sz w:val="24"/>
          <w:szCs w:val="24"/>
        </w:rPr>
        <w:t>17</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1E75C9" w:rsidRDefault="00E45D66">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1E75C9" w:rsidRDefault="00E45D66">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1E75C9" w:rsidRDefault="00E45D66">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2015</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6E6726">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交银定期支付双息平衡混合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519732</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519732</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2013</w:t>
            </w:r>
            <w:r w:rsidRPr="00414345">
              <w:rPr>
                <w:color w:val="000000"/>
                <w:kern w:val="0"/>
                <w:sz w:val="24"/>
                <w:szCs w:val="24"/>
              </w:rPr>
              <w:t>年</w:t>
            </w:r>
            <w:r w:rsidRPr="00414345">
              <w:rPr>
                <w:color w:val="000000"/>
                <w:kern w:val="0"/>
                <w:sz w:val="24"/>
                <w:szCs w:val="24"/>
              </w:rPr>
              <w:t>9</w:t>
            </w:r>
            <w:r w:rsidRPr="00414345">
              <w:rPr>
                <w:color w:val="000000"/>
                <w:kern w:val="0"/>
                <w:sz w:val="24"/>
                <w:szCs w:val="24"/>
              </w:rPr>
              <w:t>月</w:t>
            </w:r>
            <w:r w:rsidRPr="00414345">
              <w:rPr>
                <w:color w:val="000000"/>
                <w:kern w:val="0"/>
                <w:sz w:val="24"/>
                <w:szCs w:val="24"/>
              </w:rPr>
              <w:t>4</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80,083,984.56</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本基金精选具有长期增长潜力和较好分红能力的股票，以及具有较高息票率的债券，力争实现基金资产的长期增值。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精选具有较好现金分红能力、长期增长潜力且估值水平合理的上市公司以及具有较高息票率的债券，通过在股票和债券等不同类别资产中的平衡配置，追求基金资产在风险可控前提下的持续增值，充分享受股票分红和债券利息的双重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50%×</w:t>
            </w:r>
            <w:r w:rsidRPr="00414345">
              <w:rPr>
                <w:color w:val="000000"/>
                <w:kern w:val="0"/>
                <w:sz w:val="24"/>
                <w:szCs w:val="24"/>
              </w:rPr>
              <w:t>中证红利指数收益率</w:t>
            </w:r>
            <w:r w:rsidRPr="00414345">
              <w:rPr>
                <w:color w:val="000000"/>
                <w:kern w:val="0"/>
                <w:sz w:val="24"/>
                <w:szCs w:val="24"/>
              </w:rPr>
              <w:t>+50%×</w:t>
            </w:r>
            <w:r w:rsidRPr="00414345">
              <w:rPr>
                <w:color w:val="000000"/>
                <w:kern w:val="0"/>
                <w:sz w:val="24"/>
                <w:szCs w:val="24"/>
              </w:rPr>
              <w:t>中债综合全价指数收益率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本基金是一只混合型基金，在证券投资基金中属于较高风险的品种，其长期平均风险和预期收益高于货币</w:t>
            </w:r>
            <w:r w:rsidRPr="00414345">
              <w:rPr>
                <w:color w:val="000000"/>
                <w:kern w:val="0"/>
                <w:sz w:val="24"/>
                <w:szCs w:val="24"/>
              </w:rPr>
              <w:lastRenderedPageBreak/>
              <w:t>市场基金和债券型基金，低于股票型基金。</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6E6726">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EC6600" w:rsidRPr="00414345" w:rsidTr="00EC6600">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(2015</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-2015</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EC6600" w:rsidRPr="00414345" w:rsidTr="00EC660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62,941,588.21</w:t>
            </w:r>
          </w:p>
        </w:tc>
      </w:tr>
      <w:tr w:rsidR="00EC6600" w:rsidRPr="00414345" w:rsidTr="00EC660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38,759,254.75</w:t>
            </w:r>
          </w:p>
        </w:tc>
      </w:tr>
      <w:tr w:rsidR="00EC6600" w:rsidRPr="00414345" w:rsidTr="00EC660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0.3631</w:t>
            </w:r>
          </w:p>
        </w:tc>
      </w:tr>
      <w:tr w:rsidR="00EC6600" w:rsidRPr="00414345" w:rsidTr="00EC660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149,257,500.61</w:t>
            </w:r>
          </w:p>
        </w:tc>
      </w:tr>
      <w:tr w:rsidR="00EC6600" w:rsidRPr="00414345" w:rsidTr="00EC6600">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1.864</w:t>
            </w:r>
          </w:p>
        </w:tc>
      </w:tr>
    </w:tbl>
    <w:p w:rsidR="001E75C9" w:rsidRDefault="00E45D66">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r w:rsidRPr="00414345">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1E75C9">
        <w:trPr>
          <w:jc w:val="center"/>
        </w:trPr>
        <w:tc>
          <w:tcPr>
            <w:tcW w:w="1701" w:type="dxa"/>
            <w:vAlign w:val="center"/>
          </w:tcPr>
          <w:p w:rsidR="001E75C9" w:rsidRDefault="00E45D66">
            <w:pPr>
              <w:jc w:val="left"/>
            </w:pPr>
            <w:r>
              <w:rPr>
                <w:color w:val="000000"/>
                <w:sz w:val="24"/>
                <w:szCs w:val="24"/>
              </w:rPr>
              <w:t>过去三个月</w:t>
            </w:r>
          </w:p>
        </w:tc>
        <w:tc>
          <w:tcPr>
            <w:tcW w:w="1045" w:type="dxa"/>
            <w:vAlign w:val="center"/>
          </w:tcPr>
          <w:p w:rsidR="001E75C9" w:rsidRDefault="00E45D66">
            <w:pPr>
              <w:jc w:val="center"/>
            </w:pPr>
            <w:r>
              <w:rPr>
                <w:color w:val="000000"/>
                <w:sz w:val="24"/>
                <w:szCs w:val="24"/>
              </w:rPr>
              <w:t>16.87%</w:t>
            </w:r>
          </w:p>
        </w:tc>
        <w:tc>
          <w:tcPr>
            <w:tcW w:w="1344" w:type="dxa"/>
            <w:vAlign w:val="center"/>
          </w:tcPr>
          <w:p w:rsidR="001E75C9" w:rsidRDefault="00E45D66">
            <w:pPr>
              <w:jc w:val="center"/>
            </w:pPr>
            <w:r>
              <w:rPr>
                <w:color w:val="000000"/>
                <w:sz w:val="24"/>
                <w:szCs w:val="24"/>
              </w:rPr>
              <w:t>2.46%</w:t>
            </w:r>
          </w:p>
        </w:tc>
        <w:tc>
          <w:tcPr>
            <w:tcW w:w="1194" w:type="dxa"/>
            <w:vAlign w:val="center"/>
          </w:tcPr>
          <w:p w:rsidR="001E75C9" w:rsidRDefault="00E45D66">
            <w:pPr>
              <w:jc w:val="center"/>
            </w:pPr>
            <w:r>
              <w:rPr>
                <w:color w:val="000000"/>
                <w:sz w:val="24"/>
                <w:szCs w:val="24"/>
              </w:rPr>
              <w:t>12.22%</w:t>
            </w:r>
          </w:p>
        </w:tc>
        <w:tc>
          <w:tcPr>
            <w:tcW w:w="1492" w:type="dxa"/>
            <w:vAlign w:val="center"/>
          </w:tcPr>
          <w:p w:rsidR="001E75C9" w:rsidRDefault="00E45D66">
            <w:pPr>
              <w:jc w:val="center"/>
            </w:pPr>
            <w:r>
              <w:rPr>
                <w:color w:val="000000"/>
                <w:sz w:val="24"/>
                <w:szCs w:val="24"/>
              </w:rPr>
              <w:t>1.37%</w:t>
            </w:r>
          </w:p>
        </w:tc>
        <w:tc>
          <w:tcPr>
            <w:tcW w:w="1194" w:type="dxa"/>
            <w:vAlign w:val="center"/>
          </w:tcPr>
          <w:p w:rsidR="001E75C9" w:rsidRDefault="00E45D66">
            <w:pPr>
              <w:jc w:val="center"/>
            </w:pPr>
            <w:r>
              <w:rPr>
                <w:color w:val="000000"/>
                <w:sz w:val="24"/>
                <w:szCs w:val="24"/>
              </w:rPr>
              <w:t>4.65%</w:t>
            </w:r>
          </w:p>
        </w:tc>
        <w:tc>
          <w:tcPr>
            <w:tcW w:w="898" w:type="dxa"/>
            <w:vAlign w:val="center"/>
          </w:tcPr>
          <w:p w:rsidR="001E75C9" w:rsidRDefault="00E45D66">
            <w:pPr>
              <w:jc w:val="center"/>
            </w:pPr>
            <w:r>
              <w:rPr>
                <w:color w:val="000000"/>
                <w:sz w:val="24"/>
                <w:szCs w:val="24"/>
              </w:rPr>
              <w:t>1.09%</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交银施罗德定期支付双息平衡混合型证券投资基金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2013</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9</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4</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2015</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6E6726">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1E75C9">
        <w:trPr>
          <w:jc w:val="center"/>
        </w:trPr>
        <w:tc>
          <w:tcPr>
            <w:tcW w:w="846" w:type="dxa"/>
            <w:vAlign w:val="center"/>
          </w:tcPr>
          <w:p w:rsidR="001E75C9" w:rsidRDefault="00E45D66">
            <w:pPr>
              <w:jc w:val="center"/>
            </w:pPr>
            <w:r>
              <w:rPr>
                <w:color w:val="000000"/>
                <w:sz w:val="24"/>
                <w:szCs w:val="24"/>
              </w:rPr>
              <w:t>张迎军</w:t>
            </w:r>
          </w:p>
        </w:tc>
        <w:tc>
          <w:tcPr>
            <w:tcW w:w="845" w:type="dxa"/>
            <w:vAlign w:val="center"/>
          </w:tcPr>
          <w:p w:rsidR="001E75C9" w:rsidRDefault="00E45D66" w:rsidP="00B33B47">
            <w:pPr>
              <w:jc w:val="center"/>
            </w:pPr>
            <w:r>
              <w:rPr>
                <w:color w:val="000000"/>
                <w:sz w:val="24"/>
                <w:szCs w:val="24"/>
              </w:rPr>
              <w:t>本基金、交银蓝筹股票、交银优势行业混合的基金经理，公司</w:t>
            </w:r>
            <w:r w:rsidR="00B33B47">
              <w:rPr>
                <w:rFonts w:hint="eastAsia"/>
                <w:color w:val="000000"/>
                <w:sz w:val="24"/>
                <w:szCs w:val="24"/>
              </w:rPr>
              <w:t>投资副</w:t>
            </w:r>
            <w:r w:rsidR="00B33B47">
              <w:rPr>
                <w:color w:val="000000"/>
                <w:sz w:val="24"/>
                <w:szCs w:val="24"/>
              </w:rPr>
              <w:t>总监</w:t>
            </w:r>
          </w:p>
        </w:tc>
        <w:tc>
          <w:tcPr>
            <w:tcW w:w="1549" w:type="dxa"/>
            <w:vAlign w:val="center"/>
          </w:tcPr>
          <w:p w:rsidR="001E75C9" w:rsidRDefault="00E45D66">
            <w:pPr>
              <w:jc w:val="center"/>
            </w:pPr>
            <w:r>
              <w:rPr>
                <w:color w:val="000000"/>
                <w:sz w:val="24"/>
                <w:szCs w:val="24"/>
              </w:rPr>
              <w:t>2013-09-04</w:t>
            </w:r>
          </w:p>
        </w:tc>
        <w:tc>
          <w:tcPr>
            <w:tcW w:w="1548" w:type="dxa"/>
            <w:vAlign w:val="center"/>
          </w:tcPr>
          <w:p w:rsidR="001E75C9" w:rsidRDefault="00E45D66">
            <w:pPr>
              <w:jc w:val="center"/>
            </w:pPr>
            <w:r>
              <w:rPr>
                <w:color w:val="000000"/>
                <w:sz w:val="24"/>
                <w:szCs w:val="24"/>
              </w:rPr>
              <w:t>-</w:t>
            </w:r>
          </w:p>
        </w:tc>
        <w:tc>
          <w:tcPr>
            <w:tcW w:w="1407" w:type="dxa"/>
            <w:vAlign w:val="center"/>
          </w:tcPr>
          <w:p w:rsidR="001E75C9" w:rsidRDefault="00E45D66">
            <w:pPr>
              <w:jc w:val="center"/>
            </w:pPr>
            <w:r>
              <w:rPr>
                <w:color w:val="000000"/>
                <w:sz w:val="24"/>
                <w:szCs w:val="24"/>
              </w:rPr>
              <w:t>15</w:t>
            </w:r>
            <w:r>
              <w:rPr>
                <w:color w:val="000000"/>
                <w:sz w:val="24"/>
                <w:szCs w:val="24"/>
              </w:rPr>
              <w:t>年</w:t>
            </w:r>
          </w:p>
        </w:tc>
        <w:tc>
          <w:tcPr>
            <w:tcW w:w="2673" w:type="dxa"/>
            <w:vAlign w:val="center"/>
          </w:tcPr>
          <w:p w:rsidR="001E75C9" w:rsidRDefault="00E45D66">
            <w:r>
              <w:rPr>
                <w:color w:val="000000"/>
                <w:sz w:val="24"/>
                <w:szCs w:val="24"/>
              </w:rPr>
              <w:t>张迎军先生，经济学硕士。历任申银万国证券研究所市场研究部、策略研究部研究员，中国太平洋保险（集团）股份有限公司资金运用管理中心投资经理，太平洋资产管理有限公司组合管理部组合经理。</w:t>
            </w:r>
            <w:r>
              <w:rPr>
                <w:color w:val="000000"/>
                <w:sz w:val="24"/>
                <w:szCs w:val="24"/>
              </w:rPr>
              <w:t>2008</w:t>
            </w:r>
            <w:r>
              <w:rPr>
                <w:color w:val="000000"/>
                <w:sz w:val="24"/>
                <w:szCs w:val="24"/>
              </w:rPr>
              <w:t>年加入交银施罗德基金管理有限公司，历任固定收益部副总经理</w:t>
            </w:r>
            <w:r w:rsidR="005A3B61" w:rsidRPr="005A3B61">
              <w:rPr>
                <w:rFonts w:hint="eastAsia"/>
                <w:color w:val="000000"/>
                <w:sz w:val="24"/>
                <w:szCs w:val="24"/>
              </w:rPr>
              <w:t>、权益部副总经理</w:t>
            </w:r>
            <w:r>
              <w:rPr>
                <w:color w:val="000000"/>
                <w:sz w:val="24"/>
                <w:szCs w:val="24"/>
              </w:rPr>
              <w:t>。</w:t>
            </w:r>
            <w:r>
              <w:rPr>
                <w:color w:val="000000"/>
                <w:sz w:val="24"/>
                <w:szCs w:val="24"/>
              </w:rPr>
              <w:t>2009</w:t>
            </w:r>
            <w:r>
              <w:rPr>
                <w:color w:val="000000"/>
                <w:sz w:val="24"/>
                <w:szCs w:val="24"/>
              </w:rPr>
              <w:t>年</w:t>
            </w:r>
            <w:r>
              <w:rPr>
                <w:color w:val="000000"/>
                <w:sz w:val="24"/>
                <w:szCs w:val="24"/>
              </w:rPr>
              <w:t>1</w:t>
            </w:r>
            <w:r>
              <w:rPr>
                <w:color w:val="000000"/>
                <w:sz w:val="24"/>
                <w:szCs w:val="24"/>
              </w:rPr>
              <w:t>月</w:t>
            </w:r>
            <w:r>
              <w:rPr>
                <w:color w:val="000000"/>
                <w:sz w:val="24"/>
                <w:szCs w:val="24"/>
              </w:rPr>
              <w:t>21</w:t>
            </w:r>
            <w:r>
              <w:rPr>
                <w:color w:val="000000"/>
                <w:sz w:val="24"/>
                <w:szCs w:val="24"/>
              </w:rPr>
              <w:t>日至</w:t>
            </w:r>
            <w:r>
              <w:rPr>
                <w:color w:val="000000"/>
                <w:sz w:val="24"/>
                <w:szCs w:val="24"/>
              </w:rPr>
              <w:t>2012</w:t>
            </w:r>
            <w:r>
              <w:rPr>
                <w:color w:val="000000"/>
                <w:sz w:val="24"/>
                <w:szCs w:val="24"/>
              </w:rPr>
              <w:t>年</w:t>
            </w:r>
            <w:r>
              <w:rPr>
                <w:color w:val="000000"/>
                <w:sz w:val="24"/>
                <w:szCs w:val="24"/>
              </w:rPr>
              <w:t>2</w:t>
            </w:r>
            <w:r>
              <w:rPr>
                <w:color w:val="000000"/>
                <w:sz w:val="24"/>
                <w:szCs w:val="24"/>
              </w:rPr>
              <w:t>月</w:t>
            </w:r>
            <w:r>
              <w:rPr>
                <w:color w:val="000000"/>
                <w:sz w:val="24"/>
                <w:szCs w:val="24"/>
              </w:rPr>
              <w:t>2</w:t>
            </w:r>
            <w:r>
              <w:rPr>
                <w:color w:val="000000"/>
                <w:sz w:val="24"/>
                <w:szCs w:val="24"/>
              </w:rPr>
              <w:t>日担任交银施罗德优势行业灵活配置混合型证券投资基金转型前的交银施罗德保本混合型证券投资基金基金经理，</w:t>
            </w:r>
            <w:r>
              <w:rPr>
                <w:color w:val="000000"/>
                <w:sz w:val="24"/>
                <w:szCs w:val="24"/>
              </w:rPr>
              <w:t>2011</w:t>
            </w:r>
            <w:r>
              <w:rPr>
                <w:color w:val="000000"/>
                <w:sz w:val="24"/>
                <w:szCs w:val="24"/>
              </w:rPr>
              <w:t>年</w:t>
            </w:r>
            <w:r>
              <w:rPr>
                <w:color w:val="000000"/>
                <w:sz w:val="24"/>
                <w:szCs w:val="24"/>
              </w:rPr>
              <w:t>5</w:t>
            </w:r>
            <w:r>
              <w:rPr>
                <w:color w:val="000000"/>
                <w:sz w:val="24"/>
                <w:szCs w:val="24"/>
              </w:rPr>
              <w:t>月</w:t>
            </w:r>
            <w:r>
              <w:rPr>
                <w:color w:val="000000"/>
                <w:sz w:val="24"/>
                <w:szCs w:val="24"/>
              </w:rPr>
              <w:t>3</w:t>
            </w:r>
            <w:r>
              <w:rPr>
                <w:color w:val="000000"/>
                <w:sz w:val="24"/>
                <w:szCs w:val="24"/>
              </w:rPr>
              <w:t>日至</w:t>
            </w:r>
            <w:r>
              <w:rPr>
                <w:color w:val="000000"/>
                <w:sz w:val="24"/>
                <w:szCs w:val="24"/>
              </w:rPr>
              <w:t>2013</w:t>
            </w:r>
            <w:r>
              <w:rPr>
                <w:color w:val="000000"/>
                <w:sz w:val="24"/>
                <w:szCs w:val="24"/>
              </w:rPr>
              <w:t>年</w:t>
            </w:r>
            <w:r>
              <w:rPr>
                <w:color w:val="000000"/>
                <w:sz w:val="24"/>
                <w:szCs w:val="24"/>
              </w:rPr>
              <w:t>9</w:t>
            </w:r>
            <w:r>
              <w:rPr>
                <w:color w:val="000000"/>
                <w:sz w:val="24"/>
                <w:szCs w:val="24"/>
              </w:rPr>
              <w:t>月</w:t>
            </w:r>
            <w:r>
              <w:rPr>
                <w:color w:val="000000"/>
                <w:sz w:val="24"/>
                <w:szCs w:val="24"/>
              </w:rPr>
              <w:t>2</w:t>
            </w:r>
            <w:r>
              <w:rPr>
                <w:color w:val="000000"/>
                <w:sz w:val="24"/>
                <w:szCs w:val="24"/>
              </w:rPr>
              <w:t>日担任交银施罗德趋势优先股票证券投资基金基金经理。</w:t>
            </w:r>
          </w:p>
        </w:tc>
      </w:tr>
      <w:tr w:rsidR="001E75C9">
        <w:trPr>
          <w:jc w:val="center"/>
        </w:trPr>
        <w:tc>
          <w:tcPr>
            <w:tcW w:w="846" w:type="dxa"/>
            <w:vAlign w:val="center"/>
          </w:tcPr>
          <w:p w:rsidR="001E75C9" w:rsidRDefault="00E45D66">
            <w:pPr>
              <w:jc w:val="center"/>
            </w:pPr>
            <w:r>
              <w:rPr>
                <w:color w:val="000000"/>
                <w:sz w:val="24"/>
                <w:szCs w:val="24"/>
              </w:rPr>
              <w:t>李德亮</w:t>
            </w:r>
          </w:p>
        </w:tc>
        <w:tc>
          <w:tcPr>
            <w:tcW w:w="845" w:type="dxa"/>
            <w:vAlign w:val="center"/>
          </w:tcPr>
          <w:p w:rsidR="001E75C9" w:rsidRDefault="00E45D66">
            <w:pPr>
              <w:jc w:val="center"/>
            </w:pPr>
            <w:r>
              <w:rPr>
                <w:color w:val="000000"/>
                <w:sz w:val="24"/>
                <w:szCs w:val="24"/>
              </w:rPr>
              <w:t>本基金、交银蓝筹股票、交银强化回报债券的基金经理</w:t>
            </w:r>
          </w:p>
        </w:tc>
        <w:tc>
          <w:tcPr>
            <w:tcW w:w="1549" w:type="dxa"/>
            <w:vAlign w:val="center"/>
          </w:tcPr>
          <w:p w:rsidR="001E75C9" w:rsidRDefault="00E45D66">
            <w:pPr>
              <w:jc w:val="center"/>
            </w:pPr>
            <w:r>
              <w:rPr>
                <w:color w:val="000000"/>
                <w:sz w:val="24"/>
                <w:szCs w:val="24"/>
              </w:rPr>
              <w:t>2013-09-04</w:t>
            </w:r>
          </w:p>
        </w:tc>
        <w:tc>
          <w:tcPr>
            <w:tcW w:w="1548" w:type="dxa"/>
            <w:vAlign w:val="center"/>
          </w:tcPr>
          <w:p w:rsidR="001E75C9" w:rsidRDefault="00E45D66">
            <w:pPr>
              <w:jc w:val="center"/>
            </w:pPr>
            <w:r>
              <w:rPr>
                <w:color w:val="000000"/>
                <w:sz w:val="24"/>
                <w:szCs w:val="24"/>
              </w:rPr>
              <w:t>-</w:t>
            </w:r>
          </w:p>
        </w:tc>
        <w:tc>
          <w:tcPr>
            <w:tcW w:w="1407" w:type="dxa"/>
            <w:vAlign w:val="center"/>
          </w:tcPr>
          <w:p w:rsidR="001E75C9" w:rsidRDefault="00E45D66">
            <w:pPr>
              <w:jc w:val="center"/>
            </w:pPr>
            <w:r>
              <w:rPr>
                <w:color w:val="000000"/>
                <w:sz w:val="24"/>
                <w:szCs w:val="24"/>
              </w:rPr>
              <w:t>9</w:t>
            </w:r>
            <w:r>
              <w:rPr>
                <w:color w:val="000000"/>
                <w:sz w:val="24"/>
                <w:szCs w:val="24"/>
              </w:rPr>
              <w:t>年</w:t>
            </w:r>
          </w:p>
        </w:tc>
        <w:tc>
          <w:tcPr>
            <w:tcW w:w="2673" w:type="dxa"/>
            <w:vAlign w:val="center"/>
          </w:tcPr>
          <w:p w:rsidR="001E75C9" w:rsidRDefault="00E45D66">
            <w:r>
              <w:rPr>
                <w:color w:val="000000"/>
                <w:sz w:val="24"/>
                <w:szCs w:val="24"/>
              </w:rPr>
              <w:t>李德亮先生，同济大学管理学学士，中国人民银行研究生部金融学硕士。</w:t>
            </w:r>
            <w:r>
              <w:rPr>
                <w:color w:val="000000"/>
                <w:sz w:val="24"/>
                <w:szCs w:val="24"/>
              </w:rPr>
              <w:t>2006</w:t>
            </w:r>
            <w:r>
              <w:rPr>
                <w:color w:val="000000"/>
                <w:sz w:val="24"/>
                <w:szCs w:val="24"/>
              </w:rPr>
              <w:t>年加入交银施罗德基金管理有限公司，历任行业分析师、基金经理助理。</w:t>
            </w:r>
          </w:p>
        </w:tc>
      </w:tr>
    </w:tbl>
    <w:p w:rsidR="00836C1A" w:rsidRPr="00836C1A"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w:t>
      </w:r>
      <w:r w:rsidR="00836C1A" w:rsidRPr="00836C1A">
        <w:rPr>
          <w:rFonts w:hint="eastAsia"/>
          <w:color w:val="000000"/>
          <w:sz w:val="24"/>
          <w:szCs w:val="24"/>
        </w:rPr>
        <w:t>1</w:t>
      </w:r>
      <w:r w:rsidR="00836C1A" w:rsidRPr="00836C1A">
        <w:rPr>
          <w:rFonts w:hint="eastAsia"/>
          <w:color w:val="000000"/>
          <w:sz w:val="24"/>
          <w:szCs w:val="24"/>
        </w:rPr>
        <w:t>、</w:t>
      </w:r>
      <w:r w:rsidR="00836C1A" w:rsidRPr="00836C1A">
        <w:rPr>
          <w:rFonts w:hint="eastAsia"/>
          <w:color w:val="000000"/>
          <w:sz w:val="24"/>
          <w:szCs w:val="24"/>
        </w:rPr>
        <w:t>2015</w:t>
      </w:r>
      <w:r w:rsidR="00836C1A" w:rsidRPr="00836C1A">
        <w:rPr>
          <w:rFonts w:hint="eastAsia"/>
          <w:color w:val="000000"/>
          <w:sz w:val="24"/>
          <w:szCs w:val="24"/>
        </w:rPr>
        <w:t>年</w:t>
      </w:r>
      <w:r w:rsidR="00836C1A" w:rsidRPr="00836C1A">
        <w:rPr>
          <w:rFonts w:hint="eastAsia"/>
          <w:color w:val="000000"/>
          <w:sz w:val="24"/>
          <w:szCs w:val="24"/>
        </w:rPr>
        <w:t>7</w:t>
      </w:r>
      <w:r w:rsidR="00836C1A" w:rsidRPr="00836C1A">
        <w:rPr>
          <w:rFonts w:hint="eastAsia"/>
          <w:color w:val="000000"/>
          <w:sz w:val="24"/>
          <w:szCs w:val="24"/>
        </w:rPr>
        <w:t>月</w:t>
      </w:r>
      <w:r w:rsidR="00836C1A" w:rsidRPr="00836C1A">
        <w:rPr>
          <w:rFonts w:hint="eastAsia"/>
          <w:color w:val="000000"/>
          <w:sz w:val="24"/>
          <w:szCs w:val="24"/>
        </w:rPr>
        <w:t>11</w:t>
      </w:r>
      <w:r w:rsidR="00836C1A" w:rsidRPr="00836C1A">
        <w:rPr>
          <w:rFonts w:hint="eastAsia"/>
          <w:color w:val="000000"/>
          <w:sz w:val="24"/>
          <w:szCs w:val="24"/>
        </w:rPr>
        <w:t>日本基金管理人发布公告，经公司领导办公会议审议通过，张迎军先生自</w:t>
      </w:r>
      <w:r w:rsidR="00836C1A" w:rsidRPr="00836C1A">
        <w:rPr>
          <w:rFonts w:hint="eastAsia"/>
          <w:color w:val="000000"/>
          <w:sz w:val="24"/>
          <w:szCs w:val="24"/>
        </w:rPr>
        <w:t>2015</w:t>
      </w:r>
      <w:r w:rsidR="00836C1A" w:rsidRPr="00836C1A">
        <w:rPr>
          <w:rFonts w:hint="eastAsia"/>
          <w:color w:val="000000"/>
          <w:sz w:val="24"/>
          <w:szCs w:val="24"/>
        </w:rPr>
        <w:t>年</w:t>
      </w:r>
      <w:r w:rsidR="00836C1A" w:rsidRPr="00836C1A">
        <w:rPr>
          <w:rFonts w:hint="eastAsia"/>
          <w:color w:val="000000"/>
          <w:sz w:val="24"/>
          <w:szCs w:val="24"/>
        </w:rPr>
        <w:t>7</w:t>
      </w:r>
      <w:r w:rsidR="00836C1A" w:rsidRPr="00836C1A">
        <w:rPr>
          <w:rFonts w:hint="eastAsia"/>
          <w:color w:val="000000"/>
          <w:sz w:val="24"/>
          <w:szCs w:val="24"/>
        </w:rPr>
        <w:t>月</w:t>
      </w:r>
      <w:r w:rsidR="00836C1A" w:rsidRPr="00836C1A">
        <w:rPr>
          <w:rFonts w:hint="eastAsia"/>
          <w:color w:val="000000"/>
          <w:sz w:val="24"/>
          <w:szCs w:val="24"/>
        </w:rPr>
        <w:t>11</w:t>
      </w:r>
      <w:r w:rsidR="00836C1A" w:rsidRPr="00836C1A">
        <w:rPr>
          <w:rFonts w:hint="eastAsia"/>
          <w:color w:val="000000"/>
          <w:sz w:val="24"/>
          <w:szCs w:val="24"/>
        </w:rPr>
        <w:t>日起不再担任本基金基金经理，详情请见相关公告。</w:t>
      </w:r>
    </w:p>
    <w:p w:rsidR="004061AC" w:rsidRPr="00414345" w:rsidRDefault="00836C1A" w:rsidP="00B527C7">
      <w:pPr>
        <w:autoSpaceDE w:val="0"/>
        <w:autoSpaceDN w:val="0"/>
        <w:adjustRightInd w:val="0"/>
        <w:spacing w:before="29" w:line="288" w:lineRule="auto"/>
        <w:ind w:firstLineChars="200" w:firstLine="480"/>
        <w:jc w:val="left"/>
        <w:rPr>
          <w:color w:val="000000"/>
          <w:sz w:val="24"/>
          <w:szCs w:val="24"/>
        </w:rPr>
      </w:pPr>
      <w:r>
        <w:rPr>
          <w:color w:val="000000"/>
          <w:sz w:val="24"/>
          <w:szCs w:val="24"/>
        </w:rPr>
        <w:t>2</w:t>
      </w:r>
      <w:r>
        <w:rPr>
          <w:rFonts w:hint="eastAsia"/>
          <w:color w:val="000000"/>
          <w:sz w:val="24"/>
          <w:szCs w:val="24"/>
        </w:rPr>
        <w:t>、</w:t>
      </w:r>
      <w:r w:rsidR="004061AC" w:rsidRPr="00414345">
        <w:rPr>
          <w:color w:val="000000"/>
          <w:sz w:val="24"/>
          <w:szCs w:val="24"/>
        </w:rPr>
        <w:t>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1E75C9" w:rsidRDefault="00E45D66">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1E75C9" w:rsidRDefault="00E45D66">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1E75C9" w:rsidRDefault="00E45D66">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1E75C9" w:rsidRDefault="00E45D66">
      <w:pPr>
        <w:spacing w:before="29" w:line="288" w:lineRule="auto"/>
        <w:ind w:firstLineChars="200" w:firstLine="480"/>
        <w:rPr>
          <w:color w:val="000000"/>
          <w:sz w:val="24"/>
          <w:szCs w:val="24"/>
        </w:rPr>
      </w:pPr>
      <w:r>
        <w:rPr>
          <w:color w:val="000000"/>
          <w:sz w:val="24"/>
          <w:szCs w:val="24"/>
        </w:rPr>
        <w:t>在赚钱效应和居民大类资产重新配置的背景下</w:t>
      </w:r>
      <w:r>
        <w:rPr>
          <w:color w:val="000000"/>
          <w:sz w:val="24"/>
          <w:szCs w:val="24"/>
        </w:rPr>
        <w:t>,</w:t>
      </w:r>
      <w:r>
        <w:rPr>
          <w:color w:val="000000"/>
          <w:sz w:val="24"/>
          <w:szCs w:val="24"/>
        </w:rPr>
        <w:t>资金快速进入股市，投资者的杠杆率也在不断攀升，推动指数屡创新高。</w:t>
      </w:r>
      <w:r>
        <w:rPr>
          <w:color w:val="000000"/>
          <w:sz w:val="24"/>
          <w:szCs w:val="24"/>
        </w:rPr>
        <w:t>5</w:t>
      </w:r>
      <w:r>
        <w:rPr>
          <w:color w:val="000000"/>
          <w:sz w:val="24"/>
          <w:szCs w:val="24"/>
        </w:rPr>
        <w:t>月下旬开始，资金的供需面逐步呈现紧平衡态势，赚钱效应开始下降，</w:t>
      </w:r>
      <w:r>
        <w:rPr>
          <w:color w:val="000000"/>
          <w:sz w:val="24"/>
          <w:szCs w:val="24"/>
        </w:rPr>
        <w:t>6</w:t>
      </w:r>
      <w:r>
        <w:rPr>
          <w:color w:val="000000"/>
          <w:sz w:val="24"/>
          <w:szCs w:val="24"/>
        </w:rPr>
        <w:t>月下旬市场连续暴跌，其中创业板的下跌尤为惨烈。</w:t>
      </w:r>
    </w:p>
    <w:p w:rsidR="001E75C9" w:rsidRDefault="00E45D66">
      <w:pPr>
        <w:spacing w:before="29" w:line="288" w:lineRule="auto"/>
        <w:ind w:firstLineChars="200" w:firstLine="480"/>
        <w:rPr>
          <w:color w:val="000000"/>
          <w:sz w:val="24"/>
          <w:szCs w:val="24"/>
        </w:rPr>
      </w:pPr>
      <w:r>
        <w:rPr>
          <w:color w:val="000000"/>
          <w:sz w:val="24"/>
          <w:szCs w:val="24"/>
        </w:rPr>
        <w:t>本基金在二季度初期预见到了市场将延续上行态势，因此仓位一直维持在较高水平，配置上偏向中小盘个股。</w:t>
      </w:r>
      <w:r>
        <w:rPr>
          <w:color w:val="000000"/>
          <w:sz w:val="24"/>
          <w:szCs w:val="24"/>
        </w:rPr>
        <w:t>6</w:t>
      </w:r>
      <w:r>
        <w:rPr>
          <w:color w:val="000000"/>
          <w:sz w:val="24"/>
          <w:szCs w:val="24"/>
        </w:rPr>
        <w:t>月下旬降低了一定的股票仓位，但由于市场下跌幅度超出预期，净值回撤幅度依然较大。总体看，二季度区间净值涨幅</w:t>
      </w:r>
      <w:bookmarkStart w:id="0" w:name="_GoBack"/>
      <w:bookmarkEnd w:id="0"/>
      <w:r>
        <w:rPr>
          <w:color w:val="000000"/>
          <w:sz w:val="24"/>
          <w:szCs w:val="24"/>
        </w:rPr>
        <w:t>跑赢业绩基准。</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三季度，从基本面角度来看，经济依旧低迷，盈利层面对市场的支持力度有限。货币政策仍然处于宽松状态，无风险利率下行预期和居民大类资产配置的市场主导逻辑依旧没有遭到破坏，因此市场仍有投资机会。但</w:t>
      </w:r>
      <w:r w:rsidRPr="00414345">
        <w:rPr>
          <w:color w:val="000000"/>
          <w:sz w:val="24"/>
          <w:szCs w:val="24"/>
        </w:rPr>
        <w:t>6</w:t>
      </w:r>
      <w:r w:rsidRPr="00414345">
        <w:rPr>
          <w:color w:val="000000"/>
          <w:sz w:val="24"/>
          <w:szCs w:val="24"/>
        </w:rPr>
        <w:t>月下旬以来的暴跌对市场风险偏好形成了较大的伤害，市场资金流入将受到压制，因此市场需要较长的时间来进行自我修复。展望三季度，预计市场整体将呈现震荡寻底的格局，赚钱效应下降，触底之后蓝筹和中小盘个股都存在阿尔法投资机会，精选个股的阶段到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2015</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1.864</w:t>
      </w:r>
      <w:r w:rsidRPr="00414345">
        <w:rPr>
          <w:color w:val="000000"/>
          <w:sz w:val="24"/>
          <w:szCs w:val="24"/>
        </w:rPr>
        <w:t>元，本报告期份额净值增长率为</w:t>
      </w:r>
      <w:r w:rsidRPr="00414345">
        <w:rPr>
          <w:color w:val="000000"/>
          <w:sz w:val="24"/>
          <w:szCs w:val="24"/>
        </w:rPr>
        <w:t>16.87%</w:t>
      </w:r>
      <w:r w:rsidRPr="00414345">
        <w:rPr>
          <w:color w:val="000000"/>
          <w:sz w:val="24"/>
          <w:szCs w:val="24"/>
        </w:rPr>
        <w:t>，同期业绩比较基准增长率为</w:t>
      </w:r>
      <w:r w:rsidRPr="00414345">
        <w:rPr>
          <w:color w:val="000000"/>
          <w:sz w:val="24"/>
          <w:szCs w:val="24"/>
        </w:rPr>
        <w:t>12.22%</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6E6726">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80,495,107.58</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51.34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80,495,107.58</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51.34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2,528,261.80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1.61</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2,528,261.80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1.61</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73,611,918.93</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46.95</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155,788.96</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0.10</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156,791,077.27</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30,569,112.40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20.48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28,064,345.82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18.80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4,274,200.00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3,078,000.00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1,895,409.36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5,292,000.00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3.55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7,322,040.00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4.91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80,495,107.58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53.93</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1E75C9">
        <w:trPr>
          <w:jc w:val="center"/>
        </w:trPr>
        <w:tc>
          <w:tcPr>
            <w:tcW w:w="855" w:type="dxa"/>
            <w:vAlign w:val="center"/>
          </w:tcPr>
          <w:p w:rsidR="001E75C9" w:rsidRDefault="00E45D66">
            <w:pPr>
              <w:jc w:val="center"/>
            </w:pPr>
            <w:r>
              <w:rPr>
                <w:color w:val="000000"/>
                <w:sz w:val="24"/>
                <w:szCs w:val="24"/>
              </w:rPr>
              <w:t>1</w:t>
            </w:r>
          </w:p>
        </w:tc>
        <w:tc>
          <w:tcPr>
            <w:tcW w:w="1334" w:type="dxa"/>
            <w:vAlign w:val="center"/>
          </w:tcPr>
          <w:p w:rsidR="001E75C9" w:rsidRDefault="00E45D66">
            <w:pPr>
              <w:jc w:val="center"/>
            </w:pPr>
            <w:r>
              <w:rPr>
                <w:color w:val="000000"/>
                <w:sz w:val="24"/>
                <w:szCs w:val="24"/>
              </w:rPr>
              <w:t>300166</w:t>
            </w:r>
          </w:p>
        </w:tc>
        <w:tc>
          <w:tcPr>
            <w:tcW w:w="1777" w:type="dxa"/>
            <w:vAlign w:val="center"/>
          </w:tcPr>
          <w:p w:rsidR="001E75C9" w:rsidRDefault="00E45D66">
            <w:pPr>
              <w:jc w:val="center"/>
            </w:pPr>
            <w:r>
              <w:rPr>
                <w:color w:val="000000"/>
                <w:sz w:val="24"/>
                <w:szCs w:val="24"/>
              </w:rPr>
              <w:t>东方国信</w:t>
            </w:r>
          </w:p>
        </w:tc>
        <w:tc>
          <w:tcPr>
            <w:tcW w:w="1334" w:type="dxa"/>
            <w:vAlign w:val="center"/>
          </w:tcPr>
          <w:p w:rsidR="001E75C9" w:rsidRDefault="00E45D66">
            <w:pPr>
              <w:jc w:val="right"/>
            </w:pPr>
            <w:r>
              <w:rPr>
                <w:color w:val="000000"/>
                <w:sz w:val="24"/>
                <w:szCs w:val="24"/>
              </w:rPr>
              <w:t>297,461</w:t>
            </w:r>
          </w:p>
        </w:tc>
        <w:tc>
          <w:tcPr>
            <w:tcW w:w="1924" w:type="dxa"/>
            <w:vAlign w:val="center"/>
          </w:tcPr>
          <w:p w:rsidR="001E75C9" w:rsidRDefault="00E45D66">
            <w:pPr>
              <w:jc w:val="right"/>
            </w:pPr>
            <w:r>
              <w:rPr>
                <w:color w:val="000000"/>
                <w:sz w:val="24"/>
                <w:szCs w:val="24"/>
              </w:rPr>
              <w:t>10,684,799.12</w:t>
            </w:r>
          </w:p>
        </w:tc>
        <w:tc>
          <w:tcPr>
            <w:tcW w:w="1644" w:type="dxa"/>
            <w:vAlign w:val="center"/>
          </w:tcPr>
          <w:p w:rsidR="001E75C9" w:rsidRDefault="00E45D66">
            <w:pPr>
              <w:jc w:val="right"/>
            </w:pPr>
            <w:r>
              <w:rPr>
                <w:color w:val="000000"/>
                <w:sz w:val="24"/>
                <w:szCs w:val="24"/>
              </w:rPr>
              <w:t>7.16</w:t>
            </w:r>
          </w:p>
        </w:tc>
      </w:tr>
      <w:tr w:rsidR="001E75C9">
        <w:trPr>
          <w:jc w:val="center"/>
        </w:trPr>
        <w:tc>
          <w:tcPr>
            <w:tcW w:w="855" w:type="dxa"/>
            <w:vAlign w:val="center"/>
          </w:tcPr>
          <w:p w:rsidR="001E75C9" w:rsidRDefault="00E45D66">
            <w:pPr>
              <w:jc w:val="center"/>
            </w:pPr>
            <w:r>
              <w:rPr>
                <w:color w:val="000000"/>
                <w:sz w:val="24"/>
                <w:szCs w:val="24"/>
              </w:rPr>
              <w:t>2</w:t>
            </w:r>
          </w:p>
        </w:tc>
        <w:tc>
          <w:tcPr>
            <w:tcW w:w="1334" w:type="dxa"/>
            <w:vAlign w:val="center"/>
          </w:tcPr>
          <w:p w:rsidR="001E75C9" w:rsidRDefault="00E45D66">
            <w:pPr>
              <w:jc w:val="center"/>
            </w:pPr>
            <w:r>
              <w:rPr>
                <w:color w:val="000000"/>
                <w:sz w:val="24"/>
                <w:szCs w:val="24"/>
              </w:rPr>
              <w:t>600570</w:t>
            </w:r>
          </w:p>
        </w:tc>
        <w:tc>
          <w:tcPr>
            <w:tcW w:w="1777" w:type="dxa"/>
            <w:vAlign w:val="center"/>
          </w:tcPr>
          <w:p w:rsidR="001E75C9" w:rsidRDefault="00E45D66">
            <w:pPr>
              <w:jc w:val="center"/>
            </w:pPr>
            <w:r>
              <w:rPr>
                <w:color w:val="000000"/>
                <w:sz w:val="24"/>
                <w:szCs w:val="24"/>
              </w:rPr>
              <w:t>恒生电子</w:t>
            </w:r>
          </w:p>
        </w:tc>
        <w:tc>
          <w:tcPr>
            <w:tcW w:w="1334" w:type="dxa"/>
            <w:vAlign w:val="center"/>
          </w:tcPr>
          <w:p w:rsidR="001E75C9" w:rsidRDefault="00E45D66">
            <w:pPr>
              <w:jc w:val="right"/>
            </w:pPr>
            <w:r>
              <w:rPr>
                <w:color w:val="000000"/>
                <w:sz w:val="24"/>
                <w:szCs w:val="24"/>
              </w:rPr>
              <w:t>75,000</w:t>
            </w:r>
          </w:p>
        </w:tc>
        <w:tc>
          <w:tcPr>
            <w:tcW w:w="1924" w:type="dxa"/>
            <w:vAlign w:val="center"/>
          </w:tcPr>
          <w:p w:rsidR="001E75C9" w:rsidRDefault="00E45D66">
            <w:pPr>
              <w:jc w:val="right"/>
            </w:pPr>
            <w:r>
              <w:rPr>
                <w:color w:val="000000"/>
                <w:sz w:val="24"/>
                <w:szCs w:val="24"/>
              </w:rPr>
              <w:t>8,403,750.00</w:t>
            </w:r>
          </w:p>
        </w:tc>
        <w:tc>
          <w:tcPr>
            <w:tcW w:w="1644" w:type="dxa"/>
            <w:vAlign w:val="center"/>
          </w:tcPr>
          <w:p w:rsidR="001E75C9" w:rsidRDefault="00E45D66">
            <w:pPr>
              <w:jc w:val="right"/>
            </w:pPr>
            <w:r>
              <w:rPr>
                <w:color w:val="000000"/>
                <w:sz w:val="24"/>
                <w:szCs w:val="24"/>
              </w:rPr>
              <w:t>5.63</w:t>
            </w:r>
          </w:p>
        </w:tc>
      </w:tr>
      <w:tr w:rsidR="001E75C9">
        <w:trPr>
          <w:jc w:val="center"/>
        </w:trPr>
        <w:tc>
          <w:tcPr>
            <w:tcW w:w="855" w:type="dxa"/>
            <w:vAlign w:val="center"/>
          </w:tcPr>
          <w:p w:rsidR="001E75C9" w:rsidRDefault="00E45D66">
            <w:pPr>
              <w:jc w:val="center"/>
            </w:pPr>
            <w:r>
              <w:rPr>
                <w:color w:val="000000"/>
                <w:sz w:val="24"/>
                <w:szCs w:val="24"/>
              </w:rPr>
              <w:t>3</w:t>
            </w:r>
          </w:p>
        </w:tc>
        <w:tc>
          <w:tcPr>
            <w:tcW w:w="1334" w:type="dxa"/>
            <w:vAlign w:val="center"/>
          </w:tcPr>
          <w:p w:rsidR="001E75C9" w:rsidRDefault="00E45D66">
            <w:pPr>
              <w:jc w:val="center"/>
            </w:pPr>
            <w:r>
              <w:rPr>
                <w:color w:val="000000"/>
                <w:sz w:val="24"/>
                <w:szCs w:val="24"/>
              </w:rPr>
              <w:t>002739</w:t>
            </w:r>
          </w:p>
        </w:tc>
        <w:tc>
          <w:tcPr>
            <w:tcW w:w="1777" w:type="dxa"/>
            <w:vAlign w:val="center"/>
          </w:tcPr>
          <w:p w:rsidR="001E75C9" w:rsidRDefault="00E45D66">
            <w:pPr>
              <w:jc w:val="center"/>
            </w:pPr>
            <w:r>
              <w:rPr>
                <w:color w:val="000000"/>
                <w:sz w:val="24"/>
                <w:szCs w:val="24"/>
              </w:rPr>
              <w:t>万达院线</w:t>
            </w:r>
          </w:p>
        </w:tc>
        <w:tc>
          <w:tcPr>
            <w:tcW w:w="1334" w:type="dxa"/>
            <w:vAlign w:val="center"/>
          </w:tcPr>
          <w:p w:rsidR="001E75C9" w:rsidRDefault="00E45D66">
            <w:pPr>
              <w:jc w:val="right"/>
            </w:pPr>
            <w:r>
              <w:rPr>
                <w:color w:val="000000"/>
                <w:sz w:val="24"/>
                <w:szCs w:val="24"/>
              </w:rPr>
              <w:t>33,000</w:t>
            </w:r>
          </w:p>
        </w:tc>
        <w:tc>
          <w:tcPr>
            <w:tcW w:w="1924" w:type="dxa"/>
            <w:vAlign w:val="center"/>
          </w:tcPr>
          <w:p w:rsidR="001E75C9" w:rsidRDefault="00E45D66">
            <w:pPr>
              <w:jc w:val="right"/>
            </w:pPr>
            <w:r>
              <w:rPr>
                <w:color w:val="000000"/>
                <w:sz w:val="24"/>
                <w:szCs w:val="24"/>
              </w:rPr>
              <w:t>7,322,040.00</w:t>
            </w:r>
          </w:p>
        </w:tc>
        <w:tc>
          <w:tcPr>
            <w:tcW w:w="1644" w:type="dxa"/>
            <w:vAlign w:val="center"/>
          </w:tcPr>
          <w:p w:rsidR="001E75C9" w:rsidRDefault="00E45D66">
            <w:pPr>
              <w:jc w:val="right"/>
            </w:pPr>
            <w:r>
              <w:rPr>
                <w:color w:val="000000"/>
                <w:sz w:val="24"/>
                <w:szCs w:val="24"/>
              </w:rPr>
              <w:t>4.91</w:t>
            </w:r>
          </w:p>
        </w:tc>
      </w:tr>
      <w:tr w:rsidR="001E75C9">
        <w:trPr>
          <w:jc w:val="center"/>
        </w:trPr>
        <w:tc>
          <w:tcPr>
            <w:tcW w:w="855" w:type="dxa"/>
            <w:vAlign w:val="center"/>
          </w:tcPr>
          <w:p w:rsidR="001E75C9" w:rsidRDefault="00E45D66">
            <w:pPr>
              <w:jc w:val="center"/>
            </w:pPr>
            <w:r>
              <w:rPr>
                <w:color w:val="000000"/>
                <w:sz w:val="24"/>
                <w:szCs w:val="24"/>
              </w:rPr>
              <w:t>4</w:t>
            </w:r>
          </w:p>
        </w:tc>
        <w:tc>
          <w:tcPr>
            <w:tcW w:w="1334" w:type="dxa"/>
            <w:vAlign w:val="center"/>
          </w:tcPr>
          <w:p w:rsidR="001E75C9" w:rsidRDefault="00E45D66">
            <w:pPr>
              <w:jc w:val="center"/>
            </w:pPr>
            <w:r>
              <w:rPr>
                <w:color w:val="000000"/>
                <w:sz w:val="24"/>
                <w:szCs w:val="24"/>
              </w:rPr>
              <w:t>600074</w:t>
            </w:r>
          </w:p>
        </w:tc>
        <w:tc>
          <w:tcPr>
            <w:tcW w:w="1777" w:type="dxa"/>
            <w:vAlign w:val="center"/>
          </w:tcPr>
          <w:p w:rsidR="001E75C9" w:rsidRDefault="004E07D7">
            <w:pPr>
              <w:jc w:val="center"/>
            </w:pPr>
            <w:r>
              <w:rPr>
                <w:rFonts w:hint="eastAsia"/>
                <w:color w:val="000000"/>
                <w:sz w:val="24"/>
                <w:szCs w:val="24"/>
              </w:rPr>
              <w:t>保</w:t>
            </w:r>
            <w:r>
              <w:rPr>
                <w:color w:val="000000"/>
                <w:sz w:val="24"/>
                <w:szCs w:val="24"/>
              </w:rPr>
              <w:t>千里</w:t>
            </w:r>
          </w:p>
        </w:tc>
        <w:tc>
          <w:tcPr>
            <w:tcW w:w="1334" w:type="dxa"/>
            <w:vAlign w:val="center"/>
          </w:tcPr>
          <w:p w:rsidR="001E75C9" w:rsidRDefault="00E45D66">
            <w:pPr>
              <w:jc w:val="right"/>
            </w:pPr>
            <w:r>
              <w:rPr>
                <w:color w:val="000000"/>
                <w:sz w:val="24"/>
                <w:szCs w:val="24"/>
              </w:rPr>
              <w:t>306,460</w:t>
            </w:r>
          </w:p>
        </w:tc>
        <w:tc>
          <w:tcPr>
            <w:tcW w:w="1924" w:type="dxa"/>
            <w:vAlign w:val="center"/>
          </w:tcPr>
          <w:p w:rsidR="001E75C9" w:rsidRDefault="00E45D66">
            <w:pPr>
              <w:jc w:val="right"/>
            </w:pPr>
            <w:r>
              <w:rPr>
                <w:color w:val="000000"/>
                <w:sz w:val="24"/>
                <w:szCs w:val="24"/>
              </w:rPr>
              <w:t>5,663,380.80</w:t>
            </w:r>
          </w:p>
        </w:tc>
        <w:tc>
          <w:tcPr>
            <w:tcW w:w="1644" w:type="dxa"/>
            <w:vAlign w:val="center"/>
          </w:tcPr>
          <w:p w:rsidR="001E75C9" w:rsidRDefault="00E45D66">
            <w:pPr>
              <w:jc w:val="right"/>
            </w:pPr>
            <w:r>
              <w:rPr>
                <w:color w:val="000000"/>
                <w:sz w:val="24"/>
                <w:szCs w:val="24"/>
              </w:rPr>
              <w:t>3.79</w:t>
            </w:r>
          </w:p>
        </w:tc>
      </w:tr>
      <w:tr w:rsidR="001E75C9">
        <w:trPr>
          <w:jc w:val="center"/>
        </w:trPr>
        <w:tc>
          <w:tcPr>
            <w:tcW w:w="855" w:type="dxa"/>
            <w:vAlign w:val="center"/>
          </w:tcPr>
          <w:p w:rsidR="001E75C9" w:rsidRDefault="00E45D66">
            <w:pPr>
              <w:jc w:val="center"/>
            </w:pPr>
            <w:r>
              <w:rPr>
                <w:color w:val="000000"/>
                <w:sz w:val="24"/>
                <w:szCs w:val="24"/>
              </w:rPr>
              <w:t>5</w:t>
            </w:r>
          </w:p>
        </w:tc>
        <w:tc>
          <w:tcPr>
            <w:tcW w:w="1334" w:type="dxa"/>
            <w:vAlign w:val="center"/>
          </w:tcPr>
          <w:p w:rsidR="001E75C9" w:rsidRDefault="00E45D66">
            <w:pPr>
              <w:jc w:val="center"/>
            </w:pPr>
            <w:r>
              <w:rPr>
                <w:color w:val="000000"/>
                <w:sz w:val="24"/>
                <w:szCs w:val="24"/>
              </w:rPr>
              <w:t>300332</w:t>
            </w:r>
          </w:p>
        </w:tc>
        <w:tc>
          <w:tcPr>
            <w:tcW w:w="1777" w:type="dxa"/>
            <w:vAlign w:val="center"/>
          </w:tcPr>
          <w:p w:rsidR="001E75C9" w:rsidRDefault="00E45D66">
            <w:pPr>
              <w:jc w:val="center"/>
            </w:pPr>
            <w:r>
              <w:rPr>
                <w:color w:val="000000"/>
                <w:sz w:val="24"/>
                <w:szCs w:val="24"/>
              </w:rPr>
              <w:t>天壕节能</w:t>
            </w:r>
          </w:p>
        </w:tc>
        <w:tc>
          <w:tcPr>
            <w:tcW w:w="1334" w:type="dxa"/>
            <w:vAlign w:val="center"/>
          </w:tcPr>
          <w:p w:rsidR="001E75C9" w:rsidRDefault="00E45D66">
            <w:pPr>
              <w:jc w:val="right"/>
            </w:pPr>
            <w:r>
              <w:rPr>
                <w:color w:val="000000"/>
                <w:sz w:val="24"/>
                <w:szCs w:val="24"/>
              </w:rPr>
              <w:t>210,000</w:t>
            </w:r>
          </w:p>
        </w:tc>
        <w:tc>
          <w:tcPr>
            <w:tcW w:w="1924" w:type="dxa"/>
            <w:vAlign w:val="center"/>
          </w:tcPr>
          <w:p w:rsidR="001E75C9" w:rsidRDefault="00E45D66">
            <w:pPr>
              <w:jc w:val="right"/>
            </w:pPr>
            <w:r>
              <w:rPr>
                <w:color w:val="000000"/>
                <w:sz w:val="24"/>
                <w:szCs w:val="24"/>
              </w:rPr>
              <w:t>5,292,000.00</w:t>
            </w:r>
          </w:p>
        </w:tc>
        <w:tc>
          <w:tcPr>
            <w:tcW w:w="1644" w:type="dxa"/>
            <w:vAlign w:val="center"/>
          </w:tcPr>
          <w:p w:rsidR="001E75C9" w:rsidRDefault="00E45D66">
            <w:pPr>
              <w:jc w:val="right"/>
            </w:pPr>
            <w:r>
              <w:rPr>
                <w:color w:val="000000"/>
                <w:sz w:val="24"/>
                <w:szCs w:val="24"/>
              </w:rPr>
              <w:t>3.55</w:t>
            </w:r>
          </w:p>
        </w:tc>
      </w:tr>
      <w:tr w:rsidR="001E75C9">
        <w:trPr>
          <w:jc w:val="center"/>
        </w:trPr>
        <w:tc>
          <w:tcPr>
            <w:tcW w:w="855" w:type="dxa"/>
            <w:vAlign w:val="center"/>
          </w:tcPr>
          <w:p w:rsidR="001E75C9" w:rsidRDefault="00E45D66">
            <w:pPr>
              <w:jc w:val="center"/>
            </w:pPr>
            <w:r>
              <w:rPr>
                <w:color w:val="000000"/>
                <w:sz w:val="24"/>
                <w:szCs w:val="24"/>
              </w:rPr>
              <w:t>6</w:t>
            </w:r>
          </w:p>
        </w:tc>
        <w:tc>
          <w:tcPr>
            <w:tcW w:w="1334" w:type="dxa"/>
            <w:vAlign w:val="center"/>
          </w:tcPr>
          <w:p w:rsidR="001E75C9" w:rsidRDefault="00E45D66">
            <w:pPr>
              <w:jc w:val="center"/>
            </w:pPr>
            <w:r>
              <w:rPr>
                <w:color w:val="000000"/>
                <w:sz w:val="24"/>
                <w:szCs w:val="24"/>
              </w:rPr>
              <w:t>002390</w:t>
            </w:r>
          </w:p>
        </w:tc>
        <w:tc>
          <w:tcPr>
            <w:tcW w:w="1777" w:type="dxa"/>
            <w:vAlign w:val="center"/>
          </w:tcPr>
          <w:p w:rsidR="001E75C9" w:rsidRDefault="00E45D66">
            <w:pPr>
              <w:jc w:val="center"/>
            </w:pPr>
            <w:r>
              <w:rPr>
                <w:color w:val="000000"/>
                <w:sz w:val="24"/>
                <w:szCs w:val="24"/>
              </w:rPr>
              <w:t>信邦制药</w:t>
            </w:r>
          </w:p>
        </w:tc>
        <w:tc>
          <w:tcPr>
            <w:tcW w:w="1334" w:type="dxa"/>
            <w:vAlign w:val="center"/>
          </w:tcPr>
          <w:p w:rsidR="001E75C9" w:rsidRDefault="00E45D66">
            <w:pPr>
              <w:jc w:val="right"/>
            </w:pPr>
            <w:r>
              <w:rPr>
                <w:color w:val="000000"/>
                <w:sz w:val="24"/>
                <w:szCs w:val="24"/>
              </w:rPr>
              <w:t>294,800</w:t>
            </w:r>
          </w:p>
        </w:tc>
        <w:tc>
          <w:tcPr>
            <w:tcW w:w="1924" w:type="dxa"/>
            <w:vAlign w:val="center"/>
          </w:tcPr>
          <w:p w:rsidR="001E75C9" w:rsidRDefault="00E45D66">
            <w:pPr>
              <w:jc w:val="right"/>
            </w:pPr>
            <w:r>
              <w:rPr>
                <w:color w:val="000000"/>
                <w:sz w:val="24"/>
                <w:szCs w:val="24"/>
              </w:rPr>
              <w:t>5,271,024.00</w:t>
            </w:r>
          </w:p>
        </w:tc>
        <w:tc>
          <w:tcPr>
            <w:tcW w:w="1644" w:type="dxa"/>
            <w:vAlign w:val="center"/>
          </w:tcPr>
          <w:p w:rsidR="001E75C9" w:rsidRDefault="00E45D66">
            <w:pPr>
              <w:jc w:val="right"/>
            </w:pPr>
            <w:r>
              <w:rPr>
                <w:color w:val="000000"/>
                <w:sz w:val="24"/>
                <w:szCs w:val="24"/>
              </w:rPr>
              <w:t>3.53</w:t>
            </w:r>
          </w:p>
        </w:tc>
      </w:tr>
      <w:tr w:rsidR="001E75C9">
        <w:trPr>
          <w:jc w:val="center"/>
        </w:trPr>
        <w:tc>
          <w:tcPr>
            <w:tcW w:w="855" w:type="dxa"/>
            <w:vAlign w:val="center"/>
          </w:tcPr>
          <w:p w:rsidR="001E75C9" w:rsidRDefault="00E45D66">
            <w:pPr>
              <w:jc w:val="center"/>
            </w:pPr>
            <w:r>
              <w:rPr>
                <w:color w:val="000000"/>
                <w:sz w:val="24"/>
                <w:szCs w:val="24"/>
              </w:rPr>
              <w:t>7</w:t>
            </w:r>
          </w:p>
        </w:tc>
        <w:tc>
          <w:tcPr>
            <w:tcW w:w="1334" w:type="dxa"/>
            <w:vAlign w:val="center"/>
          </w:tcPr>
          <w:p w:rsidR="001E75C9" w:rsidRDefault="00E45D66">
            <w:pPr>
              <w:jc w:val="center"/>
            </w:pPr>
            <w:r>
              <w:rPr>
                <w:color w:val="000000"/>
                <w:sz w:val="24"/>
                <w:szCs w:val="24"/>
              </w:rPr>
              <w:t>002373</w:t>
            </w:r>
          </w:p>
        </w:tc>
        <w:tc>
          <w:tcPr>
            <w:tcW w:w="1777" w:type="dxa"/>
            <w:vAlign w:val="center"/>
          </w:tcPr>
          <w:p w:rsidR="001E75C9" w:rsidRDefault="00E45D66">
            <w:pPr>
              <w:jc w:val="center"/>
            </w:pPr>
            <w:r>
              <w:rPr>
                <w:color w:val="000000"/>
                <w:sz w:val="24"/>
                <w:szCs w:val="24"/>
              </w:rPr>
              <w:t>千方科技</w:t>
            </w:r>
          </w:p>
        </w:tc>
        <w:tc>
          <w:tcPr>
            <w:tcW w:w="1334" w:type="dxa"/>
            <w:vAlign w:val="center"/>
          </w:tcPr>
          <w:p w:rsidR="001E75C9" w:rsidRDefault="00E45D66">
            <w:pPr>
              <w:jc w:val="right"/>
            </w:pPr>
            <w:r>
              <w:rPr>
                <w:color w:val="000000"/>
                <w:sz w:val="24"/>
                <w:szCs w:val="24"/>
              </w:rPr>
              <w:t>115,000</w:t>
            </w:r>
          </w:p>
        </w:tc>
        <w:tc>
          <w:tcPr>
            <w:tcW w:w="1924" w:type="dxa"/>
            <w:vAlign w:val="center"/>
          </w:tcPr>
          <w:p w:rsidR="001E75C9" w:rsidRDefault="00E45D66">
            <w:pPr>
              <w:jc w:val="right"/>
            </w:pPr>
            <w:r>
              <w:rPr>
                <w:color w:val="000000"/>
                <w:sz w:val="24"/>
                <w:szCs w:val="24"/>
              </w:rPr>
              <w:t>4,978,350.00</w:t>
            </w:r>
          </w:p>
        </w:tc>
        <w:tc>
          <w:tcPr>
            <w:tcW w:w="1644" w:type="dxa"/>
            <w:vAlign w:val="center"/>
          </w:tcPr>
          <w:p w:rsidR="001E75C9" w:rsidRDefault="00E45D66">
            <w:pPr>
              <w:jc w:val="right"/>
            </w:pPr>
            <w:r>
              <w:rPr>
                <w:color w:val="000000"/>
                <w:sz w:val="24"/>
                <w:szCs w:val="24"/>
              </w:rPr>
              <w:t>3.34</w:t>
            </w:r>
          </w:p>
        </w:tc>
      </w:tr>
      <w:tr w:rsidR="001E75C9">
        <w:trPr>
          <w:jc w:val="center"/>
        </w:trPr>
        <w:tc>
          <w:tcPr>
            <w:tcW w:w="855" w:type="dxa"/>
            <w:vAlign w:val="center"/>
          </w:tcPr>
          <w:p w:rsidR="001E75C9" w:rsidRDefault="00E45D66">
            <w:pPr>
              <w:jc w:val="center"/>
            </w:pPr>
            <w:r>
              <w:rPr>
                <w:color w:val="000000"/>
                <w:sz w:val="24"/>
                <w:szCs w:val="24"/>
              </w:rPr>
              <w:t>8</w:t>
            </w:r>
          </w:p>
        </w:tc>
        <w:tc>
          <w:tcPr>
            <w:tcW w:w="1334" w:type="dxa"/>
            <w:vAlign w:val="center"/>
          </w:tcPr>
          <w:p w:rsidR="001E75C9" w:rsidRDefault="00E45D66">
            <w:pPr>
              <w:jc w:val="center"/>
            </w:pPr>
            <w:r>
              <w:rPr>
                <w:color w:val="000000"/>
                <w:sz w:val="24"/>
                <w:szCs w:val="24"/>
              </w:rPr>
              <w:t>002170</w:t>
            </w:r>
          </w:p>
        </w:tc>
        <w:tc>
          <w:tcPr>
            <w:tcW w:w="1777" w:type="dxa"/>
            <w:vAlign w:val="center"/>
          </w:tcPr>
          <w:p w:rsidR="001E75C9" w:rsidRDefault="00E45D66">
            <w:pPr>
              <w:jc w:val="center"/>
            </w:pPr>
            <w:r>
              <w:rPr>
                <w:color w:val="000000"/>
                <w:sz w:val="24"/>
                <w:szCs w:val="24"/>
              </w:rPr>
              <w:t>芭田股份</w:t>
            </w:r>
          </w:p>
        </w:tc>
        <w:tc>
          <w:tcPr>
            <w:tcW w:w="1334" w:type="dxa"/>
            <w:vAlign w:val="center"/>
          </w:tcPr>
          <w:p w:rsidR="001E75C9" w:rsidRDefault="00E45D66">
            <w:pPr>
              <w:jc w:val="right"/>
            </w:pPr>
            <w:r>
              <w:rPr>
                <w:color w:val="000000"/>
                <w:sz w:val="24"/>
                <w:szCs w:val="24"/>
              </w:rPr>
              <w:t>194,020</w:t>
            </w:r>
          </w:p>
        </w:tc>
        <w:tc>
          <w:tcPr>
            <w:tcW w:w="1924" w:type="dxa"/>
            <w:vAlign w:val="center"/>
          </w:tcPr>
          <w:p w:rsidR="001E75C9" w:rsidRDefault="00E45D66">
            <w:pPr>
              <w:jc w:val="right"/>
            </w:pPr>
            <w:r>
              <w:rPr>
                <w:color w:val="000000"/>
                <w:sz w:val="24"/>
                <w:szCs w:val="24"/>
              </w:rPr>
              <w:t>4,419,775.60</w:t>
            </w:r>
          </w:p>
        </w:tc>
        <w:tc>
          <w:tcPr>
            <w:tcW w:w="1644" w:type="dxa"/>
            <w:vAlign w:val="center"/>
          </w:tcPr>
          <w:p w:rsidR="001E75C9" w:rsidRDefault="00E45D66">
            <w:pPr>
              <w:jc w:val="right"/>
            </w:pPr>
            <w:r>
              <w:rPr>
                <w:color w:val="000000"/>
                <w:sz w:val="24"/>
                <w:szCs w:val="24"/>
              </w:rPr>
              <w:t>2.96</w:t>
            </w:r>
          </w:p>
        </w:tc>
      </w:tr>
      <w:tr w:rsidR="001E75C9">
        <w:trPr>
          <w:jc w:val="center"/>
        </w:trPr>
        <w:tc>
          <w:tcPr>
            <w:tcW w:w="855" w:type="dxa"/>
            <w:vAlign w:val="center"/>
          </w:tcPr>
          <w:p w:rsidR="001E75C9" w:rsidRDefault="00E45D66">
            <w:pPr>
              <w:jc w:val="center"/>
            </w:pPr>
            <w:r>
              <w:rPr>
                <w:color w:val="000000"/>
                <w:sz w:val="24"/>
                <w:szCs w:val="24"/>
              </w:rPr>
              <w:t>9</w:t>
            </w:r>
          </w:p>
        </w:tc>
        <w:tc>
          <w:tcPr>
            <w:tcW w:w="1334" w:type="dxa"/>
            <w:vAlign w:val="center"/>
          </w:tcPr>
          <w:p w:rsidR="001E75C9" w:rsidRDefault="00E45D66">
            <w:pPr>
              <w:jc w:val="center"/>
            </w:pPr>
            <w:r>
              <w:rPr>
                <w:color w:val="000000"/>
                <w:sz w:val="24"/>
                <w:szCs w:val="24"/>
              </w:rPr>
              <w:t>000801</w:t>
            </w:r>
          </w:p>
        </w:tc>
        <w:tc>
          <w:tcPr>
            <w:tcW w:w="1777" w:type="dxa"/>
            <w:vAlign w:val="center"/>
          </w:tcPr>
          <w:p w:rsidR="001E75C9" w:rsidRDefault="00E45D66">
            <w:pPr>
              <w:jc w:val="center"/>
            </w:pPr>
            <w:r>
              <w:rPr>
                <w:color w:val="000000"/>
                <w:sz w:val="24"/>
                <w:szCs w:val="24"/>
              </w:rPr>
              <w:t>四川九洲</w:t>
            </w:r>
          </w:p>
        </w:tc>
        <w:tc>
          <w:tcPr>
            <w:tcW w:w="1334" w:type="dxa"/>
            <w:vAlign w:val="center"/>
          </w:tcPr>
          <w:p w:rsidR="001E75C9" w:rsidRDefault="00E45D66">
            <w:pPr>
              <w:jc w:val="right"/>
            </w:pPr>
            <w:r>
              <w:rPr>
                <w:color w:val="000000"/>
                <w:sz w:val="24"/>
                <w:szCs w:val="24"/>
              </w:rPr>
              <w:t>160,000</w:t>
            </w:r>
          </w:p>
        </w:tc>
        <w:tc>
          <w:tcPr>
            <w:tcW w:w="1924" w:type="dxa"/>
            <w:vAlign w:val="center"/>
          </w:tcPr>
          <w:p w:rsidR="001E75C9" w:rsidRDefault="00E45D66">
            <w:pPr>
              <w:jc w:val="right"/>
            </w:pPr>
            <w:r>
              <w:rPr>
                <w:color w:val="000000"/>
                <w:sz w:val="24"/>
                <w:szCs w:val="24"/>
              </w:rPr>
              <w:t>4,400,000.00</w:t>
            </w:r>
          </w:p>
        </w:tc>
        <w:tc>
          <w:tcPr>
            <w:tcW w:w="1644" w:type="dxa"/>
            <w:vAlign w:val="center"/>
          </w:tcPr>
          <w:p w:rsidR="001E75C9" w:rsidRDefault="00E45D66">
            <w:pPr>
              <w:jc w:val="right"/>
            </w:pPr>
            <w:r>
              <w:rPr>
                <w:color w:val="000000"/>
                <w:sz w:val="24"/>
                <w:szCs w:val="24"/>
              </w:rPr>
              <w:t>2.95</w:t>
            </w:r>
          </w:p>
        </w:tc>
      </w:tr>
      <w:tr w:rsidR="001E75C9">
        <w:trPr>
          <w:jc w:val="center"/>
        </w:trPr>
        <w:tc>
          <w:tcPr>
            <w:tcW w:w="855" w:type="dxa"/>
            <w:vAlign w:val="center"/>
          </w:tcPr>
          <w:p w:rsidR="001E75C9" w:rsidRDefault="00E45D66">
            <w:pPr>
              <w:jc w:val="center"/>
            </w:pPr>
            <w:r>
              <w:rPr>
                <w:color w:val="000000"/>
                <w:sz w:val="24"/>
                <w:szCs w:val="24"/>
              </w:rPr>
              <w:t>10</w:t>
            </w:r>
          </w:p>
        </w:tc>
        <w:tc>
          <w:tcPr>
            <w:tcW w:w="1334" w:type="dxa"/>
            <w:vAlign w:val="center"/>
          </w:tcPr>
          <w:p w:rsidR="001E75C9" w:rsidRDefault="00E45D66">
            <w:pPr>
              <w:jc w:val="center"/>
            </w:pPr>
            <w:r>
              <w:rPr>
                <w:color w:val="000000"/>
                <w:sz w:val="24"/>
                <w:szCs w:val="24"/>
              </w:rPr>
              <w:t>601336</w:t>
            </w:r>
          </w:p>
        </w:tc>
        <w:tc>
          <w:tcPr>
            <w:tcW w:w="1777" w:type="dxa"/>
            <w:vAlign w:val="center"/>
          </w:tcPr>
          <w:p w:rsidR="001E75C9" w:rsidRDefault="00E45D66">
            <w:pPr>
              <w:jc w:val="center"/>
            </w:pPr>
            <w:r>
              <w:rPr>
                <w:color w:val="000000"/>
                <w:sz w:val="24"/>
                <w:szCs w:val="24"/>
              </w:rPr>
              <w:t>新华保险</w:t>
            </w:r>
          </w:p>
        </w:tc>
        <w:tc>
          <w:tcPr>
            <w:tcW w:w="1334" w:type="dxa"/>
            <w:vAlign w:val="center"/>
          </w:tcPr>
          <w:p w:rsidR="001E75C9" w:rsidRDefault="00E45D66">
            <w:pPr>
              <w:jc w:val="right"/>
            </w:pPr>
            <w:r>
              <w:rPr>
                <w:color w:val="000000"/>
                <w:sz w:val="24"/>
                <w:szCs w:val="24"/>
              </w:rPr>
              <w:t>70,000</w:t>
            </w:r>
          </w:p>
        </w:tc>
        <w:tc>
          <w:tcPr>
            <w:tcW w:w="1924" w:type="dxa"/>
            <w:vAlign w:val="center"/>
          </w:tcPr>
          <w:p w:rsidR="001E75C9" w:rsidRDefault="00E45D66">
            <w:pPr>
              <w:jc w:val="right"/>
            </w:pPr>
            <w:r>
              <w:rPr>
                <w:color w:val="000000"/>
                <w:sz w:val="24"/>
                <w:szCs w:val="24"/>
              </w:rPr>
              <w:t>4,274,200.00</w:t>
            </w:r>
          </w:p>
        </w:tc>
        <w:tc>
          <w:tcPr>
            <w:tcW w:w="1644" w:type="dxa"/>
            <w:vAlign w:val="center"/>
          </w:tcPr>
          <w:p w:rsidR="001E75C9" w:rsidRDefault="00E45D66">
            <w:pPr>
              <w:jc w:val="right"/>
            </w:pPr>
            <w:r>
              <w:rPr>
                <w:color w:val="000000"/>
                <w:sz w:val="24"/>
                <w:szCs w:val="24"/>
              </w:rPr>
              <w:t>2.86</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260"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49"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29"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A8721A">
        <w:trPr>
          <w:jc w:val="center"/>
        </w:trPr>
        <w:tc>
          <w:tcPr>
            <w:tcW w:w="817"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260"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49"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2,528,261.80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1.69</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8</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9</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2,528,261.80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1.69</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1E75C9">
        <w:trPr>
          <w:jc w:val="center"/>
        </w:trPr>
        <w:tc>
          <w:tcPr>
            <w:tcW w:w="850" w:type="dxa"/>
            <w:vAlign w:val="center"/>
          </w:tcPr>
          <w:p w:rsidR="001E75C9" w:rsidRDefault="00E45D66">
            <w:pPr>
              <w:jc w:val="center"/>
            </w:pPr>
            <w:r>
              <w:rPr>
                <w:color w:val="000000"/>
                <w:sz w:val="24"/>
                <w:szCs w:val="24"/>
              </w:rPr>
              <w:t>1</w:t>
            </w:r>
          </w:p>
        </w:tc>
        <w:tc>
          <w:tcPr>
            <w:tcW w:w="1475" w:type="dxa"/>
            <w:vAlign w:val="center"/>
          </w:tcPr>
          <w:p w:rsidR="001E75C9" w:rsidRDefault="00E45D66">
            <w:pPr>
              <w:jc w:val="center"/>
            </w:pPr>
            <w:r>
              <w:rPr>
                <w:color w:val="000000"/>
                <w:sz w:val="24"/>
                <w:szCs w:val="24"/>
              </w:rPr>
              <w:t>113501</w:t>
            </w:r>
          </w:p>
        </w:tc>
        <w:tc>
          <w:tcPr>
            <w:tcW w:w="1769" w:type="dxa"/>
            <w:vAlign w:val="center"/>
          </w:tcPr>
          <w:p w:rsidR="001E75C9" w:rsidRDefault="00E45D66">
            <w:pPr>
              <w:jc w:val="center"/>
            </w:pPr>
            <w:r>
              <w:rPr>
                <w:color w:val="000000"/>
                <w:sz w:val="24"/>
                <w:szCs w:val="24"/>
              </w:rPr>
              <w:t>洛钼转债</w:t>
            </w:r>
          </w:p>
        </w:tc>
        <w:tc>
          <w:tcPr>
            <w:tcW w:w="1387" w:type="dxa"/>
            <w:vAlign w:val="center"/>
          </w:tcPr>
          <w:p w:rsidR="001E75C9" w:rsidRDefault="00E45D66">
            <w:pPr>
              <w:jc w:val="right"/>
            </w:pPr>
            <w:r>
              <w:rPr>
                <w:color w:val="000000"/>
                <w:sz w:val="24"/>
                <w:szCs w:val="24"/>
              </w:rPr>
              <w:t>14,670</w:t>
            </w:r>
          </w:p>
        </w:tc>
        <w:tc>
          <w:tcPr>
            <w:tcW w:w="2150" w:type="dxa"/>
            <w:vAlign w:val="center"/>
          </w:tcPr>
          <w:p w:rsidR="001E75C9" w:rsidRDefault="00E45D66">
            <w:pPr>
              <w:jc w:val="right"/>
            </w:pPr>
            <w:r>
              <w:rPr>
                <w:color w:val="000000"/>
                <w:sz w:val="24"/>
                <w:szCs w:val="24"/>
              </w:rPr>
              <w:t>2,045,584.80</w:t>
            </w:r>
          </w:p>
        </w:tc>
        <w:tc>
          <w:tcPr>
            <w:tcW w:w="1237" w:type="dxa"/>
            <w:vAlign w:val="center"/>
          </w:tcPr>
          <w:p w:rsidR="001E75C9" w:rsidRDefault="00E45D66">
            <w:pPr>
              <w:jc w:val="right"/>
            </w:pPr>
            <w:r>
              <w:rPr>
                <w:color w:val="000000"/>
                <w:sz w:val="24"/>
                <w:szCs w:val="24"/>
              </w:rPr>
              <w:t>1.37</w:t>
            </w:r>
          </w:p>
        </w:tc>
      </w:tr>
      <w:tr w:rsidR="001E75C9">
        <w:trPr>
          <w:jc w:val="center"/>
        </w:trPr>
        <w:tc>
          <w:tcPr>
            <w:tcW w:w="850" w:type="dxa"/>
            <w:vAlign w:val="center"/>
          </w:tcPr>
          <w:p w:rsidR="001E75C9" w:rsidRDefault="00E45D66">
            <w:pPr>
              <w:jc w:val="center"/>
            </w:pPr>
            <w:r>
              <w:rPr>
                <w:color w:val="000000"/>
                <w:sz w:val="24"/>
                <w:szCs w:val="24"/>
              </w:rPr>
              <w:t>2</w:t>
            </w:r>
          </w:p>
        </w:tc>
        <w:tc>
          <w:tcPr>
            <w:tcW w:w="1475" w:type="dxa"/>
            <w:vAlign w:val="center"/>
          </w:tcPr>
          <w:p w:rsidR="001E75C9" w:rsidRDefault="00E45D66">
            <w:pPr>
              <w:jc w:val="center"/>
            </w:pPr>
            <w:r>
              <w:rPr>
                <w:color w:val="000000"/>
                <w:sz w:val="24"/>
                <w:szCs w:val="24"/>
              </w:rPr>
              <w:t>128009</w:t>
            </w:r>
          </w:p>
        </w:tc>
        <w:tc>
          <w:tcPr>
            <w:tcW w:w="1769" w:type="dxa"/>
            <w:vAlign w:val="center"/>
          </w:tcPr>
          <w:p w:rsidR="001E75C9" w:rsidRDefault="00E45D66">
            <w:pPr>
              <w:jc w:val="center"/>
            </w:pPr>
            <w:r>
              <w:rPr>
                <w:color w:val="000000"/>
                <w:sz w:val="24"/>
                <w:szCs w:val="24"/>
              </w:rPr>
              <w:t>歌尔转债</w:t>
            </w:r>
          </w:p>
        </w:tc>
        <w:tc>
          <w:tcPr>
            <w:tcW w:w="1387" w:type="dxa"/>
            <w:vAlign w:val="center"/>
          </w:tcPr>
          <w:p w:rsidR="001E75C9" w:rsidRDefault="00E45D66">
            <w:pPr>
              <w:jc w:val="right"/>
            </w:pPr>
            <w:r>
              <w:rPr>
                <w:color w:val="000000"/>
                <w:sz w:val="24"/>
                <w:szCs w:val="24"/>
              </w:rPr>
              <w:t>2,390</w:t>
            </w:r>
          </w:p>
        </w:tc>
        <w:tc>
          <w:tcPr>
            <w:tcW w:w="2150" w:type="dxa"/>
            <w:vAlign w:val="center"/>
          </w:tcPr>
          <w:p w:rsidR="001E75C9" w:rsidRDefault="00E45D66">
            <w:pPr>
              <w:jc w:val="right"/>
            </w:pPr>
            <w:r>
              <w:rPr>
                <w:color w:val="000000"/>
                <w:sz w:val="24"/>
                <w:szCs w:val="24"/>
              </w:rPr>
              <w:t>379,484.20</w:t>
            </w:r>
          </w:p>
        </w:tc>
        <w:tc>
          <w:tcPr>
            <w:tcW w:w="1237" w:type="dxa"/>
            <w:vAlign w:val="center"/>
          </w:tcPr>
          <w:p w:rsidR="001E75C9" w:rsidRDefault="00E45D66">
            <w:pPr>
              <w:jc w:val="right"/>
            </w:pPr>
            <w:r>
              <w:rPr>
                <w:color w:val="000000"/>
                <w:sz w:val="24"/>
                <w:szCs w:val="24"/>
              </w:rPr>
              <w:t>0.25</w:t>
            </w:r>
          </w:p>
        </w:tc>
      </w:tr>
      <w:tr w:rsidR="001E75C9">
        <w:trPr>
          <w:jc w:val="center"/>
        </w:trPr>
        <w:tc>
          <w:tcPr>
            <w:tcW w:w="850" w:type="dxa"/>
            <w:vAlign w:val="center"/>
          </w:tcPr>
          <w:p w:rsidR="001E75C9" w:rsidRDefault="00E45D66">
            <w:pPr>
              <w:jc w:val="center"/>
            </w:pPr>
            <w:r>
              <w:rPr>
                <w:color w:val="000000"/>
                <w:sz w:val="24"/>
                <w:szCs w:val="24"/>
              </w:rPr>
              <w:t>3</w:t>
            </w:r>
          </w:p>
        </w:tc>
        <w:tc>
          <w:tcPr>
            <w:tcW w:w="1475" w:type="dxa"/>
            <w:vAlign w:val="center"/>
          </w:tcPr>
          <w:p w:rsidR="001E75C9" w:rsidRDefault="00E45D66">
            <w:pPr>
              <w:jc w:val="center"/>
            </w:pPr>
            <w:r>
              <w:rPr>
                <w:color w:val="000000"/>
                <w:sz w:val="24"/>
                <w:szCs w:val="24"/>
              </w:rPr>
              <w:t>113008</w:t>
            </w:r>
          </w:p>
        </w:tc>
        <w:tc>
          <w:tcPr>
            <w:tcW w:w="1769" w:type="dxa"/>
            <w:vAlign w:val="center"/>
          </w:tcPr>
          <w:p w:rsidR="001E75C9" w:rsidRDefault="00E45D66">
            <w:pPr>
              <w:jc w:val="center"/>
            </w:pPr>
            <w:r>
              <w:rPr>
                <w:color w:val="000000"/>
                <w:sz w:val="24"/>
                <w:szCs w:val="24"/>
              </w:rPr>
              <w:t>电气转债</w:t>
            </w:r>
          </w:p>
        </w:tc>
        <w:tc>
          <w:tcPr>
            <w:tcW w:w="1387" w:type="dxa"/>
            <w:vAlign w:val="center"/>
          </w:tcPr>
          <w:p w:rsidR="001E75C9" w:rsidRDefault="00E45D66">
            <w:pPr>
              <w:jc w:val="right"/>
            </w:pPr>
            <w:r>
              <w:rPr>
                <w:color w:val="000000"/>
                <w:sz w:val="24"/>
                <w:szCs w:val="24"/>
              </w:rPr>
              <w:t>570</w:t>
            </w:r>
          </w:p>
        </w:tc>
        <w:tc>
          <w:tcPr>
            <w:tcW w:w="2150" w:type="dxa"/>
            <w:vAlign w:val="center"/>
          </w:tcPr>
          <w:p w:rsidR="001E75C9" w:rsidRDefault="00E45D66">
            <w:pPr>
              <w:jc w:val="right"/>
            </w:pPr>
            <w:r>
              <w:rPr>
                <w:color w:val="000000"/>
                <w:sz w:val="24"/>
                <w:szCs w:val="24"/>
              </w:rPr>
              <w:t>103,192.80</w:t>
            </w:r>
          </w:p>
        </w:tc>
        <w:tc>
          <w:tcPr>
            <w:tcW w:w="1237" w:type="dxa"/>
            <w:vAlign w:val="center"/>
          </w:tcPr>
          <w:p w:rsidR="001E75C9" w:rsidRDefault="00E45D66">
            <w:pPr>
              <w:jc w:val="right"/>
            </w:pPr>
            <w:r>
              <w:rPr>
                <w:color w:val="000000"/>
                <w:sz w:val="24"/>
                <w:szCs w:val="24"/>
              </w:rPr>
              <w:t>0.07</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100,053.88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17,293.41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38,441.67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155,788.96</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3E62FB" w:rsidRPr="00414345" w:rsidTr="00A324F4">
        <w:trPr>
          <w:jc w:val="center"/>
        </w:trPr>
        <w:tc>
          <w:tcPr>
            <w:tcW w:w="180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729"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65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69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2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D046DB" w:rsidRPr="00414345">
              <w:rPr>
                <w:color w:val="000000"/>
                <w:sz w:val="24"/>
                <w:szCs w:val="24"/>
              </w:rPr>
              <w:t>(</w:t>
            </w:r>
            <w:r w:rsidR="00D046DB" w:rsidRPr="00414345">
              <w:rPr>
                <w:color w:val="000000"/>
                <w:sz w:val="24"/>
                <w:szCs w:val="24"/>
              </w:rPr>
              <w:t>％</w:t>
            </w:r>
            <w:r w:rsidR="00D046DB" w:rsidRPr="00414345">
              <w:rPr>
                <w:color w:val="000000"/>
                <w:sz w:val="24"/>
                <w:szCs w:val="24"/>
              </w:rPr>
              <w:t>)</w:t>
            </w:r>
          </w:p>
        </w:tc>
      </w:tr>
      <w:tr w:rsidR="001E75C9">
        <w:trPr>
          <w:jc w:val="center"/>
        </w:trPr>
        <w:tc>
          <w:tcPr>
            <w:tcW w:w="1883" w:type="dxa"/>
            <w:vAlign w:val="center"/>
          </w:tcPr>
          <w:p w:rsidR="001E75C9" w:rsidRDefault="00E45D66">
            <w:pPr>
              <w:jc w:val="center"/>
            </w:pPr>
            <w:r>
              <w:rPr>
                <w:color w:val="000000"/>
                <w:sz w:val="24"/>
                <w:szCs w:val="24"/>
              </w:rPr>
              <w:t>1</w:t>
            </w:r>
          </w:p>
        </w:tc>
        <w:tc>
          <w:tcPr>
            <w:tcW w:w="1801" w:type="dxa"/>
            <w:vAlign w:val="center"/>
          </w:tcPr>
          <w:p w:rsidR="001E75C9" w:rsidRDefault="00E45D66">
            <w:pPr>
              <w:jc w:val="center"/>
            </w:pPr>
            <w:r>
              <w:rPr>
                <w:color w:val="000000"/>
                <w:sz w:val="24"/>
                <w:szCs w:val="24"/>
              </w:rPr>
              <w:t>113501</w:t>
            </w:r>
          </w:p>
        </w:tc>
        <w:tc>
          <w:tcPr>
            <w:tcW w:w="1727" w:type="dxa"/>
            <w:vAlign w:val="center"/>
          </w:tcPr>
          <w:p w:rsidR="001E75C9" w:rsidRDefault="00E45D66">
            <w:pPr>
              <w:jc w:val="center"/>
            </w:pPr>
            <w:r>
              <w:rPr>
                <w:color w:val="000000"/>
                <w:sz w:val="24"/>
                <w:szCs w:val="24"/>
              </w:rPr>
              <w:t>洛钼转债</w:t>
            </w:r>
          </w:p>
        </w:tc>
        <w:tc>
          <w:tcPr>
            <w:tcW w:w="1768" w:type="dxa"/>
            <w:vAlign w:val="center"/>
          </w:tcPr>
          <w:p w:rsidR="001E75C9" w:rsidRDefault="00E45D66">
            <w:pPr>
              <w:jc w:val="right"/>
            </w:pPr>
            <w:r>
              <w:rPr>
                <w:color w:val="000000"/>
                <w:sz w:val="24"/>
                <w:szCs w:val="24"/>
              </w:rPr>
              <w:t>2,045,584.80</w:t>
            </w:r>
          </w:p>
        </w:tc>
        <w:tc>
          <w:tcPr>
            <w:tcW w:w="1689" w:type="dxa"/>
            <w:vAlign w:val="center"/>
          </w:tcPr>
          <w:p w:rsidR="001E75C9" w:rsidRDefault="00E45D66">
            <w:pPr>
              <w:jc w:val="right"/>
            </w:pPr>
            <w:r>
              <w:rPr>
                <w:color w:val="000000"/>
                <w:sz w:val="24"/>
                <w:szCs w:val="24"/>
              </w:rPr>
              <w:t>1.37</w:t>
            </w:r>
          </w:p>
        </w:tc>
      </w:tr>
      <w:tr w:rsidR="001E75C9">
        <w:trPr>
          <w:jc w:val="center"/>
        </w:trPr>
        <w:tc>
          <w:tcPr>
            <w:tcW w:w="1883" w:type="dxa"/>
            <w:vAlign w:val="center"/>
          </w:tcPr>
          <w:p w:rsidR="001E75C9" w:rsidRDefault="00E45D66">
            <w:pPr>
              <w:jc w:val="center"/>
            </w:pPr>
            <w:r>
              <w:rPr>
                <w:color w:val="000000"/>
                <w:sz w:val="24"/>
                <w:szCs w:val="24"/>
              </w:rPr>
              <w:t>2</w:t>
            </w:r>
          </w:p>
        </w:tc>
        <w:tc>
          <w:tcPr>
            <w:tcW w:w="1801" w:type="dxa"/>
            <w:vAlign w:val="center"/>
          </w:tcPr>
          <w:p w:rsidR="001E75C9" w:rsidRDefault="00E45D66">
            <w:pPr>
              <w:jc w:val="center"/>
            </w:pPr>
            <w:r>
              <w:rPr>
                <w:color w:val="000000"/>
                <w:sz w:val="24"/>
                <w:szCs w:val="24"/>
              </w:rPr>
              <w:t>128009</w:t>
            </w:r>
          </w:p>
        </w:tc>
        <w:tc>
          <w:tcPr>
            <w:tcW w:w="1727" w:type="dxa"/>
            <w:vAlign w:val="center"/>
          </w:tcPr>
          <w:p w:rsidR="001E75C9" w:rsidRDefault="00E45D66">
            <w:pPr>
              <w:jc w:val="center"/>
            </w:pPr>
            <w:r>
              <w:rPr>
                <w:color w:val="000000"/>
                <w:sz w:val="24"/>
                <w:szCs w:val="24"/>
              </w:rPr>
              <w:t>歌尔转债</w:t>
            </w:r>
          </w:p>
        </w:tc>
        <w:tc>
          <w:tcPr>
            <w:tcW w:w="1768" w:type="dxa"/>
            <w:vAlign w:val="center"/>
          </w:tcPr>
          <w:p w:rsidR="001E75C9" w:rsidRDefault="00E45D66">
            <w:pPr>
              <w:jc w:val="right"/>
            </w:pPr>
            <w:r>
              <w:rPr>
                <w:color w:val="000000"/>
                <w:sz w:val="24"/>
                <w:szCs w:val="24"/>
              </w:rPr>
              <w:t>379,484.20</w:t>
            </w:r>
          </w:p>
        </w:tc>
        <w:tc>
          <w:tcPr>
            <w:tcW w:w="1689" w:type="dxa"/>
            <w:vAlign w:val="center"/>
          </w:tcPr>
          <w:p w:rsidR="001E75C9" w:rsidRDefault="00E45D66">
            <w:pPr>
              <w:jc w:val="right"/>
            </w:pPr>
            <w:r>
              <w:rPr>
                <w:color w:val="000000"/>
                <w:sz w:val="24"/>
                <w:szCs w:val="24"/>
              </w:rPr>
              <w:t>0.25</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1E75C9">
        <w:trPr>
          <w:jc w:val="center"/>
        </w:trPr>
        <w:tc>
          <w:tcPr>
            <w:tcW w:w="1129" w:type="dxa"/>
            <w:vAlign w:val="center"/>
          </w:tcPr>
          <w:p w:rsidR="001E75C9" w:rsidRDefault="00E45D66">
            <w:pPr>
              <w:jc w:val="center"/>
            </w:pPr>
            <w:r>
              <w:rPr>
                <w:color w:val="000000"/>
                <w:sz w:val="24"/>
                <w:szCs w:val="24"/>
              </w:rPr>
              <w:t>1</w:t>
            </w:r>
          </w:p>
        </w:tc>
        <w:tc>
          <w:tcPr>
            <w:tcW w:w="1356" w:type="dxa"/>
            <w:vAlign w:val="center"/>
          </w:tcPr>
          <w:p w:rsidR="001E75C9" w:rsidRDefault="00E45D66">
            <w:pPr>
              <w:jc w:val="center"/>
            </w:pPr>
            <w:r>
              <w:rPr>
                <w:color w:val="000000"/>
                <w:sz w:val="24"/>
                <w:szCs w:val="24"/>
              </w:rPr>
              <w:t>002739</w:t>
            </w:r>
          </w:p>
        </w:tc>
        <w:tc>
          <w:tcPr>
            <w:tcW w:w="1355" w:type="dxa"/>
            <w:vAlign w:val="center"/>
          </w:tcPr>
          <w:p w:rsidR="001E75C9" w:rsidRDefault="00E45D66">
            <w:pPr>
              <w:jc w:val="center"/>
            </w:pPr>
            <w:r>
              <w:rPr>
                <w:color w:val="000000"/>
                <w:sz w:val="24"/>
                <w:szCs w:val="24"/>
              </w:rPr>
              <w:t>万达院线</w:t>
            </w:r>
          </w:p>
        </w:tc>
        <w:tc>
          <w:tcPr>
            <w:tcW w:w="1880" w:type="dxa"/>
            <w:vAlign w:val="center"/>
          </w:tcPr>
          <w:p w:rsidR="001E75C9" w:rsidRDefault="00E45D66">
            <w:pPr>
              <w:jc w:val="right"/>
            </w:pPr>
            <w:r>
              <w:rPr>
                <w:color w:val="000000"/>
                <w:sz w:val="24"/>
                <w:szCs w:val="24"/>
              </w:rPr>
              <w:t>7,322,040.00</w:t>
            </w:r>
          </w:p>
        </w:tc>
        <w:tc>
          <w:tcPr>
            <w:tcW w:w="1724" w:type="dxa"/>
            <w:vAlign w:val="center"/>
          </w:tcPr>
          <w:p w:rsidR="001E75C9" w:rsidRDefault="00E45D66">
            <w:pPr>
              <w:jc w:val="right"/>
            </w:pPr>
            <w:r>
              <w:rPr>
                <w:color w:val="000000"/>
                <w:sz w:val="24"/>
                <w:szCs w:val="24"/>
              </w:rPr>
              <w:t>4.91</w:t>
            </w:r>
          </w:p>
        </w:tc>
        <w:tc>
          <w:tcPr>
            <w:tcW w:w="1424" w:type="dxa"/>
            <w:vAlign w:val="center"/>
          </w:tcPr>
          <w:p w:rsidR="001E75C9" w:rsidRDefault="00E45D66">
            <w:pPr>
              <w:jc w:val="right"/>
            </w:pPr>
            <w:r>
              <w:rPr>
                <w:color w:val="000000"/>
                <w:sz w:val="24"/>
                <w:szCs w:val="24"/>
              </w:rPr>
              <w:t>重大事项</w:t>
            </w:r>
          </w:p>
        </w:tc>
      </w:tr>
      <w:tr w:rsidR="001E75C9">
        <w:trPr>
          <w:jc w:val="center"/>
        </w:trPr>
        <w:tc>
          <w:tcPr>
            <w:tcW w:w="1129" w:type="dxa"/>
            <w:vAlign w:val="center"/>
          </w:tcPr>
          <w:p w:rsidR="001E75C9" w:rsidRDefault="00E45D66">
            <w:pPr>
              <w:jc w:val="center"/>
            </w:pPr>
            <w:r>
              <w:rPr>
                <w:color w:val="000000"/>
                <w:sz w:val="24"/>
                <w:szCs w:val="24"/>
              </w:rPr>
              <w:t>2</w:t>
            </w:r>
          </w:p>
        </w:tc>
        <w:tc>
          <w:tcPr>
            <w:tcW w:w="1356" w:type="dxa"/>
            <w:vAlign w:val="center"/>
          </w:tcPr>
          <w:p w:rsidR="001E75C9" w:rsidRDefault="00E45D66">
            <w:pPr>
              <w:jc w:val="center"/>
            </w:pPr>
            <w:r>
              <w:rPr>
                <w:color w:val="000000"/>
                <w:sz w:val="24"/>
                <w:szCs w:val="24"/>
              </w:rPr>
              <w:t>600074</w:t>
            </w:r>
          </w:p>
        </w:tc>
        <w:tc>
          <w:tcPr>
            <w:tcW w:w="1355" w:type="dxa"/>
            <w:vAlign w:val="center"/>
          </w:tcPr>
          <w:p w:rsidR="001E75C9" w:rsidRDefault="00E45D66">
            <w:pPr>
              <w:jc w:val="center"/>
            </w:pPr>
            <w:r>
              <w:rPr>
                <w:color w:val="000000"/>
                <w:sz w:val="24"/>
                <w:szCs w:val="24"/>
              </w:rPr>
              <w:t>保千里</w:t>
            </w:r>
          </w:p>
        </w:tc>
        <w:tc>
          <w:tcPr>
            <w:tcW w:w="1880" w:type="dxa"/>
            <w:vAlign w:val="center"/>
          </w:tcPr>
          <w:p w:rsidR="001E75C9" w:rsidRDefault="00E45D66">
            <w:pPr>
              <w:jc w:val="right"/>
            </w:pPr>
            <w:r>
              <w:rPr>
                <w:color w:val="000000"/>
                <w:sz w:val="24"/>
                <w:szCs w:val="24"/>
              </w:rPr>
              <w:t>5,663,380.80</w:t>
            </w:r>
          </w:p>
        </w:tc>
        <w:tc>
          <w:tcPr>
            <w:tcW w:w="1724" w:type="dxa"/>
            <w:vAlign w:val="center"/>
          </w:tcPr>
          <w:p w:rsidR="001E75C9" w:rsidRDefault="00E45D66">
            <w:pPr>
              <w:jc w:val="right"/>
            </w:pPr>
            <w:r>
              <w:rPr>
                <w:color w:val="000000"/>
                <w:sz w:val="24"/>
                <w:szCs w:val="24"/>
              </w:rPr>
              <w:t>3.79</w:t>
            </w:r>
          </w:p>
        </w:tc>
        <w:tc>
          <w:tcPr>
            <w:tcW w:w="1424" w:type="dxa"/>
            <w:vAlign w:val="center"/>
          </w:tcPr>
          <w:p w:rsidR="001E75C9" w:rsidRDefault="00E45D66">
            <w:pPr>
              <w:jc w:val="right"/>
            </w:pPr>
            <w:r>
              <w:rPr>
                <w:color w:val="000000"/>
                <w:sz w:val="24"/>
                <w:szCs w:val="24"/>
              </w:rPr>
              <w:t>重大事项</w:t>
            </w:r>
          </w:p>
        </w:tc>
      </w:tr>
      <w:tr w:rsidR="001E75C9">
        <w:trPr>
          <w:jc w:val="center"/>
        </w:trPr>
        <w:tc>
          <w:tcPr>
            <w:tcW w:w="1129" w:type="dxa"/>
            <w:vAlign w:val="center"/>
          </w:tcPr>
          <w:p w:rsidR="001E75C9" w:rsidRDefault="00E45D66">
            <w:pPr>
              <w:jc w:val="center"/>
            </w:pPr>
            <w:r>
              <w:rPr>
                <w:color w:val="000000"/>
                <w:sz w:val="24"/>
                <w:szCs w:val="24"/>
              </w:rPr>
              <w:t>3</w:t>
            </w:r>
          </w:p>
        </w:tc>
        <w:tc>
          <w:tcPr>
            <w:tcW w:w="1356" w:type="dxa"/>
            <w:vAlign w:val="center"/>
          </w:tcPr>
          <w:p w:rsidR="001E75C9" w:rsidRDefault="00E45D66">
            <w:pPr>
              <w:jc w:val="center"/>
            </w:pPr>
            <w:r>
              <w:rPr>
                <w:color w:val="000000"/>
                <w:sz w:val="24"/>
                <w:szCs w:val="24"/>
              </w:rPr>
              <w:t>002170</w:t>
            </w:r>
          </w:p>
        </w:tc>
        <w:tc>
          <w:tcPr>
            <w:tcW w:w="1355" w:type="dxa"/>
            <w:vAlign w:val="center"/>
          </w:tcPr>
          <w:p w:rsidR="001E75C9" w:rsidRDefault="00E45D66">
            <w:pPr>
              <w:jc w:val="center"/>
            </w:pPr>
            <w:r>
              <w:rPr>
                <w:color w:val="000000"/>
                <w:sz w:val="24"/>
                <w:szCs w:val="24"/>
              </w:rPr>
              <w:t>芭田股份</w:t>
            </w:r>
          </w:p>
        </w:tc>
        <w:tc>
          <w:tcPr>
            <w:tcW w:w="1880" w:type="dxa"/>
            <w:vAlign w:val="center"/>
          </w:tcPr>
          <w:p w:rsidR="001E75C9" w:rsidRDefault="00E45D66">
            <w:pPr>
              <w:jc w:val="right"/>
            </w:pPr>
            <w:r>
              <w:rPr>
                <w:color w:val="000000"/>
                <w:sz w:val="24"/>
                <w:szCs w:val="24"/>
              </w:rPr>
              <w:t>4,419,775.60</w:t>
            </w:r>
          </w:p>
        </w:tc>
        <w:tc>
          <w:tcPr>
            <w:tcW w:w="1724" w:type="dxa"/>
            <w:vAlign w:val="center"/>
          </w:tcPr>
          <w:p w:rsidR="001E75C9" w:rsidRDefault="00E45D66">
            <w:pPr>
              <w:jc w:val="right"/>
            </w:pPr>
            <w:r>
              <w:rPr>
                <w:color w:val="000000"/>
                <w:sz w:val="24"/>
                <w:szCs w:val="24"/>
              </w:rPr>
              <w:t>2</w:t>
            </w:r>
            <w:r w:rsidR="00EC6600">
              <w:rPr>
                <w:rFonts w:hint="eastAsia"/>
                <w:color w:val="000000"/>
                <w:sz w:val="24"/>
                <w:szCs w:val="24"/>
              </w:rPr>
              <w:t>.</w:t>
            </w:r>
            <w:r>
              <w:rPr>
                <w:color w:val="000000"/>
                <w:sz w:val="24"/>
                <w:szCs w:val="24"/>
              </w:rPr>
              <w:t>96</w:t>
            </w:r>
          </w:p>
        </w:tc>
        <w:tc>
          <w:tcPr>
            <w:tcW w:w="1424" w:type="dxa"/>
            <w:vAlign w:val="center"/>
          </w:tcPr>
          <w:p w:rsidR="001E75C9" w:rsidRDefault="00E45D66">
            <w:pPr>
              <w:jc w:val="right"/>
            </w:pPr>
            <w:r>
              <w:rPr>
                <w:color w:val="000000"/>
                <w:sz w:val="24"/>
                <w:szCs w:val="24"/>
              </w:rPr>
              <w:t>重大事项</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132,105,123.39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9,343,836.45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61,364,975.28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80,083,984.56</w:t>
            </w:r>
          </w:p>
        </w:tc>
      </w:tr>
    </w:tbl>
    <w:p w:rsidR="001E75C9" w:rsidRDefault="00E45D66">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6E6726">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6E6726">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1E75C9" w:rsidRDefault="00E45D66">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、中国证监会批准交银施罗德定期支付双息平衡混合型证券投资基金募集的文件；</w:t>
      </w:r>
      <w:r>
        <w:rPr>
          <w:color w:val="000000"/>
          <w:sz w:val="24"/>
          <w:szCs w:val="24"/>
        </w:rPr>
        <w:t xml:space="preserve"> </w:t>
      </w:r>
    </w:p>
    <w:p w:rsidR="001E75C9" w:rsidRDefault="00E45D66">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、《交银施罗德定期支付双息平衡混合型证券投资基金基金合同》；</w:t>
      </w:r>
      <w:r>
        <w:rPr>
          <w:color w:val="000000"/>
          <w:sz w:val="24"/>
          <w:szCs w:val="24"/>
        </w:rPr>
        <w:t xml:space="preserve"> </w:t>
      </w:r>
    </w:p>
    <w:p w:rsidR="001E75C9" w:rsidRDefault="00E45D66">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、《交银施罗德定期支付双息平衡混合型证券投资基金招募说明书》；</w:t>
      </w:r>
      <w:r>
        <w:rPr>
          <w:color w:val="000000"/>
          <w:sz w:val="24"/>
          <w:szCs w:val="24"/>
        </w:rPr>
        <w:t xml:space="preserve"> </w:t>
      </w:r>
    </w:p>
    <w:p w:rsidR="001E75C9" w:rsidRDefault="00E45D66">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、《交银施罗德定期支付双息平衡混合型证券投资基金托管协议》；</w:t>
      </w:r>
      <w:r>
        <w:rPr>
          <w:color w:val="000000"/>
          <w:sz w:val="24"/>
          <w:szCs w:val="24"/>
        </w:rPr>
        <w:t xml:space="preserve"> </w:t>
      </w:r>
    </w:p>
    <w:p w:rsidR="001E75C9" w:rsidRDefault="00E45D66">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、关于募集交银施罗德定期支付双息平衡混合型证券投资基金之法律意见书；</w:t>
      </w:r>
      <w:r>
        <w:rPr>
          <w:color w:val="000000"/>
          <w:sz w:val="24"/>
          <w:szCs w:val="24"/>
        </w:rPr>
        <w:t xml:space="preserve"> </w:t>
      </w:r>
    </w:p>
    <w:p w:rsidR="001E75C9" w:rsidRDefault="00E45D66">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1E75C9" w:rsidRDefault="00E45D66">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、报告期内交银施罗德定期支付双息平衡混合型证券投资基金在指定报刊上各项公告的原稿。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1E75C9" w:rsidRDefault="00E45D66">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209" w:rsidRDefault="00393209" w:rsidP="00876D65">
      <w:r>
        <w:separator/>
      </w:r>
    </w:p>
  </w:endnote>
  <w:endnote w:type="continuationSeparator" w:id="0">
    <w:p w:rsidR="00393209" w:rsidRDefault="00393209"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821235">
      <w:rPr>
        <w:kern w:val="0"/>
        <w:szCs w:val="21"/>
      </w:rPr>
      <w:fldChar w:fldCharType="begin"/>
    </w:r>
    <w:r>
      <w:rPr>
        <w:kern w:val="0"/>
        <w:szCs w:val="21"/>
      </w:rPr>
      <w:instrText xml:space="preserve"> PAGE </w:instrText>
    </w:r>
    <w:r w:rsidR="00821235">
      <w:rPr>
        <w:kern w:val="0"/>
        <w:szCs w:val="21"/>
      </w:rPr>
      <w:fldChar w:fldCharType="separate"/>
    </w:r>
    <w:r w:rsidR="00656BF7">
      <w:rPr>
        <w:noProof/>
        <w:kern w:val="0"/>
        <w:szCs w:val="21"/>
      </w:rPr>
      <w:t>6</w:t>
    </w:r>
    <w:r w:rsidR="00821235">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821235">
      <w:rPr>
        <w:kern w:val="0"/>
        <w:szCs w:val="21"/>
      </w:rPr>
      <w:fldChar w:fldCharType="begin"/>
    </w:r>
    <w:r>
      <w:rPr>
        <w:kern w:val="0"/>
        <w:szCs w:val="21"/>
      </w:rPr>
      <w:instrText xml:space="preserve"> NUMPAGES </w:instrText>
    </w:r>
    <w:r w:rsidR="00821235">
      <w:rPr>
        <w:kern w:val="0"/>
        <w:szCs w:val="21"/>
      </w:rPr>
      <w:fldChar w:fldCharType="separate"/>
    </w:r>
    <w:r w:rsidR="00656BF7">
      <w:rPr>
        <w:noProof/>
        <w:kern w:val="0"/>
        <w:szCs w:val="21"/>
      </w:rPr>
      <w:t>12</w:t>
    </w:r>
    <w:r w:rsidR="00821235">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209" w:rsidRDefault="00393209" w:rsidP="00876D65">
      <w:r>
        <w:separator/>
      </w:r>
    </w:p>
  </w:footnote>
  <w:footnote w:type="continuationSeparator" w:id="0">
    <w:p w:rsidR="00393209" w:rsidRDefault="00393209"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C0993"/>
    <w:rsid w:val="001C79F2"/>
    <w:rsid w:val="001D6A4B"/>
    <w:rsid w:val="001E4630"/>
    <w:rsid w:val="001E75C9"/>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3209"/>
    <w:rsid w:val="00394069"/>
    <w:rsid w:val="00396809"/>
    <w:rsid w:val="003A6061"/>
    <w:rsid w:val="003B3494"/>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07D7"/>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3B61"/>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6BF7"/>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6C1A"/>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3B47"/>
    <w:rsid w:val="00B34678"/>
    <w:rsid w:val="00B35024"/>
    <w:rsid w:val="00B371B4"/>
    <w:rsid w:val="00B40F64"/>
    <w:rsid w:val="00B42A76"/>
    <w:rsid w:val="00B47982"/>
    <w:rsid w:val="00B527C7"/>
    <w:rsid w:val="00B53505"/>
    <w:rsid w:val="00B56F53"/>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45D66"/>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C6600"/>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389C"/>
    <w:rsid w:val="00F375F2"/>
    <w:rsid w:val="00F45C47"/>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A677C91-B737-4715-B883-F742B457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FFD8E-76F3-425B-80A8-4033D1F1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12</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566</cp:revision>
  <dcterms:created xsi:type="dcterms:W3CDTF">2012-10-16T06:07:00Z</dcterms:created>
  <dcterms:modified xsi:type="dcterms:W3CDTF">2015-07-16T10:09:00Z</dcterms:modified>
</cp:coreProperties>
</file>