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交银施罗德成长</w:t>
      </w:r>
      <w:r w:rsidRPr="0081286B">
        <w:rPr>
          <w:b/>
          <w:sz w:val="36"/>
          <w:szCs w:val="36"/>
        </w:rPr>
        <w:t>30</w:t>
      </w:r>
      <w:r w:rsidRPr="0081286B">
        <w:rPr>
          <w:b/>
          <w:sz w:val="36"/>
          <w:szCs w:val="36"/>
        </w:rPr>
        <w:t>股票型证券投资基金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二〇一五年七月十八日</w:t>
      </w:r>
    </w:p>
    <w:p w:rsidR="004061AC" w:rsidRPr="00414345" w:rsidRDefault="004061AC" w:rsidP="006E6726">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05B4A" w:rsidRDefault="00FE0F1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05B4A" w:rsidRDefault="00FE0F18">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2015</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05B4A" w:rsidRDefault="00FE0F1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05B4A" w:rsidRDefault="00FE0F1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05B4A" w:rsidRDefault="00FE0F18">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交银成长</w:t>
            </w:r>
            <w:r w:rsidRPr="00414345">
              <w:rPr>
                <w:color w:val="000000"/>
                <w:kern w:val="0"/>
                <w:sz w:val="24"/>
                <w:szCs w:val="24"/>
              </w:rPr>
              <w:t>30</w:t>
            </w:r>
            <w:r w:rsidRPr="00414345">
              <w:rPr>
                <w:color w:val="000000"/>
                <w:kern w:val="0"/>
                <w:sz w:val="24"/>
                <w:szCs w:val="24"/>
              </w:rPr>
              <w:t>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519727</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519728</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81,071,277.97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本基金属于成长型股票基金，主要通过投资于不超过</w:t>
            </w:r>
            <w:r w:rsidRPr="00414345">
              <w:rPr>
                <w:color w:val="000000"/>
                <w:kern w:val="0"/>
                <w:sz w:val="24"/>
                <w:szCs w:val="24"/>
              </w:rPr>
              <w:t>30</w:t>
            </w:r>
            <w:r w:rsidRPr="00414345">
              <w:rPr>
                <w:color w:val="000000"/>
                <w:kern w:val="0"/>
                <w:sz w:val="24"/>
                <w:szCs w:val="24"/>
              </w:rPr>
              <w:t>只精选的成长型上市公司股票，在适度控制风险并保持基金资产良好流动性的前提下，为基金份额持有人谋求长期、稳定的资本增值。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运行和行业景气变化以及上市公司成长潜力的基础上，精选业务聚焦型、在所属行业内数一数二的成长型上市公司股票，并通过持有不超过</w:t>
            </w:r>
            <w:r w:rsidRPr="00414345">
              <w:rPr>
                <w:color w:val="000000"/>
                <w:kern w:val="0"/>
                <w:sz w:val="24"/>
                <w:szCs w:val="24"/>
              </w:rPr>
              <w:t>30</w:t>
            </w:r>
            <w:r w:rsidRPr="00414345">
              <w:rPr>
                <w:color w:val="000000"/>
                <w:kern w:val="0"/>
                <w:sz w:val="24"/>
                <w:szCs w:val="24"/>
              </w:rPr>
              <w:t>只股票的集中持股策略，为基金资产谋求长期稳健增值。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富时中国</w:t>
            </w:r>
            <w:r w:rsidRPr="00414345">
              <w:rPr>
                <w:color w:val="000000"/>
                <w:kern w:val="0"/>
                <w:sz w:val="24"/>
                <w:szCs w:val="24"/>
              </w:rPr>
              <w:t>A600</w:t>
            </w:r>
            <w:r w:rsidRPr="00414345">
              <w:rPr>
                <w:color w:val="000000"/>
                <w:kern w:val="0"/>
                <w:sz w:val="24"/>
                <w:szCs w:val="24"/>
              </w:rPr>
              <w:t>成长指数收益率</w:t>
            </w:r>
            <w:r w:rsidRPr="00414345">
              <w:rPr>
                <w:color w:val="000000"/>
                <w:kern w:val="0"/>
                <w:sz w:val="24"/>
                <w:szCs w:val="24"/>
              </w:rPr>
              <w:t>+25%×</w:t>
            </w:r>
            <w:r w:rsidRPr="00414345">
              <w:rPr>
                <w:color w:val="000000"/>
                <w:kern w:val="0"/>
                <w:sz w:val="24"/>
                <w:szCs w:val="24"/>
              </w:rPr>
              <w:t>中信标普</w:t>
            </w:r>
            <w:r w:rsidRPr="00414345">
              <w:rPr>
                <w:color w:val="000000"/>
                <w:kern w:val="0"/>
                <w:sz w:val="24"/>
                <w:szCs w:val="24"/>
              </w:rPr>
              <w:lastRenderedPageBreak/>
              <w:t>全债指数收益率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本基金是一只股票型基金，以成长型股票为主要投资对象，风险与预期收益高于混合基金、债券基金和货币市场基金。属于承担较高风险、预期收益较高的证券投资基金品种。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32B2B" w:rsidRPr="00414345" w:rsidTr="00D32B2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D32B2B" w:rsidRPr="00414345" w:rsidTr="00D32B2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38,394,668.99</w:t>
            </w:r>
          </w:p>
        </w:tc>
      </w:tr>
      <w:tr w:rsidR="00D32B2B" w:rsidRPr="00414345" w:rsidTr="00D32B2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34,587,878.27</w:t>
            </w:r>
          </w:p>
        </w:tc>
      </w:tr>
      <w:tr w:rsidR="00D32B2B" w:rsidRPr="00414345" w:rsidTr="00D32B2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0.3516</w:t>
            </w:r>
          </w:p>
        </w:tc>
      </w:tr>
      <w:tr w:rsidR="00D32B2B" w:rsidRPr="00414345" w:rsidTr="00D32B2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144,807,219.19</w:t>
            </w:r>
          </w:p>
        </w:tc>
      </w:tr>
      <w:tr w:rsidR="00D32B2B" w:rsidRPr="00414345" w:rsidTr="00D32B2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1.786</w:t>
            </w:r>
          </w:p>
        </w:tc>
      </w:tr>
    </w:tbl>
    <w:p w:rsidR="00D05B4A" w:rsidRDefault="00FE0F1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05B4A">
        <w:trPr>
          <w:jc w:val="center"/>
        </w:trPr>
        <w:tc>
          <w:tcPr>
            <w:tcW w:w="1701" w:type="dxa"/>
            <w:vAlign w:val="center"/>
          </w:tcPr>
          <w:p w:rsidR="00D05B4A" w:rsidRDefault="00FE0F18">
            <w:pPr>
              <w:jc w:val="left"/>
            </w:pPr>
            <w:r>
              <w:rPr>
                <w:color w:val="000000"/>
                <w:sz w:val="24"/>
                <w:szCs w:val="24"/>
              </w:rPr>
              <w:t>过去三个月</w:t>
            </w:r>
          </w:p>
        </w:tc>
        <w:tc>
          <w:tcPr>
            <w:tcW w:w="1045" w:type="dxa"/>
            <w:vAlign w:val="center"/>
          </w:tcPr>
          <w:p w:rsidR="00D05B4A" w:rsidRDefault="00FE0F18">
            <w:pPr>
              <w:jc w:val="center"/>
            </w:pPr>
            <w:r>
              <w:rPr>
                <w:color w:val="000000"/>
                <w:sz w:val="24"/>
                <w:szCs w:val="24"/>
              </w:rPr>
              <w:t>19.23%</w:t>
            </w:r>
          </w:p>
        </w:tc>
        <w:tc>
          <w:tcPr>
            <w:tcW w:w="1344" w:type="dxa"/>
            <w:vAlign w:val="center"/>
          </w:tcPr>
          <w:p w:rsidR="00D05B4A" w:rsidRDefault="00FE0F18">
            <w:pPr>
              <w:jc w:val="center"/>
            </w:pPr>
            <w:r>
              <w:rPr>
                <w:color w:val="000000"/>
                <w:sz w:val="24"/>
                <w:szCs w:val="24"/>
              </w:rPr>
              <w:t>2.86%</w:t>
            </w:r>
          </w:p>
        </w:tc>
        <w:tc>
          <w:tcPr>
            <w:tcW w:w="1194" w:type="dxa"/>
            <w:vAlign w:val="center"/>
          </w:tcPr>
          <w:p w:rsidR="00D05B4A" w:rsidRDefault="00FE0F18">
            <w:pPr>
              <w:jc w:val="center"/>
            </w:pPr>
            <w:r>
              <w:rPr>
                <w:color w:val="000000"/>
                <w:sz w:val="24"/>
                <w:szCs w:val="24"/>
              </w:rPr>
              <w:t>9.20%</w:t>
            </w:r>
          </w:p>
        </w:tc>
        <w:tc>
          <w:tcPr>
            <w:tcW w:w="1492" w:type="dxa"/>
            <w:vAlign w:val="center"/>
          </w:tcPr>
          <w:p w:rsidR="00D05B4A" w:rsidRDefault="00FE0F18">
            <w:pPr>
              <w:jc w:val="center"/>
            </w:pPr>
            <w:r>
              <w:rPr>
                <w:color w:val="000000"/>
                <w:sz w:val="24"/>
                <w:szCs w:val="24"/>
              </w:rPr>
              <w:t>2.06%</w:t>
            </w:r>
          </w:p>
        </w:tc>
        <w:tc>
          <w:tcPr>
            <w:tcW w:w="1194" w:type="dxa"/>
            <w:vAlign w:val="center"/>
          </w:tcPr>
          <w:p w:rsidR="00D05B4A" w:rsidRDefault="00FE0F18">
            <w:pPr>
              <w:jc w:val="center"/>
            </w:pPr>
            <w:r>
              <w:rPr>
                <w:color w:val="000000"/>
                <w:sz w:val="24"/>
                <w:szCs w:val="24"/>
              </w:rPr>
              <w:t>10.03%</w:t>
            </w:r>
          </w:p>
        </w:tc>
        <w:tc>
          <w:tcPr>
            <w:tcW w:w="898" w:type="dxa"/>
            <w:vAlign w:val="center"/>
          </w:tcPr>
          <w:p w:rsidR="00D05B4A" w:rsidRDefault="00FE0F18">
            <w:pPr>
              <w:jc w:val="center"/>
            </w:pPr>
            <w:r>
              <w:rPr>
                <w:color w:val="000000"/>
                <w:sz w:val="24"/>
                <w:szCs w:val="24"/>
              </w:rPr>
              <w:t>0.80%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交银施罗德成长</w:t>
      </w:r>
      <w:r w:rsidRPr="00414345">
        <w:rPr>
          <w:color w:val="000000"/>
          <w:sz w:val="24"/>
          <w:szCs w:val="24"/>
        </w:rPr>
        <w:t>30</w:t>
      </w:r>
      <w:r w:rsidRPr="00414345">
        <w:rPr>
          <w:color w:val="000000"/>
          <w:sz w:val="24"/>
          <w:szCs w:val="24"/>
        </w:rPr>
        <w:t>股票型证券投资基金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05B4A">
        <w:trPr>
          <w:jc w:val="center"/>
        </w:trPr>
        <w:tc>
          <w:tcPr>
            <w:tcW w:w="846" w:type="dxa"/>
            <w:vAlign w:val="center"/>
          </w:tcPr>
          <w:p w:rsidR="00D05B4A" w:rsidRDefault="00FE0F18">
            <w:pPr>
              <w:jc w:val="center"/>
            </w:pPr>
            <w:r>
              <w:rPr>
                <w:color w:val="000000"/>
                <w:sz w:val="24"/>
                <w:szCs w:val="24"/>
              </w:rPr>
              <w:t>王少成</w:t>
            </w:r>
          </w:p>
        </w:tc>
        <w:tc>
          <w:tcPr>
            <w:tcW w:w="845" w:type="dxa"/>
            <w:vAlign w:val="center"/>
          </w:tcPr>
          <w:p w:rsidR="00D05B4A" w:rsidRDefault="00FE0F18" w:rsidP="00D32B2B">
            <w:pPr>
              <w:jc w:val="center"/>
            </w:pPr>
            <w:r>
              <w:rPr>
                <w:color w:val="000000"/>
                <w:sz w:val="24"/>
                <w:szCs w:val="24"/>
              </w:rPr>
              <w:t>本基金、交银成长股票、交银先锋股票、交银先进制造股票的基金经理，公司</w:t>
            </w:r>
            <w:r w:rsidR="00D32B2B">
              <w:rPr>
                <w:rFonts w:hint="eastAsia"/>
                <w:color w:val="000000"/>
                <w:sz w:val="24"/>
                <w:szCs w:val="24"/>
              </w:rPr>
              <w:t>权益投资</w:t>
            </w:r>
            <w:r w:rsidR="00D32B2B">
              <w:rPr>
                <w:color w:val="000000"/>
                <w:sz w:val="24"/>
                <w:szCs w:val="24"/>
              </w:rPr>
              <w:t>总监</w:t>
            </w:r>
          </w:p>
        </w:tc>
        <w:tc>
          <w:tcPr>
            <w:tcW w:w="1549" w:type="dxa"/>
            <w:vAlign w:val="center"/>
          </w:tcPr>
          <w:p w:rsidR="00D05B4A" w:rsidRDefault="00FE0F18">
            <w:pPr>
              <w:jc w:val="center"/>
            </w:pPr>
            <w:r>
              <w:rPr>
                <w:color w:val="000000"/>
                <w:sz w:val="24"/>
                <w:szCs w:val="24"/>
              </w:rPr>
              <w:t>2013-07-02</w:t>
            </w:r>
          </w:p>
        </w:tc>
        <w:tc>
          <w:tcPr>
            <w:tcW w:w="1548" w:type="dxa"/>
            <w:vAlign w:val="center"/>
          </w:tcPr>
          <w:p w:rsidR="00D05B4A" w:rsidRDefault="00FE0F18">
            <w:pPr>
              <w:jc w:val="center"/>
            </w:pPr>
            <w:r>
              <w:rPr>
                <w:color w:val="000000"/>
                <w:sz w:val="24"/>
                <w:szCs w:val="24"/>
              </w:rPr>
              <w:t>-</w:t>
            </w:r>
          </w:p>
        </w:tc>
        <w:tc>
          <w:tcPr>
            <w:tcW w:w="1407" w:type="dxa"/>
            <w:vAlign w:val="center"/>
          </w:tcPr>
          <w:p w:rsidR="00D05B4A" w:rsidRDefault="00FE0F18">
            <w:pPr>
              <w:jc w:val="center"/>
            </w:pPr>
            <w:r>
              <w:rPr>
                <w:color w:val="000000"/>
                <w:sz w:val="24"/>
                <w:szCs w:val="24"/>
              </w:rPr>
              <w:t>11</w:t>
            </w:r>
            <w:r>
              <w:rPr>
                <w:color w:val="000000"/>
                <w:sz w:val="24"/>
                <w:szCs w:val="24"/>
              </w:rPr>
              <w:t>年</w:t>
            </w:r>
          </w:p>
        </w:tc>
        <w:tc>
          <w:tcPr>
            <w:tcW w:w="2673" w:type="dxa"/>
            <w:vAlign w:val="center"/>
          </w:tcPr>
          <w:p w:rsidR="00D05B4A" w:rsidRDefault="00FE0F18">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w:t>
            </w:r>
            <w:r w:rsidR="00D32B2B" w:rsidRPr="00D32B2B">
              <w:rPr>
                <w:rFonts w:hint="eastAsia"/>
                <w:color w:val="000000"/>
                <w:sz w:val="24"/>
                <w:szCs w:val="24"/>
              </w:rPr>
              <w:t>，历任权益部副总经理</w:t>
            </w:r>
            <w:r>
              <w:rPr>
                <w:color w:val="000000"/>
                <w:sz w:val="24"/>
                <w:szCs w:val="24"/>
              </w:rPr>
              <w:t>。</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05B4A" w:rsidRDefault="00FE0F1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05B4A" w:rsidRDefault="00FE0F1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05B4A" w:rsidRDefault="00FE0F1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05B4A" w:rsidRDefault="00FE0F18">
      <w:pPr>
        <w:spacing w:before="29" w:line="288" w:lineRule="auto"/>
        <w:ind w:firstLineChars="200" w:firstLine="480"/>
        <w:rPr>
          <w:color w:val="000000"/>
          <w:sz w:val="24"/>
          <w:szCs w:val="24"/>
        </w:rPr>
      </w:pPr>
      <w:r>
        <w:rPr>
          <w:color w:val="000000"/>
          <w:sz w:val="24"/>
          <w:szCs w:val="24"/>
        </w:rPr>
        <w:t>二季度</w:t>
      </w:r>
      <w:r>
        <w:rPr>
          <w:color w:val="000000"/>
          <w:sz w:val="24"/>
          <w:szCs w:val="24"/>
        </w:rPr>
        <w:t>A</w:t>
      </w:r>
      <w:r>
        <w:rPr>
          <w:color w:val="000000"/>
          <w:sz w:val="24"/>
          <w:szCs w:val="24"/>
        </w:rPr>
        <w:t>股市场经历了过山车行情。随着监管部门对场外配资的清理，增量资金流入放缓，市场出现持续的波动，最终引发剧烈的去杠杆负反馈，导致市场快速放量下跌。政府的及时出手，表明了严控系统性风险扩散的政策底线。但去杠杆负反馈的力量巨大，犹如正在塌陷的沙堆，外部强力的干预是否能奏效，不仅取决于力道更取决于时机。</w:t>
      </w:r>
    </w:p>
    <w:p w:rsidR="00D05B4A" w:rsidRDefault="00FE0F18">
      <w:pPr>
        <w:spacing w:before="29" w:line="288" w:lineRule="auto"/>
        <w:ind w:firstLineChars="200" w:firstLine="480"/>
        <w:rPr>
          <w:color w:val="000000"/>
          <w:sz w:val="24"/>
          <w:szCs w:val="24"/>
        </w:rPr>
      </w:pPr>
      <w:r>
        <w:rPr>
          <w:color w:val="000000"/>
          <w:sz w:val="24"/>
          <w:szCs w:val="24"/>
        </w:rPr>
        <w:t>本基金二季度配置较一季度有所调整。应对二季度高度波动的Ａ股市场，本基金主要通过结构调整来应对。保持了抗跌的消费蓝筹股的配置比例，减持前期涨幅较大的部分互联网相关个股，并增持了国企改革相关的标的。</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展望下半年，我们认为</w:t>
      </w:r>
      <w:r w:rsidRPr="00414345">
        <w:rPr>
          <w:color w:val="000000"/>
          <w:sz w:val="24"/>
          <w:szCs w:val="24"/>
        </w:rPr>
        <w:t>A</w:t>
      </w:r>
      <w:r w:rsidRPr="00414345">
        <w:rPr>
          <w:color w:val="000000"/>
          <w:sz w:val="24"/>
          <w:szCs w:val="24"/>
        </w:rPr>
        <w:t>股的收益率依然可期。市场反弹的确立可以从两个维度来观察。首先是市场整体的波动率要显著下降并且相对缩量。其次，需要培育新的财富效应的出现。中小股票需要新的并能持续落地和验证的转型方案，而蓝筹品种似乎在国企改革方面的变化会更多地受到市场青睐。</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1.786</w:t>
      </w:r>
      <w:r w:rsidRPr="00414345">
        <w:rPr>
          <w:color w:val="000000"/>
          <w:sz w:val="24"/>
          <w:szCs w:val="24"/>
        </w:rPr>
        <w:t>元，本报告期份额净值增长率为</w:t>
      </w:r>
      <w:r w:rsidRPr="00414345">
        <w:rPr>
          <w:color w:val="000000"/>
          <w:sz w:val="24"/>
          <w:szCs w:val="24"/>
        </w:rPr>
        <w:t>19.23%</w:t>
      </w:r>
      <w:r w:rsidRPr="00414345">
        <w:rPr>
          <w:color w:val="000000"/>
          <w:sz w:val="24"/>
          <w:szCs w:val="24"/>
        </w:rPr>
        <w:t>，同期业绩比较基准增长率为</w:t>
      </w:r>
      <w:r w:rsidRPr="00414345">
        <w:rPr>
          <w:color w:val="000000"/>
          <w:sz w:val="24"/>
          <w:szCs w:val="24"/>
        </w:rPr>
        <w:t>9.20%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138,836,861.35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91.57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138,836,861.35</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91.57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12,413,822.81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8.19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370,996.66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0.24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151,621,680.82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112,511,185.55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827,148.00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5,077,070.40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1,663,200.00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16,673,169.40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2,085,088.00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138,836,861.35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95.88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05B4A">
        <w:trPr>
          <w:jc w:val="center"/>
        </w:trPr>
        <w:tc>
          <w:tcPr>
            <w:tcW w:w="855" w:type="dxa"/>
            <w:vAlign w:val="center"/>
          </w:tcPr>
          <w:p w:rsidR="00D05B4A" w:rsidRDefault="00FE0F18">
            <w:pPr>
              <w:jc w:val="center"/>
            </w:pPr>
            <w:r>
              <w:rPr>
                <w:color w:val="000000"/>
                <w:sz w:val="24"/>
                <w:szCs w:val="24"/>
              </w:rPr>
              <w:t>1</w:t>
            </w:r>
          </w:p>
        </w:tc>
        <w:tc>
          <w:tcPr>
            <w:tcW w:w="1334" w:type="dxa"/>
            <w:vAlign w:val="center"/>
          </w:tcPr>
          <w:p w:rsidR="00D05B4A" w:rsidRDefault="00FE0F18">
            <w:pPr>
              <w:jc w:val="center"/>
            </w:pPr>
            <w:r>
              <w:rPr>
                <w:color w:val="000000"/>
                <w:sz w:val="24"/>
                <w:szCs w:val="24"/>
              </w:rPr>
              <w:t>600967</w:t>
            </w:r>
          </w:p>
        </w:tc>
        <w:tc>
          <w:tcPr>
            <w:tcW w:w="1777" w:type="dxa"/>
            <w:vAlign w:val="center"/>
          </w:tcPr>
          <w:p w:rsidR="00D05B4A" w:rsidRDefault="00FE0F18">
            <w:pPr>
              <w:jc w:val="center"/>
            </w:pPr>
            <w:r>
              <w:rPr>
                <w:color w:val="000000"/>
                <w:sz w:val="24"/>
                <w:szCs w:val="24"/>
              </w:rPr>
              <w:t>北方创业</w:t>
            </w:r>
          </w:p>
        </w:tc>
        <w:tc>
          <w:tcPr>
            <w:tcW w:w="1334" w:type="dxa"/>
            <w:vAlign w:val="center"/>
          </w:tcPr>
          <w:p w:rsidR="00D05B4A" w:rsidRDefault="00FE0F18">
            <w:pPr>
              <w:jc w:val="right"/>
            </w:pPr>
            <w:r>
              <w:rPr>
                <w:color w:val="000000"/>
                <w:sz w:val="24"/>
                <w:szCs w:val="24"/>
              </w:rPr>
              <w:t>924,712</w:t>
            </w:r>
          </w:p>
        </w:tc>
        <w:tc>
          <w:tcPr>
            <w:tcW w:w="1924" w:type="dxa"/>
            <w:vAlign w:val="center"/>
          </w:tcPr>
          <w:p w:rsidR="00D05B4A" w:rsidRDefault="00FE0F18">
            <w:pPr>
              <w:jc w:val="right"/>
            </w:pPr>
            <w:r>
              <w:rPr>
                <w:color w:val="000000"/>
                <w:sz w:val="24"/>
                <w:szCs w:val="24"/>
              </w:rPr>
              <w:t>19,298,739.44</w:t>
            </w:r>
          </w:p>
        </w:tc>
        <w:tc>
          <w:tcPr>
            <w:tcW w:w="1644" w:type="dxa"/>
            <w:vAlign w:val="center"/>
          </w:tcPr>
          <w:p w:rsidR="00D05B4A" w:rsidRDefault="00FE0F18">
            <w:pPr>
              <w:jc w:val="right"/>
            </w:pPr>
            <w:r>
              <w:rPr>
                <w:color w:val="000000"/>
                <w:sz w:val="24"/>
                <w:szCs w:val="24"/>
              </w:rPr>
              <w:t>13.33</w:t>
            </w:r>
          </w:p>
        </w:tc>
      </w:tr>
      <w:tr w:rsidR="00D05B4A">
        <w:trPr>
          <w:jc w:val="center"/>
        </w:trPr>
        <w:tc>
          <w:tcPr>
            <w:tcW w:w="855" w:type="dxa"/>
            <w:vAlign w:val="center"/>
          </w:tcPr>
          <w:p w:rsidR="00D05B4A" w:rsidRDefault="00FE0F18">
            <w:pPr>
              <w:jc w:val="center"/>
            </w:pPr>
            <w:r>
              <w:rPr>
                <w:color w:val="000000"/>
                <w:sz w:val="24"/>
                <w:szCs w:val="24"/>
              </w:rPr>
              <w:t>2</w:t>
            </w:r>
          </w:p>
        </w:tc>
        <w:tc>
          <w:tcPr>
            <w:tcW w:w="1334" w:type="dxa"/>
            <w:vAlign w:val="center"/>
          </w:tcPr>
          <w:p w:rsidR="00D05B4A" w:rsidRDefault="00FE0F18">
            <w:pPr>
              <w:jc w:val="center"/>
            </w:pPr>
            <w:r>
              <w:rPr>
                <w:color w:val="000000"/>
                <w:sz w:val="24"/>
                <w:szCs w:val="24"/>
              </w:rPr>
              <w:t>600763</w:t>
            </w:r>
          </w:p>
        </w:tc>
        <w:tc>
          <w:tcPr>
            <w:tcW w:w="1777" w:type="dxa"/>
            <w:vAlign w:val="center"/>
          </w:tcPr>
          <w:p w:rsidR="00D05B4A" w:rsidRDefault="00FE0F18">
            <w:pPr>
              <w:jc w:val="center"/>
            </w:pPr>
            <w:r>
              <w:rPr>
                <w:color w:val="000000"/>
                <w:sz w:val="24"/>
                <w:szCs w:val="24"/>
              </w:rPr>
              <w:t>通策医疗</w:t>
            </w:r>
          </w:p>
        </w:tc>
        <w:tc>
          <w:tcPr>
            <w:tcW w:w="1334" w:type="dxa"/>
            <w:vAlign w:val="center"/>
          </w:tcPr>
          <w:p w:rsidR="00D05B4A" w:rsidRDefault="00FE0F18">
            <w:pPr>
              <w:jc w:val="right"/>
            </w:pPr>
            <w:r>
              <w:rPr>
                <w:color w:val="000000"/>
                <w:sz w:val="24"/>
                <w:szCs w:val="24"/>
              </w:rPr>
              <w:t>196,780</w:t>
            </w:r>
          </w:p>
        </w:tc>
        <w:tc>
          <w:tcPr>
            <w:tcW w:w="1924" w:type="dxa"/>
            <w:vAlign w:val="center"/>
          </w:tcPr>
          <w:p w:rsidR="00D05B4A" w:rsidRDefault="00FE0F18">
            <w:pPr>
              <w:jc w:val="right"/>
            </w:pPr>
            <w:r>
              <w:rPr>
                <w:color w:val="000000"/>
                <w:sz w:val="24"/>
                <w:szCs w:val="24"/>
              </w:rPr>
              <w:t>16,673,169.40</w:t>
            </w:r>
          </w:p>
        </w:tc>
        <w:tc>
          <w:tcPr>
            <w:tcW w:w="1644" w:type="dxa"/>
            <w:vAlign w:val="center"/>
          </w:tcPr>
          <w:p w:rsidR="00D05B4A" w:rsidRDefault="00FE0F18">
            <w:pPr>
              <w:jc w:val="right"/>
            </w:pPr>
            <w:r>
              <w:rPr>
                <w:color w:val="000000"/>
                <w:sz w:val="24"/>
                <w:szCs w:val="24"/>
              </w:rPr>
              <w:t>11.51</w:t>
            </w:r>
          </w:p>
        </w:tc>
      </w:tr>
      <w:tr w:rsidR="00D05B4A">
        <w:trPr>
          <w:jc w:val="center"/>
        </w:trPr>
        <w:tc>
          <w:tcPr>
            <w:tcW w:w="855" w:type="dxa"/>
            <w:vAlign w:val="center"/>
          </w:tcPr>
          <w:p w:rsidR="00D05B4A" w:rsidRDefault="00FE0F18">
            <w:pPr>
              <w:jc w:val="center"/>
            </w:pPr>
            <w:r>
              <w:rPr>
                <w:color w:val="000000"/>
                <w:sz w:val="24"/>
                <w:szCs w:val="24"/>
              </w:rPr>
              <w:t>3</w:t>
            </w:r>
          </w:p>
        </w:tc>
        <w:tc>
          <w:tcPr>
            <w:tcW w:w="1334" w:type="dxa"/>
            <w:vAlign w:val="center"/>
          </w:tcPr>
          <w:p w:rsidR="00D05B4A" w:rsidRDefault="00FE0F18">
            <w:pPr>
              <w:jc w:val="center"/>
            </w:pPr>
            <w:r>
              <w:rPr>
                <w:color w:val="000000"/>
                <w:sz w:val="24"/>
                <w:szCs w:val="24"/>
              </w:rPr>
              <w:t>600389</w:t>
            </w:r>
          </w:p>
        </w:tc>
        <w:tc>
          <w:tcPr>
            <w:tcW w:w="1777" w:type="dxa"/>
            <w:vAlign w:val="center"/>
          </w:tcPr>
          <w:p w:rsidR="00D05B4A" w:rsidRDefault="00FE0F18">
            <w:pPr>
              <w:jc w:val="center"/>
            </w:pPr>
            <w:r>
              <w:rPr>
                <w:color w:val="000000"/>
                <w:sz w:val="24"/>
                <w:szCs w:val="24"/>
              </w:rPr>
              <w:t>江山股份</w:t>
            </w:r>
          </w:p>
        </w:tc>
        <w:tc>
          <w:tcPr>
            <w:tcW w:w="1334" w:type="dxa"/>
            <w:vAlign w:val="center"/>
          </w:tcPr>
          <w:p w:rsidR="00D05B4A" w:rsidRDefault="00FE0F18">
            <w:pPr>
              <w:jc w:val="right"/>
            </w:pPr>
            <w:r>
              <w:rPr>
                <w:color w:val="000000"/>
                <w:sz w:val="24"/>
                <w:szCs w:val="24"/>
              </w:rPr>
              <w:t>459,813</w:t>
            </w:r>
          </w:p>
        </w:tc>
        <w:tc>
          <w:tcPr>
            <w:tcW w:w="1924" w:type="dxa"/>
            <w:vAlign w:val="center"/>
          </w:tcPr>
          <w:p w:rsidR="00D05B4A" w:rsidRDefault="00FE0F18">
            <w:pPr>
              <w:jc w:val="right"/>
            </w:pPr>
            <w:r>
              <w:rPr>
                <w:color w:val="000000"/>
                <w:sz w:val="24"/>
                <w:szCs w:val="24"/>
              </w:rPr>
              <w:t>14,364,558.12</w:t>
            </w:r>
          </w:p>
        </w:tc>
        <w:tc>
          <w:tcPr>
            <w:tcW w:w="1644" w:type="dxa"/>
            <w:vAlign w:val="center"/>
          </w:tcPr>
          <w:p w:rsidR="00D05B4A" w:rsidRDefault="00FE0F18">
            <w:pPr>
              <w:jc w:val="right"/>
            </w:pPr>
            <w:r>
              <w:rPr>
                <w:color w:val="000000"/>
                <w:sz w:val="24"/>
                <w:szCs w:val="24"/>
              </w:rPr>
              <w:t>9.92</w:t>
            </w:r>
          </w:p>
        </w:tc>
      </w:tr>
      <w:tr w:rsidR="00D05B4A">
        <w:trPr>
          <w:jc w:val="center"/>
        </w:trPr>
        <w:tc>
          <w:tcPr>
            <w:tcW w:w="855" w:type="dxa"/>
            <w:vAlign w:val="center"/>
          </w:tcPr>
          <w:p w:rsidR="00D05B4A" w:rsidRDefault="00FE0F18">
            <w:pPr>
              <w:jc w:val="center"/>
            </w:pPr>
            <w:r>
              <w:rPr>
                <w:color w:val="000000"/>
                <w:sz w:val="24"/>
                <w:szCs w:val="24"/>
              </w:rPr>
              <w:t>4</w:t>
            </w:r>
          </w:p>
        </w:tc>
        <w:tc>
          <w:tcPr>
            <w:tcW w:w="1334" w:type="dxa"/>
            <w:vAlign w:val="center"/>
          </w:tcPr>
          <w:p w:rsidR="00D05B4A" w:rsidRDefault="00FE0F18">
            <w:pPr>
              <w:jc w:val="center"/>
            </w:pPr>
            <w:r>
              <w:rPr>
                <w:color w:val="000000"/>
                <w:sz w:val="24"/>
                <w:szCs w:val="24"/>
              </w:rPr>
              <w:t>300005</w:t>
            </w:r>
          </w:p>
        </w:tc>
        <w:tc>
          <w:tcPr>
            <w:tcW w:w="1777" w:type="dxa"/>
            <w:vAlign w:val="center"/>
          </w:tcPr>
          <w:p w:rsidR="00D05B4A" w:rsidRDefault="00FE0F18">
            <w:pPr>
              <w:jc w:val="center"/>
            </w:pPr>
            <w:r>
              <w:rPr>
                <w:color w:val="000000"/>
                <w:sz w:val="24"/>
                <w:szCs w:val="24"/>
              </w:rPr>
              <w:t>探路者</w:t>
            </w:r>
          </w:p>
        </w:tc>
        <w:tc>
          <w:tcPr>
            <w:tcW w:w="1334" w:type="dxa"/>
            <w:vAlign w:val="center"/>
          </w:tcPr>
          <w:p w:rsidR="00D05B4A" w:rsidRDefault="00FE0F18">
            <w:pPr>
              <w:jc w:val="right"/>
            </w:pPr>
            <w:r>
              <w:rPr>
                <w:color w:val="000000"/>
                <w:sz w:val="24"/>
                <w:szCs w:val="24"/>
              </w:rPr>
              <w:t>346,914</w:t>
            </w:r>
          </w:p>
        </w:tc>
        <w:tc>
          <w:tcPr>
            <w:tcW w:w="1924" w:type="dxa"/>
            <w:vAlign w:val="center"/>
          </w:tcPr>
          <w:p w:rsidR="00D05B4A" w:rsidRDefault="00FE0F18">
            <w:pPr>
              <w:jc w:val="right"/>
            </w:pPr>
            <w:r>
              <w:rPr>
                <w:color w:val="000000"/>
                <w:sz w:val="24"/>
                <w:szCs w:val="24"/>
              </w:rPr>
              <w:t>9,505,443.60</w:t>
            </w:r>
          </w:p>
        </w:tc>
        <w:tc>
          <w:tcPr>
            <w:tcW w:w="1644" w:type="dxa"/>
            <w:vAlign w:val="center"/>
          </w:tcPr>
          <w:p w:rsidR="00D05B4A" w:rsidRDefault="00FE0F18">
            <w:pPr>
              <w:jc w:val="right"/>
            </w:pPr>
            <w:r>
              <w:rPr>
                <w:color w:val="000000"/>
                <w:sz w:val="24"/>
                <w:szCs w:val="24"/>
              </w:rPr>
              <w:t>6.56</w:t>
            </w:r>
          </w:p>
        </w:tc>
      </w:tr>
      <w:tr w:rsidR="00D05B4A">
        <w:trPr>
          <w:jc w:val="center"/>
        </w:trPr>
        <w:tc>
          <w:tcPr>
            <w:tcW w:w="855" w:type="dxa"/>
            <w:vAlign w:val="center"/>
          </w:tcPr>
          <w:p w:rsidR="00D05B4A" w:rsidRDefault="00FE0F18">
            <w:pPr>
              <w:jc w:val="center"/>
            </w:pPr>
            <w:r>
              <w:rPr>
                <w:color w:val="000000"/>
                <w:sz w:val="24"/>
                <w:szCs w:val="24"/>
              </w:rPr>
              <w:t>5</w:t>
            </w:r>
          </w:p>
        </w:tc>
        <w:tc>
          <w:tcPr>
            <w:tcW w:w="1334" w:type="dxa"/>
            <w:vAlign w:val="center"/>
          </w:tcPr>
          <w:p w:rsidR="00D05B4A" w:rsidRDefault="00FE0F18">
            <w:pPr>
              <w:jc w:val="center"/>
            </w:pPr>
            <w:r>
              <w:rPr>
                <w:color w:val="000000"/>
                <w:sz w:val="24"/>
                <w:szCs w:val="24"/>
              </w:rPr>
              <w:t>002568</w:t>
            </w:r>
          </w:p>
        </w:tc>
        <w:tc>
          <w:tcPr>
            <w:tcW w:w="1777" w:type="dxa"/>
            <w:vAlign w:val="center"/>
          </w:tcPr>
          <w:p w:rsidR="00D05B4A" w:rsidRDefault="00FE0F18">
            <w:pPr>
              <w:jc w:val="center"/>
            </w:pPr>
            <w:r>
              <w:rPr>
                <w:color w:val="000000"/>
                <w:sz w:val="24"/>
                <w:szCs w:val="24"/>
              </w:rPr>
              <w:t>百润股份</w:t>
            </w:r>
          </w:p>
        </w:tc>
        <w:tc>
          <w:tcPr>
            <w:tcW w:w="1334" w:type="dxa"/>
            <w:vAlign w:val="center"/>
          </w:tcPr>
          <w:p w:rsidR="00D05B4A" w:rsidRDefault="00FE0F18">
            <w:pPr>
              <w:jc w:val="right"/>
            </w:pPr>
            <w:r>
              <w:rPr>
                <w:color w:val="000000"/>
                <w:sz w:val="24"/>
                <w:szCs w:val="24"/>
              </w:rPr>
              <w:t>71,089</w:t>
            </w:r>
          </w:p>
        </w:tc>
        <w:tc>
          <w:tcPr>
            <w:tcW w:w="1924" w:type="dxa"/>
            <w:vAlign w:val="center"/>
          </w:tcPr>
          <w:p w:rsidR="00D05B4A" w:rsidRDefault="00FE0F18">
            <w:pPr>
              <w:jc w:val="right"/>
            </w:pPr>
            <w:r>
              <w:rPr>
                <w:color w:val="000000"/>
                <w:sz w:val="24"/>
                <w:szCs w:val="24"/>
              </w:rPr>
              <w:t>9,350,336.17</w:t>
            </w:r>
          </w:p>
        </w:tc>
        <w:tc>
          <w:tcPr>
            <w:tcW w:w="1644" w:type="dxa"/>
            <w:vAlign w:val="center"/>
          </w:tcPr>
          <w:p w:rsidR="00D05B4A" w:rsidRDefault="00FE0F18">
            <w:pPr>
              <w:jc w:val="right"/>
            </w:pPr>
            <w:r>
              <w:rPr>
                <w:color w:val="000000"/>
                <w:sz w:val="24"/>
                <w:szCs w:val="24"/>
              </w:rPr>
              <w:t>6.46</w:t>
            </w:r>
          </w:p>
        </w:tc>
      </w:tr>
      <w:tr w:rsidR="00D05B4A">
        <w:trPr>
          <w:jc w:val="center"/>
        </w:trPr>
        <w:tc>
          <w:tcPr>
            <w:tcW w:w="855" w:type="dxa"/>
            <w:vAlign w:val="center"/>
          </w:tcPr>
          <w:p w:rsidR="00D05B4A" w:rsidRDefault="00FE0F18">
            <w:pPr>
              <w:jc w:val="center"/>
            </w:pPr>
            <w:r>
              <w:rPr>
                <w:color w:val="000000"/>
                <w:sz w:val="24"/>
                <w:szCs w:val="24"/>
              </w:rPr>
              <w:t>6</w:t>
            </w:r>
          </w:p>
        </w:tc>
        <w:tc>
          <w:tcPr>
            <w:tcW w:w="1334" w:type="dxa"/>
            <w:vAlign w:val="center"/>
          </w:tcPr>
          <w:p w:rsidR="00D05B4A" w:rsidRDefault="00FE0F18">
            <w:pPr>
              <w:jc w:val="center"/>
            </w:pPr>
            <w:r>
              <w:rPr>
                <w:color w:val="000000"/>
                <w:sz w:val="24"/>
                <w:szCs w:val="24"/>
              </w:rPr>
              <w:t>600276</w:t>
            </w:r>
          </w:p>
        </w:tc>
        <w:tc>
          <w:tcPr>
            <w:tcW w:w="1777" w:type="dxa"/>
            <w:vAlign w:val="center"/>
          </w:tcPr>
          <w:p w:rsidR="00D05B4A" w:rsidRDefault="00FE0F18">
            <w:pPr>
              <w:jc w:val="center"/>
            </w:pPr>
            <w:r>
              <w:rPr>
                <w:color w:val="000000"/>
                <w:sz w:val="24"/>
                <w:szCs w:val="24"/>
              </w:rPr>
              <w:t>恒瑞医药</w:t>
            </w:r>
          </w:p>
        </w:tc>
        <w:tc>
          <w:tcPr>
            <w:tcW w:w="1334" w:type="dxa"/>
            <w:vAlign w:val="center"/>
          </w:tcPr>
          <w:p w:rsidR="00D05B4A" w:rsidRDefault="00FE0F18">
            <w:pPr>
              <w:jc w:val="right"/>
            </w:pPr>
            <w:r>
              <w:rPr>
                <w:color w:val="000000"/>
                <w:sz w:val="24"/>
                <w:szCs w:val="24"/>
              </w:rPr>
              <w:t>193,159</w:t>
            </w:r>
          </w:p>
        </w:tc>
        <w:tc>
          <w:tcPr>
            <w:tcW w:w="1924" w:type="dxa"/>
            <w:vAlign w:val="center"/>
          </w:tcPr>
          <w:p w:rsidR="00D05B4A" w:rsidRDefault="00FE0F18">
            <w:pPr>
              <w:jc w:val="right"/>
            </w:pPr>
            <w:r>
              <w:rPr>
                <w:color w:val="000000"/>
                <w:sz w:val="24"/>
                <w:szCs w:val="24"/>
              </w:rPr>
              <w:t>8,603,301.86</w:t>
            </w:r>
          </w:p>
        </w:tc>
        <w:tc>
          <w:tcPr>
            <w:tcW w:w="1644" w:type="dxa"/>
            <w:vAlign w:val="center"/>
          </w:tcPr>
          <w:p w:rsidR="00D05B4A" w:rsidRDefault="00FE0F18">
            <w:pPr>
              <w:jc w:val="right"/>
            </w:pPr>
            <w:r>
              <w:rPr>
                <w:color w:val="000000"/>
                <w:sz w:val="24"/>
                <w:szCs w:val="24"/>
              </w:rPr>
              <w:t>5.94</w:t>
            </w:r>
          </w:p>
        </w:tc>
      </w:tr>
      <w:tr w:rsidR="00D05B4A">
        <w:trPr>
          <w:jc w:val="center"/>
        </w:trPr>
        <w:tc>
          <w:tcPr>
            <w:tcW w:w="855" w:type="dxa"/>
            <w:vAlign w:val="center"/>
          </w:tcPr>
          <w:p w:rsidR="00D05B4A" w:rsidRDefault="00FE0F18">
            <w:pPr>
              <w:jc w:val="center"/>
            </w:pPr>
            <w:r>
              <w:rPr>
                <w:color w:val="000000"/>
                <w:sz w:val="24"/>
                <w:szCs w:val="24"/>
              </w:rPr>
              <w:t>7</w:t>
            </w:r>
          </w:p>
        </w:tc>
        <w:tc>
          <w:tcPr>
            <w:tcW w:w="1334" w:type="dxa"/>
            <w:vAlign w:val="center"/>
          </w:tcPr>
          <w:p w:rsidR="00D05B4A" w:rsidRDefault="00FE0F18">
            <w:pPr>
              <w:jc w:val="center"/>
            </w:pPr>
            <w:r>
              <w:rPr>
                <w:color w:val="000000"/>
                <w:sz w:val="24"/>
                <w:szCs w:val="24"/>
              </w:rPr>
              <w:t>600887</w:t>
            </w:r>
          </w:p>
        </w:tc>
        <w:tc>
          <w:tcPr>
            <w:tcW w:w="1777" w:type="dxa"/>
            <w:vAlign w:val="center"/>
          </w:tcPr>
          <w:p w:rsidR="00D05B4A" w:rsidRDefault="00FE0F18">
            <w:pPr>
              <w:jc w:val="center"/>
            </w:pPr>
            <w:r>
              <w:rPr>
                <w:color w:val="000000"/>
                <w:sz w:val="24"/>
                <w:szCs w:val="24"/>
              </w:rPr>
              <w:t>伊利股份</w:t>
            </w:r>
          </w:p>
        </w:tc>
        <w:tc>
          <w:tcPr>
            <w:tcW w:w="1334" w:type="dxa"/>
            <w:vAlign w:val="center"/>
          </w:tcPr>
          <w:p w:rsidR="00D05B4A" w:rsidRDefault="00FE0F18">
            <w:pPr>
              <w:jc w:val="right"/>
            </w:pPr>
            <w:r>
              <w:rPr>
                <w:color w:val="000000"/>
                <w:sz w:val="24"/>
                <w:szCs w:val="24"/>
              </w:rPr>
              <w:t>449,898</w:t>
            </w:r>
          </w:p>
        </w:tc>
        <w:tc>
          <w:tcPr>
            <w:tcW w:w="1924" w:type="dxa"/>
            <w:vAlign w:val="center"/>
          </w:tcPr>
          <w:p w:rsidR="00D05B4A" w:rsidRDefault="00FE0F18">
            <w:pPr>
              <w:jc w:val="right"/>
            </w:pPr>
            <w:r>
              <w:rPr>
                <w:color w:val="000000"/>
                <w:sz w:val="24"/>
                <w:szCs w:val="24"/>
              </w:rPr>
              <w:t>8,503,072.20</w:t>
            </w:r>
          </w:p>
        </w:tc>
        <w:tc>
          <w:tcPr>
            <w:tcW w:w="1644" w:type="dxa"/>
            <w:vAlign w:val="center"/>
          </w:tcPr>
          <w:p w:rsidR="00D05B4A" w:rsidRDefault="00FE0F18">
            <w:pPr>
              <w:jc w:val="right"/>
            </w:pPr>
            <w:r>
              <w:rPr>
                <w:color w:val="000000"/>
                <w:sz w:val="24"/>
                <w:szCs w:val="24"/>
              </w:rPr>
              <w:t>5.87</w:t>
            </w:r>
          </w:p>
        </w:tc>
      </w:tr>
      <w:tr w:rsidR="00D05B4A">
        <w:trPr>
          <w:jc w:val="center"/>
        </w:trPr>
        <w:tc>
          <w:tcPr>
            <w:tcW w:w="855" w:type="dxa"/>
            <w:vAlign w:val="center"/>
          </w:tcPr>
          <w:p w:rsidR="00D05B4A" w:rsidRDefault="00FE0F18">
            <w:pPr>
              <w:jc w:val="center"/>
            </w:pPr>
            <w:r>
              <w:rPr>
                <w:color w:val="000000"/>
                <w:sz w:val="24"/>
                <w:szCs w:val="24"/>
              </w:rPr>
              <w:t>8</w:t>
            </w:r>
          </w:p>
        </w:tc>
        <w:tc>
          <w:tcPr>
            <w:tcW w:w="1334" w:type="dxa"/>
            <w:vAlign w:val="center"/>
          </w:tcPr>
          <w:p w:rsidR="00D05B4A" w:rsidRDefault="00FE0F18">
            <w:pPr>
              <w:jc w:val="center"/>
            </w:pPr>
            <w:r>
              <w:rPr>
                <w:color w:val="000000"/>
                <w:sz w:val="24"/>
                <w:szCs w:val="24"/>
              </w:rPr>
              <w:t>603555</w:t>
            </w:r>
          </w:p>
        </w:tc>
        <w:tc>
          <w:tcPr>
            <w:tcW w:w="1777" w:type="dxa"/>
            <w:vAlign w:val="center"/>
          </w:tcPr>
          <w:p w:rsidR="00D05B4A" w:rsidRDefault="00FE0F18">
            <w:pPr>
              <w:jc w:val="center"/>
            </w:pPr>
            <w:r>
              <w:rPr>
                <w:color w:val="000000"/>
                <w:sz w:val="24"/>
                <w:szCs w:val="24"/>
              </w:rPr>
              <w:t>贵人鸟</w:t>
            </w:r>
          </w:p>
        </w:tc>
        <w:tc>
          <w:tcPr>
            <w:tcW w:w="1334" w:type="dxa"/>
            <w:vAlign w:val="center"/>
          </w:tcPr>
          <w:p w:rsidR="00D05B4A" w:rsidRDefault="00FE0F18">
            <w:pPr>
              <w:jc w:val="right"/>
            </w:pPr>
            <w:r>
              <w:rPr>
                <w:color w:val="000000"/>
                <w:sz w:val="24"/>
                <w:szCs w:val="24"/>
              </w:rPr>
              <w:t>164,900</w:t>
            </w:r>
          </w:p>
        </w:tc>
        <w:tc>
          <w:tcPr>
            <w:tcW w:w="1924" w:type="dxa"/>
            <w:vAlign w:val="center"/>
          </w:tcPr>
          <w:p w:rsidR="00D05B4A" w:rsidRDefault="00FE0F18">
            <w:pPr>
              <w:jc w:val="right"/>
            </w:pPr>
            <w:r>
              <w:rPr>
                <w:color w:val="000000"/>
                <w:sz w:val="24"/>
                <w:szCs w:val="24"/>
              </w:rPr>
              <w:t>6,889,522.00</w:t>
            </w:r>
          </w:p>
        </w:tc>
        <w:tc>
          <w:tcPr>
            <w:tcW w:w="1644" w:type="dxa"/>
            <w:vAlign w:val="center"/>
          </w:tcPr>
          <w:p w:rsidR="00D05B4A" w:rsidRDefault="00FE0F18">
            <w:pPr>
              <w:jc w:val="right"/>
            </w:pPr>
            <w:r>
              <w:rPr>
                <w:color w:val="000000"/>
                <w:sz w:val="24"/>
                <w:szCs w:val="24"/>
              </w:rPr>
              <w:t>4.76</w:t>
            </w:r>
          </w:p>
        </w:tc>
      </w:tr>
      <w:tr w:rsidR="00D05B4A">
        <w:trPr>
          <w:jc w:val="center"/>
        </w:trPr>
        <w:tc>
          <w:tcPr>
            <w:tcW w:w="855" w:type="dxa"/>
            <w:vAlign w:val="center"/>
          </w:tcPr>
          <w:p w:rsidR="00D05B4A" w:rsidRDefault="00FE0F18">
            <w:pPr>
              <w:jc w:val="center"/>
            </w:pPr>
            <w:r>
              <w:rPr>
                <w:color w:val="000000"/>
                <w:sz w:val="24"/>
                <w:szCs w:val="24"/>
              </w:rPr>
              <w:t>9</w:t>
            </w:r>
          </w:p>
        </w:tc>
        <w:tc>
          <w:tcPr>
            <w:tcW w:w="1334" w:type="dxa"/>
            <w:vAlign w:val="center"/>
          </w:tcPr>
          <w:p w:rsidR="00D05B4A" w:rsidRDefault="00FE0F18">
            <w:pPr>
              <w:jc w:val="center"/>
            </w:pPr>
            <w:r>
              <w:rPr>
                <w:color w:val="000000"/>
                <w:sz w:val="24"/>
                <w:szCs w:val="24"/>
              </w:rPr>
              <w:t>600698</w:t>
            </w:r>
          </w:p>
        </w:tc>
        <w:tc>
          <w:tcPr>
            <w:tcW w:w="1777" w:type="dxa"/>
            <w:vAlign w:val="center"/>
          </w:tcPr>
          <w:p w:rsidR="00D05B4A" w:rsidRDefault="00FE0F18">
            <w:pPr>
              <w:jc w:val="center"/>
            </w:pPr>
            <w:r>
              <w:rPr>
                <w:color w:val="000000"/>
                <w:sz w:val="24"/>
                <w:szCs w:val="24"/>
              </w:rPr>
              <w:t>湖南天雁</w:t>
            </w:r>
          </w:p>
        </w:tc>
        <w:tc>
          <w:tcPr>
            <w:tcW w:w="1334" w:type="dxa"/>
            <w:vAlign w:val="center"/>
          </w:tcPr>
          <w:p w:rsidR="00D05B4A" w:rsidRDefault="00FE0F18">
            <w:pPr>
              <w:jc w:val="right"/>
            </w:pPr>
            <w:r>
              <w:rPr>
                <w:color w:val="000000"/>
                <w:sz w:val="24"/>
                <w:szCs w:val="24"/>
              </w:rPr>
              <w:t>444,511</w:t>
            </w:r>
          </w:p>
        </w:tc>
        <w:tc>
          <w:tcPr>
            <w:tcW w:w="1924" w:type="dxa"/>
            <w:vAlign w:val="center"/>
          </w:tcPr>
          <w:p w:rsidR="00D05B4A" w:rsidRDefault="00FE0F18">
            <w:pPr>
              <w:jc w:val="right"/>
            </w:pPr>
            <w:r>
              <w:rPr>
                <w:color w:val="000000"/>
                <w:sz w:val="24"/>
                <w:szCs w:val="24"/>
              </w:rPr>
              <w:t>5,080,760.73</w:t>
            </w:r>
          </w:p>
        </w:tc>
        <w:tc>
          <w:tcPr>
            <w:tcW w:w="1644" w:type="dxa"/>
            <w:vAlign w:val="center"/>
          </w:tcPr>
          <w:p w:rsidR="00D05B4A" w:rsidRDefault="00FE0F18">
            <w:pPr>
              <w:jc w:val="right"/>
            </w:pPr>
            <w:r>
              <w:rPr>
                <w:color w:val="000000"/>
                <w:sz w:val="24"/>
                <w:szCs w:val="24"/>
              </w:rPr>
              <w:t>3.51</w:t>
            </w:r>
          </w:p>
        </w:tc>
      </w:tr>
      <w:tr w:rsidR="00D05B4A">
        <w:trPr>
          <w:jc w:val="center"/>
        </w:trPr>
        <w:tc>
          <w:tcPr>
            <w:tcW w:w="855" w:type="dxa"/>
            <w:vAlign w:val="center"/>
          </w:tcPr>
          <w:p w:rsidR="00D05B4A" w:rsidRDefault="00FE0F18">
            <w:pPr>
              <w:jc w:val="center"/>
            </w:pPr>
            <w:r>
              <w:rPr>
                <w:color w:val="000000"/>
                <w:sz w:val="24"/>
                <w:szCs w:val="24"/>
              </w:rPr>
              <w:t>10</w:t>
            </w:r>
          </w:p>
        </w:tc>
        <w:tc>
          <w:tcPr>
            <w:tcW w:w="1334" w:type="dxa"/>
            <w:vAlign w:val="center"/>
          </w:tcPr>
          <w:p w:rsidR="00D05B4A" w:rsidRDefault="00FE0F18">
            <w:pPr>
              <w:jc w:val="center"/>
            </w:pPr>
            <w:r>
              <w:rPr>
                <w:color w:val="000000"/>
                <w:sz w:val="24"/>
                <w:szCs w:val="24"/>
              </w:rPr>
              <w:t>000061</w:t>
            </w:r>
          </w:p>
        </w:tc>
        <w:tc>
          <w:tcPr>
            <w:tcW w:w="1777" w:type="dxa"/>
            <w:vAlign w:val="center"/>
          </w:tcPr>
          <w:p w:rsidR="00D05B4A" w:rsidRDefault="00FE0F18">
            <w:pPr>
              <w:jc w:val="center"/>
            </w:pPr>
            <w:r>
              <w:rPr>
                <w:color w:val="000000"/>
                <w:sz w:val="24"/>
                <w:szCs w:val="24"/>
              </w:rPr>
              <w:t>农</w:t>
            </w:r>
            <w:r>
              <w:rPr>
                <w:color w:val="000000"/>
                <w:sz w:val="24"/>
                <w:szCs w:val="24"/>
              </w:rPr>
              <w:t xml:space="preserve"> </w:t>
            </w:r>
            <w:r>
              <w:rPr>
                <w:color w:val="000000"/>
                <w:sz w:val="24"/>
                <w:szCs w:val="24"/>
              </w:rPr>
              <w:t>产</w:t>
            </w:r>
            <w:r>
              <w:rPr>
                <w:color w:val="000000"/>
                <w:sz w:val="24"/>
                <w:szCs w:val="24"/>
              </w:rPr>
              <w:t xml:space="preserve"> </w:t>
            </w:r>
            <w:r>
              <w:rPr>
                <w:color w:val="000000"/>
                <w:sz w:val="24"/>
                <w:szCs w:val="24"/>
              </w:rPr>
              <w:t>品</w:t>
            </w:r>
          </w:p>
        </w:tc>
        <w:tc>
          <w:tcPr>
            <w:tcW w:w="1334" w:type="dxa"/>
            <w:vAlign w:val="center"/>
          </w:tcPr>
          <w:p w:rsidR="00D05B4A" w:rsidRDefault="00FE0F18">
            <w:pPr>
              <w:jc w:val="right"/>
            </w:pPr>
            <w:r>
              <w:rPr>
                <w:color w:val="000000"/>
                <w:sz w:val="24"/>
                <w:szCs w:val="24"/>
              </w:rPr>
              <w:t>248,876</w:t>
            </w:r>
          </w:p>
        </w:tc>
        <w:tc>
          <w:tcPr>
            <w:tcW w:w="1924" w:type="dxa"/>
            <w:vAlign w:val="center"/>
          </w:tcPr>
          <w:p w:rsidR="00D05B4A" w:rsidRDefault="00FE0F18">
            <w:pPr>
              <w:jc w:val="right"/>
            </w:pPr>
            <w:r>
              <w:rPr>
                <w:color w:val="000000"/>
                <w:sz w:val="24"/>
                <w:szCs w:val="24"/>
              </w:rPr>
              <w:t>5,077,070.40</w:t>
            </w:r>
          </w:p>
        </w:tc>
        <w:tc>
          <w:tcPr>
            <w:tcW w:w="1644" w:type="dxa"/>
            <w:vAlign w:val="center"/>
          </w:tcPr>
          <w:p w:rsidR="00D05B4A" w:rsidRDefault="00FE0F18">
            <w:pPr>
              <w:jc w:val="right"/>
            </w:pPr>
            <w:r>
              <w:rPr>
                <w:color w:val="000000"/>
                <w:sz w:val="24"/>
                <w:szCs w:val="24"/>
              </w:rPr>
              <w:t>3.51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107,165.56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2,596.08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261,235.02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370,996.66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D05B4A">
        <w:trPr>
          <w:jc w:val="center"/>
        </w:trPr>
        <w:tc>
          <w:tcPr>
            <w:tcW w:w="1129" w:type="dxa"/>
            <w:vAlign w:val="center"/>
          </w:tcPr>
          <w:p w:rsidR="00D05B4A" w:rsidRDefault="00FE0F18">
            <w:pPr>
              <w:jc w:val="center"/>
            </w:pPr>
            <w:r>
              <w:rPr>
                <w:color w:val="000000"/>
                <w:sz w:val="24"/>
                <w:szCs w:val="24"/>
              </w:rPr>
              <w:t>1</w:t>
            </w:r>
          </w:p>
        </w:tc>
        <w:tc>
          <w:tcPr>
            <w:tcW w:w="1356" w:type="dxa"/>
            <w:vAlign w:val="center"/>
          </w:tcPr>
          <w:p w:rsidR="00D05B4A" w:rsidRDefault="00FE0F18">
            <w:pPr>
              <w:jc w:val="center"/>
            </w:pPr>
            <w:r>
              <w:rPr>
                <w:color w:val="000000"/>
                <w:sz w:val="24"/>
                <w:szCs w:val="24"/>
              </w:rPr>
              <w:t>600967</w:t>
            </w:r>
          </w:p>
        </w:tc>
        <w:tc>
          <w:tcPr>
            <w:tcW w:w="1355" w:type="dxa"/>
            <w:vAlign w:val="center"/>
          </w:tcPr>
          <w:p w:rsidR="00D05B4A" w:rsidRDefault="00FE0F18">
            <w:pPr>
              <w:jc w:val="center"/>
            </w:pPr>
            <w:r>
              <w:rPr>
                <w:color w:val="000000"/>
                <w:sz w:val="24"/>
                <w:szCs w:val="24"/>
              </w:rPr>
              <w:t>北方创业</w:t>
            </w:r>
          </w:p>
        </w:tc>
        <w:tc>
          <w:tcPr>
            <w:tcW w:w="1880" w:type="dxa"/>
            <w:vAlign w:val="center"/>
          </w:tcPr>
          <w:p w:rsidR="00D05B4A" w:rsidRDefault="00FE0F18">
            <w:pPr>
              <w:jc w:val="right"/>
            </w:pPr>
            <w:r>
              <w:rPr>
                <w:color w:val="000000"/>
                <w:sz w:val="24"/>
                <w:szCs w:val="24"/>
              </w:rPr>
              <w:t>19,298,739.44</w:t>
            </w:r>
          </w:p>
        </w:tc>
        <w:tc>
          <w:tcPr>
            <w:tcW w:w="1724" w:type="dxa"/>
            <w:vAlign w:val="center"/>
          </w:tcPr>
          <w:p w:rsidR="00D05B4A" w:rsidRDefault="00FE0F18">
            <w:pPr>
              <w:jc w:val="right"/>
            </w:pPr>
            <w:r>
              <w:rPr>
                <w:color w:val="000000"/>
                <w:sz w:val="24"/>
                <w:szCs w:val="24"/>
              </w:rPr>
              <w:t>13.33</w:t>
            </w:r>
          </w:p>
        </w:tc>
        <w:tc>
          <w:tcPr>
            <w:tcW w:w="1424" w:type="dxa"/>
            <w:vAlign w:val="center"/>
          </w:tcPr>
          <w:p w:rsidR="00D05B4A" w:rsidRDefault="00FE0F18">
            <w:pPr>
              <w:jc w:val="right"/>
            </w:pPr>
            <w:r>
              <w:rPr>
                <w:color w:val="000000"/>
                <w:sz w:val="24"/>
                <w:szCs w:val="24"/>
              </w:rPr>
              <w:t>重大事项</w:t>
            </w:r>
          </w:p>
        </w:tc>
      </w:tr>
      <w:tr w:rsidR="00D05B4A">
        <w:trPr>
          <w:jc w:val="center"/>
        </w:trPr>
        <w:tc>
          <w:tcPr>
            <w:tcW w:w="1129" w:type="dxa"/>
            <w:vAlign w:val="center"/>
          </w:tcPr>
          <w:p w:rsidR="00D05B4A" w:rsidRDefault="00FE0F18">
            <w:pPr>
              <w:jc w:val="center"/>
            </w:pPr>
            <w:r>
              <w:rPr>
                <w:color w:val="000000"/>
                <w:sz w:val="24"/>
                <w:szCs w:val="24"/>
              </w:rPr>
              <w:t>2</w:t>
            </w:r>
          </w:p>
        </w:tc>
        <w:tc>
          <w:tcPr>
            <w:tcW w:w="1356" w:type="dxa"/>
            <w:vAlign w:val="center"/>
          </w:tcPr>
          <w:p w:rsidR="00D05B4A" w:rsidRDefault="00FE0F18">
            <w:pPr>
              <w:jc w:val="center"/>
            </w:pPr>
            <w:r>
              <w:rPr>
                <w:color w:val="000000"/>
                <w:sz w:val="24"/>
                <w:szCs w:val="24"/>
              </w:rPr>
              <w:t>600763</w:t>
            </w:r>
          </w:p>
        </w:tc>
        <w:tc>
          <w:tcPr>
            <w:tcW w:w="1355" w:type="dxa"/>
            <w:vAlign w:val="center"/>
          </w:tcPr>
          <w:p w:rsidR="00D05B4A" w:rsidRDefault="00FE0F18">
            <w:pPr>
              <w:jc w:val="center"/>
            </w:pPr>
            <w:r>
              <w:rPr>
                <w:color w:val="000000"/>
                <w:sz w:val="24"/>
                <w:szCs w:val="24"/>
              </w:rPr>
              <w:t>通策医疗</w:t>
            </w:r>
          </w:p>
        </w:tc>
        <w:tc>
          <w:tcPr>
            <w:tcW w:w="1880" w:type="dxa"/>
            <w:vAlign w:val="center"/>
          </w:tcPr>
          <w:p w:rsidR="00D05B4A" w:rsidRDefault="00FE0F18">
            <w:pPr>
              <w:jc w:val="right"/>
            </w:pPr>
            <w:r>
              <w:rPr>
                <w:color w:val="000000"/>
                <w:sz w:val="24"/>
                <w:szCs w:val="24"/>
              </w:rPr>
              <w:t>16,673,169.40</w:t>
            </w:r>
          </w:p>
        </w:tc>
        <w:tc>
          <w:tcPr>
            <w:tcW w:w="1724" w:type="dxa"/>
            <w:vAlign w:val="center"/>
          </w:tcPr>
          <w:p w:rsidR="00D05B4A" w:rsidRDefault="00FE0F18">
            <w:pPr>
              <w:jc w:val="right"/>
            </w:pPr>
            <w:r>
              <w:rPr>
                <w:color w:val="000000"/>
                <w:sz w:val="24"/>
                <w:szCs w:val="24"/>
              </w:rPr>
              <w:t>11.51</w:t>
            </w:r>
          </w:p>
        </w:tc>
        <w:tc>
          <w:tcPr>
            <w:tcW w:w="1424" w:type="dxa"/>
            <w:vAlign w:val="center"/>
          </w:tcPr>
          <w:p w:rsidR="00D05B4A" w:rsidRDefault="00FE0F18">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109,433,020.21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27,125,710.03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55,487,452.27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81,071,277.97</w:t>
            </w:r>
          </w:p>
        </w:tc>
      </w:tr>
    </w:tbl>
    <w:p w:rsidR="00D05B4A" w:rsidRDefault="00FE0F1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6E6726">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D05B4A" w:rsidRDefault="00FE0F1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、中国证监会批准交银施罗德成长</w:t>
      </w:r>
      <w:r>
        <w:rPr>
          <w:color w:val="000000"/>
          <w:sz w:val="24"/>
          <w:szCs w:val="24"/>
        </w:rPr>
        <w:t>30</w:t>
      </w:r>
      <w:r>
        <w:rPr>
          <w:color w:val="000000"/>
          <w:sz w:val="24"/>
          <w:szCs w:val="24"/>
        </w:rPr>
        <w:t>股票型证券投资基金募集的文件；</w:t>
      </w:r>
      <w:r>
        <w:rPr>
          <w:color w:val="000000"/>
          <w:sz w:val="24"/>
          <w:szCs w:val="24"/>
        </w:rPr>
        <w:t xml:space="preserve"> </w:t>
      </w:r>
    </w:p>
    <w:p w:rsidR="00D05B4A" w:rsidRDefault="00FE0F1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、《交银施罗德成长</w:t>
      </w:r>
      <w:r>
        <w:rPr>
          <w:color w:val="000000"/>
          <w:sz w:val="24"/>
          <w:szCs w:val="24"/>
        </w:rPr>
        <w:t>30</w:t>
      </w:r>
      <w:r>
        <w:rPr>
          <w:color w:val="000000"/>
          <w:sz w:val="24"/>
          <w:szCs w:val="24"/>
        </w:rPr>
        <w:t>股票型证券投资基金基金合同》；</w:t>
      </w:r>
      <w:r>
        <w:rPr>
          <w:color w:val="000000"/>
          <w:sz w:val="24"/>
          <w:szCs w:val="24"/>
        </w:rPr>
        <w:t xml:space="preserve"> </w:t>
      </w:r>
    </w:p>
    <w:p w:rsidR="00D05B4A" w:rsidRDefault="00FE0F1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、《交银施罗德成长</w:t>
      </w:r>
      <w:r>
        <w:rPr>
          <w:color w:val="000000"/>
          <w:sz w:val="24"/>
          <w:szCs w:val="24"/>
        </w:rPr>
        <w:t>30</w:t>
      </w:r>
      <w:r>
        <w:rPr>
          <w:color w:val="000000"/>
          <w:sz w:val="24"/>
          <w:szCs w:val="24"/>
        </w:rPr>
        <w:t>股票型证券投资基金招募说明书》；</w:t>
      </w:r>
      <w:r>
        <w:rPr>
          <w:color w:val="000000"/>
          <w:sz w:val="24"/>
          <w:szCs w:val="24"/>
        </w:rPr>
        <w:t xml:space="preserve"> </w:t>
      </w:r>
    </w:p>
    <w:p w:rsidR="00D05B4A" w:rsidRDefault="00FE0F1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、《交银施罗德成长</w:t>
      </w:r>
      <w:r>
        <w:rPr>
          <w:color w:val="000000"/>
          <w:sz w:val="24"/>
          <w:szCs w:val="24"/>
        </w:rPr>
        <w:t>30</w:t>
      </w:r>
      <w:r>
        <w:rPr>
          <w:color w:val="000000"/>
          <w:sz w:val="24"/>
          <w:szCs w:val="24"/>
        </w:rPr>
        <w:t>股票型证券投资基金托管协议》；</w:t>
      </w:r>
      <w:r>
        <w:rPr>
          <w:color w:val="000000"/>
          <w:sz w:val="24"/>
          <w:szCs w:val="24"/>
        </w:rPr>
        <w:t xml:space="preserve"> </w:t>
      </w:r>
    </w:p>
    <w:p w:rsidR="00D05B4A" w:rsidRDefault="00FE0F18">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、关于募集交银施罗德成长</w:t>
      </w:r>
      <w:r>
        <w:rPr>
          <w:color w:val="000000"/>
          <w:sz w:val="24"/>
          <w:szCs w:val="24"/>
        </w:rPr>
        <w:t>30</w:t>
      </w:r>
      <w:r>
        <w:rPr>
          <w:color w:val="000000"/>
          <w:sz w:val="24"/>
          <w:szCs w:val="24"/>
        </w:rPr>
        <w:t>股票型证券投资基金之法律意见书；</w:t>
      </w:r>
      <w:r>
        <w:rPr>
          <w:color w:val="000000"/>
          <w:sz w:val="24"/>
          <w:szCs w:val="24"/>
        </w:rPr>
        <w:t xml:space="preserve"> </w:t>
      </w:r>
    </w:p>
    <w:p w:rsidR="00D05B4A" w:rsidRDefault="00FE0F1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D05B4A" w:rsidRDefault="00FE0F1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、报告期内交银施罗德成长</w:t>
      </w:r>
      <w:r w:rsidRPr="00414345">
        <w:rPr>
          <w:color w:val="000000"/>
          <w:sz w:val="24"/>
          <w:szCs w:val="24"/>
        </w:rPr>
        <w:t>30</w:t>
      </w:r>
      <w:r w:rsidRPr="00414345">
        <w:rPr>
          <w:color w:val="000000"/>
          <w:sz w:val="24"/>
          <w:szCs w:val="24"/>
        </w:rPr>
        <w:t>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D05B4A" w:rsidRDefault="00FE0F1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F18" w:rsidRDefault="00FE0F18" w:rsidP="00876D65">
      <w:r>
        <w:separator/>
      </w:r>
    </w:p>
  </w:endnote>
  <w:endnote w:type="continuationSeparator" w:id="0">
    <w:p w:rsidR="00FE0F18" w:rsidRDefault="00FE0F1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821235">
      <w:rPr>
        <w:kern w:val="0"/>
        <w:szCs w:val="21"/>
      </w:rPr>
      <w:fldChar w:fldCharType="begin"/>
    </w:r>
    <w:r>
      <w:rPr>
        <w:kern w:val="0"/>
        <w:szCs w:val="21"/>
      </w:rPr>
      <w:instrText xml:space="preserve"> PAGE </w:instrText>
    </w:r>
    <w:r w:rsidR="00821235">
      <w:rPr>
        <w:kern w:val="0"/>
        <w:szCs w:val="21"/>
      </w:rPr>
      <w:fldChar w:fldCharType="separate"/>
    </w:r>
    <w:r w:rsidR="00A05172">
      <w:rPr>
        <w:noProof/>
        <w:kern w:val="0"/>
        <w:szCs w:val="21"/>
      </w:rPr>
      <w:t>5</w:t>
    </w:r>
    <w:r w:rsidR="00821235">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821235">
      <w:rPr>
        <w:kern w:val="0"/>
        <w:szCs w:val="21"/>
      </w:rPr>
      <w:fldChar w:fldCharType="begin"/>
    </w:r>
    <w:r>
      <w:rPr>
        <w:kern w:val="0"/>
        <w:szCs w:val="21"/>
      </w:rPr>
      <w:instrText xml:space="preserve"> NUMPAGES </w:instrText>
    </w:r>
    <w:r w:rsidR="00821235">
      <w:rPr>
        <w:kern w:val="0"/>
        <w:szCs w:val="21"/>
      </w:rPr>
      <w:fldChar w:fldCharType="separate"/>
    </w:r>
    <w:r w:rsidR="00A05172">
      <w:rPr>
        <w:noProof/>
        <w:kern w:val="0"/>
        <w:szCs w:val="21"/>
      </w:rPr>
      <w:t>11</w:t>
    </w:r>
    <w:r w:rsidR="00821235">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F18" w:rsidRDefault="00FE0F18" w:rsidP="00876D65">
      <w:r>
        <w:separator/>
      </w:r>
    </w:p>
  </w:footnote>
  <w:footnote w:type="continuationSeparator" w:id="0">
    <w:p w:rsidR="00FE0F18" w:rsidRDefault="00FE0F1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05172"/>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05B4A"/>
    <w:rsid w:val="00D1116B"/>
    <w:rsid w:val="00D13737"/>
    <w:rsid w:val="00D1638E"/>
    <w:rsid w:val="00D2061C"/>
    <w:rsid w:val="00D21FFF"/>
    <w:rsid w:val="00D2206B"/>
    <w:rsid w:val="00D272A5"/>
    <w:rsid w:val="00D32B2B"/>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0F18"/>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F6F0545-2CC3-4FE3-BAC0-4711286FD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5A0CA-07D1-4C28-AFFC-BADD81A8B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11</Pages>
  <Words>956</Words>
  <Characters>5451</Characters>
  <Application>Microsoft Office Word</Application>
  <DocSecurity>0</DocSecurity>
  <Lines>45</Lines>
  <Paragraphs>12</Paragraphs>
  <ScaleCrop>false</ScaleCrop>
  <Company/>
  <LinksUpToDate>false</LinksUpToDate>
  <CharactersWithSpaces>6395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560</cp:revision>
  <dcterms:created xsi:type="dcterms:W3CDTF">2012-10-16T06:07:00Z</dcterms:created>
  <dcterms:modified xsi:type="dcterms:W3CDTF">2015-07-15T06:22:00Z</dcterms:modified>
</cp:coreProperties>
</file>