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交银施罗德沪深</w:t>
      </w:r>
      <w:r w:rsidRPr="00BD3DFE">
        <w:rPr>
          <w:b/>
          <w:sz w:val="36"/>
          <w:szCs w:val="36"/>
        </w:rPr>
        <w:t>300</w:t>
      </w:r>
      <w:r w:rsidRPr="00BD3DFE">
        <w:rPr>
          <w:b/>
          <w:sz w:val="36"/>
          <w:szCs w:val="36"/>
        </w:rPr>
        <w:t>行业分层等权重指数证券投资基金</w:t>
      </w:r>
    </w:p>
    <w:p w:rsidR="008D7EF7" w:rsidRPr="00BD3DFE" w:rsidRDefault="008D7EF7" w:rsidP="0099526C">
      <w:pPr>
        <w:spacing w:before="29" w:line="288" w:lineRule="auto"/>
        <w:jc w:val="center"/>
        <w:rPr>
          <w:b/>
          <w:sz w:val="36"/>
          <w:szCs w:val="36"/>
        </w:rPr>
      </w:pPr>
      <w:r w:rsidRPr="00BD3DFE">
        <w:rPr>
          <w:b/>
          <w:sz w:val="36"/>
          <w:szCs w:val="36"/>
        </w:rPr>
        <w:t>2015</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2015</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中国建设银行股份有限公司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8"/>
          <w:footerReference w:type="default" r:id="rId9"/>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二〇一五年七月十八日</w:t>
      </w:r>
    </w:p>
    <w:p w:rsidR="00220542" w:rsidRPr="0036023B" w:rsidRDefault="00220542" w:rsidP="0096025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000567" w:rsidRDefault="00382AB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00567" w:rsidRDefault="00382AB6">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00567" w:rsidRDefault="00382AB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00567" w:rsidRDefault="00382AB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00567" w:rsidRDefault="00382AB6">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2015</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gridSpan w:val="2"/>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交银沪深</w:t>
            </w:r>
            <w:r w:rsidRPr="0036023B">
              <w:rPr>
                <w:color w:val="000000"/>
                <w:kern w:val="0"/>
                <w:sz w:val="24"/>
              </w:rPr>
              <w:t>300</w:t>
            </w:r>
            <w:r w:rsidRPr="0036023B">
              <w:rPr>
                <w:color w:val="000000"/>
                <w:kern w:val="0"/>
                <w:sz w:val="24"/>
              </w:rPr>
              <w:t>分层等权指数</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519714</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color w:val="000000"/>
                <w:kern w:val="0"/>
                <w:sz w:val="24"/>
              </w:rPr>
            </w:pPr>
            <w:r w:rsidRPr="0036023B">
              <w:rPr>
                <w:color w:val="000000"/>
                <w:kern w:val="0"/>
                <w:sz w:val="24"/>
              </w:rPr>
              <w:t>519714</w:t>
            </w:r>
            <w:r w:rsidR="00CA6E44" w:rsidRPr="0036023B">
              <w:rPr>
                <w:color w:val="000000"/>
                <w:kern w:val="0"/>
                <w:sz w:val="24"/>
              </w:rPr>
              <w:t>(</w:t>
            </w:r>
            <w:r w:rsidR="00CA6E44" w:rsidRPr="0036023B">
              <w:rPr>
                <w:color w:val="000000"/>
                <w:kern w:val="0"/>
                <w:sz w:val="24"/>
              </w:rPr>
              <w:t>前端</w:t>
            </w:r>
            <w:r w:rsidR="00CA6E44" w:rsidRPr="0036023B">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color w:val="000000"/>
                <w:kern w:val="0"/>
                <w:sz w:val="24"/>
              </w:rPr>
            </w:pPr>
            <w:r w:rsidRPr="0036023B">
              <w:rPr>
                <w:color w:val="000000"/>
                <w:kern w:val="0"/>
                <w:sz w:val="24"/>
              </w:rPr>
              <w:t>519715</w:t>
            </w:r>
            <w:r w:rsidR="00CA6E44" w:rsidRPr="0036023B">
              <w:rPr>
                <w:color w:val="000000"/>
                <w:kern w:val="0"/>
                <w:sz w:val="24"/>
              </w:rPr>
              <w:t>(</w:t>
            </w:r>
            <w:r w:rsidR="00CA6E44" w:rsidRPr="0036023B">
              <w:rPr>
                <w:color w:val="000000"/>
                <w:kern w:val="0"/>
                <w:sz w:val="24"/>
              </w:rPr>
              <w:t>后端</w:t>
            </w:r>
            <w:r w:rsidR="00CA6E44"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9,343,854.14</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本基金为指数型基金，绝大部分资产采用完全复制标的指数的方法跟踪标的指数，即按照成份股在沪深</w:t>
            </w:r>
            <w:r w:rsidRPr="0036023B">
              <w:rPr>
                <w:color w:val="000000"/>
                <w:kern w:val="0"/>
                <w:sz w:val="24"/>
              </w:rPr>
              <w:t>300</w:t>
            </w:r>
            <w:r w:rsidRPr="0036023B">
              <w:rPr>
                <w:color w:val="000000"/>
                <w:kern w:val="0"/>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w:t>
            </w:r>
            <w:r w:rsidRPr="0036023B">
              <w:rPr>
                <w:color w:val="000000"/>
                <w:kern w:val="0"/>
                <w:sz w:val="24"/>
              </w:rPr>
              <w:lastRenderedPageBreak/>
              <w:t>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沪深</w:t>
            </w:r>
            <w:r w:rsidRPr="0036023B">
              <w:rPr>
                <w:color w:val="000000"/>
                <w:kern w:val="0"/>
                <w:sz w:val="24"/>
              </w:rPr>
              <w:t>300</w:t>
            </w:r>
            <w:r w:rsidRPr="0036023B">
              <w:rPr>
                <w:color w:val="000000"/>
                <w:kern w:val="0"/>
                <w:sz w:val="24"/>
              </w:rPr>
              <w:t>行业分层等权重指数收益率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中国建设银行股份有限公司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30D4E" w:rsidRPr="0036023B" w:rsidTr="00D30D4E">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(2015</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-2015</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D30D4E" w:rsidRPr="0036023B" w:rsidTr="00D30D4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4,971,208.84</w:t>
            </w:r>
          </w:p>
        </w:tc>
      </w:tr>
      <w:tr w:rsidR="00D30D4E" w:rsidRPr="0036023B" w:rsidTr="00D30D4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2,703,145.57</w:t>
            </w:r>
          </w:p>
        </w:tc>
      </w:tr>
      <w:tr w:rsidR="00D30D4E" w:rsidRPr="0036023B" w:rsidTr="00D30D4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0.2993</w:t>
            </w:r>
          </w:p>
        </w:tc>
      </w:tr>
      <w:tr w:rsidR="00D30D4E" w:rsidRPr="0036023B" w:rsidTr="00D30D4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9,343,854.14</w:t>
            </w:r>
          </w:p>
        </w:tc>
      </w:tr>
      <w:tr w:rsidR="00D30D4E" w:rsidRPr="0036023B" w:rsidTr="00D30D4E">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1.000</w:t>
            </w:r>
          </w:p>
        </w:tc>
      </w:tr>
    </w:tbl>
    <w:p w:rsidR="00000567" w:rsidRDefault="00382AB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Default="000820A8" w:rsidP="00583214">
      <w:pPr>
        <w:autoSpaceDE w:val="0"/>
        <w:autoSpaceDN w:val="0"/>
        <w:adjustRightInd w:val="0"/>
        <w:spacing w:before="29" w:line="288" w:lineRule="auto"/>
        <w:ind w:firstLine="480"/>
        <w:jc w:val="left"/>
        <w:rPr>
          <w:color w:val="000000"/>
          <w:sz w:val="24"/>
        </w:rPr>
      </w:pPr>
      <w:r w:rsidRPr="0036023B">
        <w:rPr>
          <w:color w:val="000000"/>
          <w:sz w:val="24"/>
        </w:rPr>
        <w:t>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115B3C" w:rsidRPr="001631F8" w:rsidRDefault="00115B3C" w:rsidP="00115B3C">
      <w:pPr>
        <w:autoSpaceDE w:val="0"/>
        <w:autoSpaceDN w:val="0"/>
        <w:adjustRightInd w:val="0"/>
        <w:spacing w:before="29" w:line="288" w:lineRule="auto"/>
        <w:ind w:firstLine="480"/>
        <w:jc w:val="left"/>
        <w:rPr>
          <w:color w:val="000000"/>
          <w:sz w:val="24"/>
        </w:rPr>
      </w:pPr>
      <w:r>
        <w:rPr>
          <w:color w:val="000000"/>
          <w:sz w:val="24"/>
        </w:rPr>
        <w:t>3</w:t>
      </w:r>
      <w:r>
        <w:rPr>
          <w:rFonts w:hint="eastAsia"/>
          <w:color w:val="000000"/>
          <w:sz w:val="24"/>
        </w:rPr>
        <w:t>、</w:t>
      </w:r>
      <w:r w:rsidRPr="001631F8">
        <w:rPr>
          <w:rFonts w:hint="eastAsia"/>
          <w:color w:val="000000"/>
          <w:sz w:val="24"/>
        </w:rPr>
        <w:t>根据本基金转型方案实施安排，以</w:t>
      </w:r>
      <w:r w:rsidRPr="001631F8">
        <w:rPr>
          <w:rFonts w:hint="eastAsia"/>
          <w:color w:val="000000"/>
          <w:sz w:val="24"/>
        </w:rPr>
        <w:t>2015</w:t>
      </w:r>
      <w:r w:rsidRPr="001631F8">
        <w:rPr>
          <w:rFonts w:hint="eastAsia"/>
          <w:color w:val="000000"/>
          <w:sz w:val="24"/>
        </w:rPr>
        <w:t>年</w:t>
      </w:r>
      <w:r w:rsidRPr="001631F8">
        <w:rPr>
          <w:rFonts w:hint="eastAsia"/>
          <w:color w:val="000000"/>
          <w:sz w:val="24"/>
        </w:rPr>
        <w:t>6</w:t>
      </w:r>
      <w:r w:rsidRPr="001631F8">
        <w:rPr>
          <w:rFonts w:hint="eastAsia"/>
          <w:color w:val="000000"/>
          <w:sz w:val="24"/>
        </w:rPr>
        <w:t>月</w:t>
      </w:r>
      <w:r w:rsidRPr="001631F8">
        <w:rPr>
          <w:rFonts w:hint="eastAsia"/>
          <w:color w:val="000000"/>
          <w:sz w:val="24"/>
        </w:rPr>
        <w:t>30</w:t>
      </w:r>
      <w:r w:rsidRPr="001631F8">
        <w:rPr>
          <w:rFonts w:hint="eastAsia"/>
          <w:color w:val="000000"/>
          <w:sz w:val="24"/>
        </w:rPr>
        <w:t>日为转型基准日，基金管理人已对转型基准日登记在册的原交银施罗德沪深</w:t>
      </w:r>
      <w:r w:rsidRPr="001631F8">
        <w:rPr>
          <w:rFonts w:hint="eastAsia"/>
          <w:color w:val="000000"/>
          <w:sz w:val="24"/>
        </w:rPr>
        <w:t>300</w:t>
      </w:r>
      <w:r w:rsidRPr="001631F8">
        <w:rPr>
          <w:rFonts w:hint="eastAsia"/>
          <w:color w:val="000000"/>
          <w:sz w:val="24"/>
        </w:rPr>
        <w:t>行业分层等权重指数证券投资基金份额持有人计算其持有的基金资产及未结转收益，按照</w:t>
      </w:r>
      <w:r w:rsidRPr="001631F8">
        <w:rPr>
          <w:rFonts w:hint="eastAsia"/>
          <w:color w:val="000000"/>
          <w:sz w:val="24"/>
        </w:rPr>
        <w:t xml:space="preserve">1.00 </w:t>
      </w:r>
      <w:r w:rsidRPr="001631F8">
        <w:rPr>
          <w:rFonts w:hint="eastAsia"/>
          <w:color w:val="000000"/>
          <w:sz w:val="24"/>
        </w:rPr>
        <w:t>元的面值折算为交银施罗德消费新驱动股票型证券投资基金份额。</w:t>
      </w:r>
    </w:p>
    <w:p w:rsidR="00220542" w:rsidRPr="00115B3C"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5221F2">
        <w:trPr>
          <w:jc w:val="center"/>
        </w:trPr>
        <w:tc>
          <w:tcPr>
            <w:tcW w:w="146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150"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w:t>
            </w:r>
            <w:r w:rsidRPr="0036023B">
              <w:rPr>
                <w:color w:val="000000"/>
                <w:sz w:val="24"/>
              </w:rPr>
              <w:lastRenderedPageBreak/>
              <w:t>长率</w:t>
            </w:r>
            <w:r w:rsidRPr="0036023B">
              <w:rPr>
                <w:rFonts w:hAnsi="宋体"/>
                <w:color w:val="000000"/>
                <w:sz w:val="24"/>
              </w:rPr>
              <w:t>①</w:t>
            </w:r>
          </w:p>
        </w:tc>
        <w:tc>
          <w:tcPr>
            <w:tcW w:w="1223"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lastRenderedPageBreak/>
              <w:t>净值增长</w:t>
            </w:r>
            <w:r w:rsidRPr="0036023B">
              <w:rPr>
                <w:color w:val="000000"/>
                <w:sz w:val="24"/>
              </w:rPr>
              <w:lastRenderedPageBreak/>
              <w:t>率标准差</w:t>
            </w:r>
            <w:r w:rsidRPr="0036023B">
              <w:rPr>
                <w:rFonts w:hAnsi="宋体"/>
                <w:color w:val="000000"/>
                <w:sz w:val="24"/>
              </w:rPr>
              <w:t>②</w:t>
            </w:r>
          </w:p>
        </w:tc>
        <w:tc>
          <w:tcPr>
            <w:tcW w:w="124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lastRenderedPageBreak/>
              <w:t>业绩比较</w:t>
            </w:r>
            <w:r w:rsidRPr="0036023B">
              <w:rPr>
                <w:color w:val="000000"/>
                <w:sz w:val="24"/>
              </w:rPr>
              <w:lastRenderedPageBreak/>
              <w:t>基准收益率</w:t>
            </w:r>
            <w:r w:rsidRPr="0036023B">
              <w:rPr>
                <w:rFonts w:hAnsi="宋体"/>
                <w:color w:val="000000"/>
                <w:sz w:val="24"/>
              </w:rPr>
              <w:t>③</w:t>
            </w:r>
          </w:p>
        </w:tc>
        <w:tc>
          <w:tcPr>
            <w:tcW w:w="125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lastRenderedPageBreak/>
              <w:t>业绩比较</w:t>
            </w:r>
            <w:r w:rsidRPr="0036023B">
              <w:rPr>
                <w:color w:val="000000"/>
                <w:sz w:val="24"/>
              </w:rPr>
              <w:lastRenderedPageBreak/>
              <w:t>基准收益率标准差</w:t>
            </w:r>
            <w:r w:rsidRPr="0036023B">
              <w:rPr>
                <w:rFonts w:hAnsi="宋体"/>
                <w:color w:val="000000"/>
                <w:sz w:val="24"/>
              </w:rPr>
              <w:t>④</w:t>
            </w:r>
          </w:p>
        </w:tc>
        <w:tc>
          <w:tcPr>
            <w:tcW w:w="1263"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lastRenderedPageBreak/>
              <w:t>①</w:t>
            </w:r>
            <w:r w:rsidRPr="0036023B">
              <w:rPr>
                <w:color w:val="000000"/>
                <w:sz w:val="24"/>
              </w:rPr>
              <w:t>-</w:t>
            </w:r>
            <w:r w:rsidRPr="0036023B">
              <w:rPr>
                <w:rFonts w:hAnsi="宋体"/>
                <w:color w:val="000000"/>
                <w:sz w:val="24"/>
              </w:rPr>
              <w:t>③</w:t>
            </w:r>
          </w:p>
        </w:tc>
        <w:tc>
          <w:tcPr>
            <w:tcW w:w="126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5221F2">
        <w:trPr>
          <w:jc w:val="center"/>
        </w:trPr>
        <w:tc>
          <w:tcPr>
            <w:tcW w:w="1469" w:type="dxa"/>
            <w:vAlign w:val="center"/>
          </w:tcPr>
          <w:p w:rsidR="005221F2" w:rsidRPr="004D7C8A" w:rsidRDefault="005221F2" w:rsidP="005221F2">
            <w:pPr>
              <w:jc w:val="left"/>
            </w:pPr>
            <w:r w:rsidRPr="004D7C8A">
              <w:rPr>
                <w:color w:val="000000"/>
                <w:sz w:val="24"/>
              </w:rPr>
              <w:lastRenderedPageBreak/>
              <w:t>过去三个月</w:t>
            </w:r>
          </w:p>
        </w:tc>
        <w:tc>
          <w:tcPr>
            <w:tcW w:w="1150" w:type="dxa"/>
            <w:vAlign w:val="center"/>
          </w:tcPr>
          <w:p w:rsidR="005221F2" w:rsidRPr="004D7C8A" w:rsidRDefault="005221F2">
            <w:pPr>
              <w:jc w:val="center"/>
            </w:pPr>
            <w:r w:rsidRPr="00583214">
              <w:rPr>
                <w:color w:val="000000"/>
                <w:sz w:val="24"/>
              </w:rPr>
              <w:t>11.</w:t>
            </w:r>
            <w:r w:rsidR="008A369D">
              <w:rPr>
                <w:color w:val="000000"/>
                <w:sz w:val="24"/>
              </w:rPr>
              <w:t>79</w:t>
            </w:r>
            <w:r w:rsidRPr="00583214">
              <w:rPr>
                <w:color w:val="000000"/>
                <w:sz w:val="24"/>
              </w:rPr>
              <w:t>%</w:t>
            </w:r>
          </w:p>
        </w:tc>
        <w:tc>
          <w:tcPr>
            <w:tcW w:w="1223" w:type="dxa"/>
            <w:vAlign w:val="center"/>
          </w:tcPr>
          <w:p w:rsidR="005221F2" w:rsidRPr="004D7C8A" w:rsidRDefault="005221F2" w:rsidP="005221F2">
            <w:pPr>
              <w:jc w:val="center"/>
            </w:pPr>
            <w:r w:rsidRPr="00583214">
              <w:rPr>
                <w:color w:val="000000"/>
                <w:sz w:val="24"/>
              </w:rPr>
              <w:t>2.63%</w:t>
            </w:r>
          </w:p>
        </w:tc>
        <w:tc>
          <w:tcPr>
            <w:tcW w:w="1244" w:type="dxa"/>
            <w:vAlign w:val="center"/>
          </w:tcPr>
          <w:p w:rsidR="005221F2" w:rsidRPr="004D7C8A" w:rsidRDefault="005221F2" w:rsidP="005221F2">
            <w:pPr>
              <w:jc w:val="center"/>
            </w:pPr>
            <w:r w:rsidRPr="00583214">
              <w:rPr>
                <w:color w:val="000000"/>
                <w:sz w:val="24"/>
              </w:rPr>
              <w:t>16.99%</w:t>
            </w:r>
          </w:p>
        </w:tc>
        <w:tc>
          <w:tcPr>
            <w:tcW w:w="1251" w:type="dxa"/>
            <w:vAlign w:val="center"/>
          </w:tcPr>
          <w:p w:rsidR="005221F2" w:rsidRPr="004D7C8A" w:rsidRDefault="005221F2" w:rsidP="005221F2">
            <w:pPr>
              <w:jc w:val="center"/>
            </w:pPr>
            <w:r w:rsidRPr="00583214">
              <w:rPr>
                <w:color w:val="000000"/>
                <w:sz w:val="24"/>
              </w:rPr>
              <w:t>2.62%</w:t>
            </w:r>
          </w:p>
        </w:tc>
        <w:tc>
          <w:tcPr>
            <w:tcW w:w="1263" w:type="dxa"/>
            <w:vAlign w:val="center"/>
          </w:tcPr>
          <w:p w:rsidR="005221F2" w:rsidRPr="004D7C8A" w:rsidRDefault="005221F2">
            <w:pPr>
              <w:jc w:val="center"/>
            </w:pPr>
            <w:r w:rsidRPr="00583214">
              <w:rPr>
                <w:color w:val="000000"/>
                <w:sz w:val="24"/>
              </w:rPr>
              <w:t>-5.</w:t>
            </w:r>
            <w:r w:rsidR="00D0583E">
              <w:rPr>
                <w:color w:val="000000"/>
                <w:sz w:val="24"/>
              </w:rPr>
              <w:t>20</w:t>
            </w:r>
            <w:r w:rsidRPr="00583214">
              <w:rPr>
                <w:color w:val="000000"/>
                <w:sz w:val="24"/>
              </w:rPr>
              <w:t>%</w:t>
            </w:r>
          </w:p>
        </w:tc>
        <w:tc>
          <w:tcPr>
            <w:tcW w:w="1268" w:type="dxa"/>
            <w:vAlign w:val="center"/>
          </w:tcPr>
          <w:p w:rsidR="005221F2" w:rsidRPr="004D7C8A" w:rsidRDefault="005221F2" w:rsidP="005221F2">
            <w:pPr>
              <w:jc w:val="center"/>
            </w:pPr>
            <w:r w:rsidRPr="00583214">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交银施罗德沪深</w:t>
      </w:r>
      <w:r w:rsidRPr="0036023B">
        <w:rPr>
          <w:sz w:val="24"/>
        </w:rPr>
        <w:t>300</w:t>
      </w:r>
      <w:r w:rsidRPr="0036023B">
        <w:rPr>
          <w:sz w:val="24"/>
        </w:rPr>
        <w:t>行业分层等权重指数证券投资基金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2012</w:t>
      </w:r>
      <w:r w:rsidR="005C0A04" w:rsidRPr="0036023B">
        <w:rPr>
          <w:color w:val="000000"/>
          <w:kern w:val="0"/>
          <w:sz w:val="24"/>
        </w:rPr>
        <w:t>年</w:t>
      </w:r>
      <w:r w:rsidR="005C0A04" w:rsidRPr="0036023B">
        <w:rPr>
          <w:color w:val="000000"/>
          <w:kern w:val="0"/>
          <w:sz w:val="24"/>
        </w:rPr>
        <w:t>11</w:t>
      </w:r>
      <w:r w:rsidR="005C0A04" w:rsidRPr="0036023B">
        <w:rPr>
          <w:color w:val="000000"/>
          <w:kern w:val="0"/>
          <w:sz w:val="24"/>
        </w:rPr>
        <w:t>月</w:t>
      </w:r>
      <w:r w:rsidR="005C0A04" w:rsidRPr="0036023B">
        <w:rPr>
          <w:color w:val="000000"/>
          <w:kern w:val="0"/>
          <w:sz w:val="24"/>
        </w:rPr>
        <w:t>7</w:t>
      </w:r>
      <w:r w:rsidR="005C0A04" w:rsidRPr="0036023B">
        <w:rPr>
          <w:color w:val="000000"/>
          <w:kern w:val="0"/>
          <w:sz w:val="24"/>
        </w:rPr>
        <w:t>日</w:t>
      </w:r>
      <w:r w:rsidRPr="0036023B">
        <w:rPr>
          <w:color w:val="000000"/>
          <w:kern w:val="0"/>
          <w:sz w:val="24"/>
        </w:rPr>
        <w:t>至</w:t>
      </w:r>
      <w:r w:rsidRPr="0036023B">
        <w:rPr>
          <w:color w:val="000000"/>
          <w:kern w:val="0"/>
          <w:sz w:val="24"/>
        </w:rPr>
        <w:t>2015</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B62F4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rsidR="006C1D5C" w:rsidRPr="0036023B" w:rsidRDefault="006C1D5C" w:rsidP="00583214">
      <w:pPr>
        <w:autoSpaceDE w:val="0"/>
        <w:autoSpaceDN w:val="0"/>
        <w:adjustRightInd w:val="0"/>
        <w:spacing w:before="29" w:line="288" w:lineRule="auto"/>
        <w:jc w:val="left"/>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000567">
        <w:trPr>
          <w:jc w:val="center"/>
        </w:trPr>
        <w:tc>
          <w:tcPr>
            <w:tcW w:w="846" w:type="dxa"/>
            <w:vAlign w:val="center"/>
          </w:tcPr>
          <w:p w:rsidR="00000567" w:rsidRDefault="00382AB6">
            <w:pPr>
              <w:jc w:val="center"/>
            </w:pPr>
            <w:r>
              <w:rPr>
                <w:color w:val="000000"/>
                <w:sz w:val="24"/>
              </w:rPr>
              <w:t>蔡铮</w:t>
            </w:r>
          </w:p>
        </w:tc>
        <w:tc>
          <w:tcPr>
            <w:tcW w:w="845" w:type="dxa"/>
            <w:vAlign w:val="center"/>
          </w:tcPr>
          <w:p w:rsidR="00000567" w:rsidRDefault="00382AB6">
            <w:pPr>
              <w:jc w:val="center"/>
            </w:pPr>
            <w:r>
              <w:rPr>
                <w:color w:val="000000"/>
                <w:sz w:val="24"/>
              </w:rPr>
              <w:t>本基金、交银环球精选股票</w:t>
            </w:r>
            <w:r w:rsidR="00B62F49">
              <w:rPr>
                <w:rFonts w:hint="eastAsia"/>
                <w:color w:val="000000"/>
                <w:sz w:val="24"/>
              </w:rPr>
              <w:t>基金</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及其联接基金、</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及其联接基金、交</w:t>
            </w:r>
            <w:proofErr w:type="gramStart"/>
            <w:r>
              <w:rPr>
                <w:color w:val="000000"/>
                <w:sz w:val="24"/>
              </w:rPr>
              <w:t>银全球</w:t>
            </w:r>
            <w:proofErr w:type="gramEnd"/>
            <w:r>
              <w:rPr>
                <w:color w:val="000000"/>
                <w:sz w:val="24"/>
              </w:rPr>
              <w:t>资源股票</w:t>
            </w:r>
            <w:r w:rsidR="00B62F49">
              <w:rPr>
                <w:rFonts w:hint="eastAsia"/>
                <w:color w:val="000000"/>
                <w:sz w:val="24"/>
              </w:rPr>
              <w:t>基金</w:t>
            </w:r>
            <w:r>
              <w:rPr>
                <w:color w:val="000000"/>
                <w:sz w:val="24"/>
              </w:rPr>
              <w:t>(QDII)</w:t>
            </w:r>
            <w:r>
              <w:rPr>
                <w:color w:val="000000"/>
                <w:sz w:val="24"/>
              </w:rPr>
              <w:t>、交</w:t>
            </w:r>
            <w:proofErr w:type="gramStart"/>
            <w:r>
              <w:rPr>
                <w:color w:val="000000"/>
                <w:sz w:val="24"/>
              </w:rPr>
              <w:t>银国证新能源</w:t>
            </w:r>
            <w:proofErr w:type="gramEnd"/>
            <w:r>
              <w:rPr>
                <w:color w:val="000000"/>
                <w:sz w:val="24"/>
              </w:rPr>
              <w:t>指数分级基金、交银中</w:t>
            </w:r>
            <w:proofErr w:type="gramStart"/>
            <w:r>
              <w:rPr>
                <w:color w:val="000000"/>
                <w:sz w:val="24"/>
              </w:rPr>
              <w:t>证海外</w:t>
            </w:r>
            <w:proofErr w:type="gramEnd"/>
            <w:r>
              <w:rPr>
                <w:color w:val="000000"/>
                <w:sz w:val="24"/>
              </w:rPr>
              <w:t>中国互联网指数基金（</w:t>
            </w:r>
            <w:r>
              <w:rPr>
                <w:color w:val="000000"/>
                <w:sz w:val="24"/>
              </w:rPr>
              <w:t>QDII-LOF)</w:t>
            </w:r>
            <w:r>
              <w:rPr>
                <w:color w:val="000000"/>
                <w:sz w:val="24"/>
              </w:rPr>
              <w:t>、交银中证互联网金融指数分级基金的基金经理，公司量化投资部助理总经理</w:t>
            </w:r>
          </w:p>
        </w:tc>
        <w:tc>
          <w:tcPr>
            <w:tcW w:w="1549" w:type="dxa"/>
            <w:vAlign w:val="center"/>
          </w:tcPr>
          <w:p w:rsidR="00000567" w:rsidRDefault="00382AB6">
            <w:pPr>
              <w:jc w:val="center"/>
            </w:pPr>
            <w:r>
              <w:rPr>
                <w:color w:val="000000"/>
                <w:sz w:val="24"/>
              </w:rPr>
              <w:t>2012-12-27</w:t>
            </w:r>
          </w:p>
        </w:tc>
        <w:tc>
          <w:tcPr>
            <w:tcW w:w="1548" w:type="dxa"/>
            <w:vAlign w:val="center"/>
          </w:tcPr>
          <w:p w:rsidR="00000567" w:rsidRDefault="00382AB6">
            <w:pPr>
              <w:jc w:val="center"/>
            </w:pPr>
            <w:r>
              <w:rPr>
                <w:color w:val="000000"/>
                <w:sz w:val="24"/>
              </w:rPr>
              <w:t>-</w:t>
            </w:r>
          </w:p>
        </w:tc>
        <w:tc>
          <w:tcPr>
            <w:tcW w:w="1407" w:type="dxa"/>
            <w:vAlign w:val="center"/>
          </w:tcPr>
          <w:p w:rsidR="00000567" w:rsidRDefault="00382AB6">
            <w:pPr>
              <w:jc w:val="center"/>
            </w:pPr>
            <w:r>
              <w:rPr>
                <w:color w:val="000000"/>
                <w:sz w:val="24"/>
              </w:rPr>
              <w:t>6</w:t>
            </w:r>
            <w:r>
              <w:rPr>
                <w:color w:val="000000"/>
                <w:sz w:val="24"/>
              </w:rPr>
              <w:t>年</w:t>
            </w:r>
          </w:p>
        </w:tc>
        <w:tc>
          <w:tcPr>
            <w:tcW w:w="2673" w:type="dxa"/>
            <w:vAlign w:val="center"/>
          </w:tcPr>
          <w:p w:rsidR="00000567" w:rsidRDefault="00382AB6">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Default="000820A8" w:rsidP="0099526C">
      <w:pPr>
        <w:autoSpaceDE w:val="0"/>
        <w:autoSpaceDN w:val="0"/>
        <w:adjustRightInd w:val="0"/>
        <w:spacing w:before="29" w:line="288" w:lineRule="auto"/>
        <w:jc w:val="left"/>
        <w:rPr>
          <w:color w:val="000000"/>
          <w:sz w:val="24"/>
        </w:rPr>
      </w:pPr>
      <w:r w:rsidRPr="0036023B">
        <w:rPr>
          <w:color w:val="000000"/>
          <w:sz w:val="24"/>
        </w:rPr>
        <w:t>注：</w:t>
      </w:r>
      <w:r w:rsidR="00D30D4E">
        <w:rPr>
          <w:rFonts w:hint="eastAsia"/>
          <w:color w:val="000000"/>
          <w:sz w:val="24"/>
        </w:rPr>
        <w:t>1</w:t>
      </w:r>
      <w:r w:rsidR="00D30D4E">
        <w:rPr>
          <w:rFonts w:hint="eastAsia"/>
          <w:color w:val="000000"/>
          <w:sz w:val="24"/>
        </w:rPr>
        <w:t>、</w:t>
      </w:r>
      <w:r w:rsidRPr="0036023B">
        <w:rPr>
          <w:color w:val="000000"/>
          <w:sz w:val="24"/>
        </w:rPr>
        <w:t>2015</w:t>
      </w:r>
      <w:r w:rsidRPr="0036023B">
        <w:rPr>
          <w:color w:val="000000"/>
          <w:sz w:val="24"/>
        </w:rPr>
        <w:t>年</w:t>
      </w:r>
      <w:r w:rsidRPr="0036023B">
        <w:rPr>
          <w:color w:val="000000"/>
          <w:sz w:val="24"/>
        </w:rPr>
        <w:t>6</w:t>
      </w:r>
      <w:r w:rsidRPr="0036023B">
        <w:rPr>
          <w:color w:val="000000"/>
          <w:sz w:val="24"/>
        </w:rPr>
        <w:t>月</w:t>
      </w:r>
      <w:r w:rsidRPr="0036023B">
        <w:rPr>
          <w:color w:val="000000"/>
          <w:sz w:val="24"/>
        </w:rPr>
        <w:t>26</w:t>
      </w:r>
      <w:r w:rsidRPr="0036023B">
        <w:rPr>
          <w:color w:val="000000"/>
          <w:sz w:val="24"/>
        </w:rPr>
        <w:t>日本基金管理人发布公告，因本基金实施转型，蔡铮先生自</w:t>
      </w:r>
      <w:r w:rsidRPr="0036023B">
        <w:rPr>
          <w:color w:val="000000"/>
          <w:sz w:val="24"/>
        </w:rPr>
        <w:t>2015</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日起不再担任本</w:t>
      </w:r>
      <w:proofErr w:type="gramStart"/>
      <w:r w:rsidRPr="0036023B">
        <w:rPr>
          <w:color w:val="000000"/>
          <w:sz w:val="24"/>
        </w:rPr>
        <w:t>基金基金</w:t>
      </w:r>
      <w:proofErr w:type="gramEnd"/>
      <w:r w:rsidRPr="0036023B">
        <w:rPr>
          <w:color w:val="000000"/>
          <w:sz w:val="24"/>
        </w:rPr>
        <w:t>经理，详情请见相关公告。</w:t>
      </w:r>
    </w:p>
    <w:p w:rsidR="00D30D4E" w:rsidRPr="0036023B" w:rsidRDefault="00D30D4E" w:rsidP="0099526C">
      <w:pPr>
        <w:autoSpaceDE w:val="0"/>
        <w:autoSpaceDN w:val="0"/>
        <w:adjustRightInd w:val="0"/>
        <w:spacing w:before="29" w:line="288" w:lineRule="auto"/>
        <w:jc w:val="left"/>
        <w:rPr>
          <w:color w:val="000000"/>
          <w:sz w:val="24"/>
        </w:rPr>
      </w:pPr>
      <w:r>
        <w:rPr>
          <w:rFonts w:hint="eastAsia"/>
          <w:color w:val="000000"/>
          <w:sz w:val="24"/>
        </w:rPr>
        <w:t xml:space="preserve">    2</w:t>
      </w:r>
      <w:r>
        <w:rPr>
          <w:rFonts w:hint="eastAsia"/>
          <w:color w:val="000000"/>
          <w:sz w:val="24"/>
        </w:rPr>
        <w:t>、</w:t>
      </w:r>
      <w:r w:rsidRPr="00414345">
        <w:rPr>
          <w:color w:val="000000"/>
          <w:sz w:val="24"/>
        </w:rPr>
        <w:t>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000567" w:rsidRDefault="00382AB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00567" w:rsidRDefault="00382AB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00567" w:rsidRDefault="00382AB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000567" w:rsidRDefault="00382AB6">
      <w:pPr>
        <w:spacing w:before="29" w:line="288" w:lineRule="auto"/>
        <w:ind w:firstLineChars="200" w:firstLine="480"/>
        <w:rPr>
          <w:color w:val="000000"/>
          <w:sz w:val="24"/>
        </w:rPr>
      </w:pPr>
      <w:r>
        <w:rPr>
          <w:color w:val="000000"/>
          <w:sz w:val="24"/>
        </w:rPr>
        <w:t>2015</w:t>
      </w:r>
      <w:r>
        <w:rPr>
          <w:color w:val="000000"/>
          <w:sz w:val="24"/>
        </w:rPr>
        <w:t>年二季度，国内经济增速弱企稳，内需疲软，经济基本面对资本市场的支持力度较为有限。但通胀压力并不明显，货币政策持续进一步宽松，使资本市场在本季度前期仍然维持年初以来的上涨趋势。但随着季末资金面收紧以及场外配资去杠杆压力，市场出现较大幅度回调。作为跟踪基准指数的指数基金，在本季度呈现出先涨后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本基金从</w:t>
      </w:r>
      <w:r w:rsidRPr="0036023B">
        <w:rPr>
          <w:color w:val="000000"/>
          <w:sz w:val="24"/>
        </w:rPr>
        <w:t>2015</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日起正式转型为主动管理型的交银消费新驱动基金。经过</w:t>
      </w:r>
      <w:r w:rsidRPr="0036023B">
        <w:rPr>
          <w:color w:val="000000"/>
          <w:sz w:val="24"/>
        </w:rPr>
        <w:t>6</w:t>
      </w:r>
      <w:r w:rsidRPr="0036023B">
        <w:rPr>
          <w:color w:val="000000"/>
          <w:sz w:val="24"/>
        </w:rPr>
        <w:t>月份市场的较大级别调整，预计交银消费新驱动基金在三季度迎来较好的建仓时点。中国经济处于转型期的大逻辑没有发生变化，互联网</w:t>
      </w:r>
      <w:r w:rsidRPr="0036023B">
        <w:rPr>
          <w:color w:val="000000"/>
          <w:sz w:val="24"/>
        </w:rPr>
        <w:t>+</w:t>
      </w:r>
      <w:r w:rsidRPr="0036023B">
        <w:rPr>
          <w:color w:val="000000"/>
          <w:sz w:val="24"/>
        </w:rPr>
        <w:t>对于传统消费行业的改造也在持续进行，不同的是，下半年上市公司模式转变路径更加清晰，因此股价表现分化是必然的。在实际操作中，更需要甄别未来可能成长为龙头的稀缺标的。</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2015</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日，本基金份额净值为</w:t>
      </w:r>
      <w:r w:rsidRPr="0036023B">
        <w:rPr>
          <w:color w:val="000000"/>
          <w:sz w:val="24"/>
        </w:rPr>
        <w:t>1</w:t>
      </w:r>
      <w:r w:rsidR="00E505B9">
        <w:rPr>
          <w:color w:val="000000"/>
          <w:sz w:val="24"/>
        </w:rPr>
        <w:t>.000</w:t>
      </w:r>
      <w:r w:rsidRPr="0036023B">
        <w:rPr>
          <w:color w:val="000000"/>
          <w:sz w:val="24"/>
        </w:rPr>
        <w:t>元，本报告期份额净值增长率为</w:t>
      </w:r>
      <w:r w:rsidR="00E505B9" w:rsidRPr="0036023B">
        <w:rPr>
          <w:color w:val="000000"/>
          <w:sz w:val="24"/>
        </w:rPr>
        <w:t>1</w:t>
      </w:r>
      <w:r w:rsidR="00E505B9">
        <w:rPr>
          <w:color w:val="000000"/>
          <w:sz w:val="24"/>
        </w:rPr>
        <w:t>1</w:t>
      </w:r>
      <w:r w:rsidRPr="0036023B">
        <w:rPr>
          <w:color w:val="000000"/>
          <w:sz w:val="24"/>
        </w:rPr>
        <w:t>.</w:t>
      </w:r>
      <w:r w:rsidR="00D07219">
        <w:rPr>
          <w:color w:val="000000"/>
          <w:sz w:val="24"/>
        </w:rPr>
        <w:t>79</w:t>
      </w:r>
      <w:r w:rsidRPr="0036023B">
        <w:rPr>
          <w:color w:val="000000"/>
          <w:sz w:val="24"/>
        </w:rPr>
        <w:t>%</w:t>
      </w:r>
      <w:r w:rsidRPr="0036023B">
        <w:rPr>
          <w:color w:val="000000"/>
          <w:sz w:val="24"/>
        </w:rPr>
        <w:t>，同期业绩比较基准增长率为</w:t>
      </w:r>
      <w:r w:rsidRPr="0036023B">
        <w:rPr>
          <w:color w:val="000000"/>
          <w:sz w:val="24"/>
        </w:rPr>
        <w:t>16.99%</w:t>
      </w:r>
      <w:r w:rsidRPr="0036023B">
        <w:rPr>
          <w:color w:val="000000"/>
          <w:sz w:val="24"/>
        </w:rPr>
        <w:t>。本报告期内本基金的日均跟踪偏离度为</w:t>
      </w:r>
      <w:r w:rsidRPr="0036023B">
        <w:rPr>
          <w:color w:val="000000"/>
          <w:sz w:val="24"/>
        </w:rPr>
        <w:t>0.22%</w:t>
      </w:r>
      <w:r w:rsidRPr="0036023B">
        <w:rPr>
          <w:color w:val="000000"/>
          <w:sz w:val="24"/>
        </w:rPr>
        <w:t>，跟踪误差为</w:t>
      </w:r>
      <w:r w:rsidRPr="0036023B">
        <w:rPr>
          <w:color w:val="000000"/>
          <w:sz w:val="24"/>
        </w:rPr>
        <w:t>0.79%</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F5E2D" w:rsidRPr="00583214" w:rsidRDefault="00842C93" w:rsidP="0099526C">
      <w:pPr>
        <w:spacing w:before="29" w:line="288" w:lineRule="auto"/>
        <w:ind w:firstLineChars="200" w:firstLine="480"/>
        <w:rPr>
          <w:color w:val="000000" w:themeColor="text1"/>
          <w:sz w:val="24"/>
        </w:rPr>
      </w:pPr>
      <w:r w:rsidRPr="002070B4">
        <w:rPr>
          <w:color w:val="000000"/>
          <w:sz w:val="24"/>
        </w:rPr>
        <w:t>截至本报告期末，本基金已经连续六十个工作日以上出现基金资产净值低于五千万元的情形，基金管理人已向中国证券监督管理委员会进行了报告</w:t>
      </w:r>
      <w:r w:rsidR="00182891" w:rsidRPr="00583214">
        <w:rPr>
          <w:rFonts w:hint="eastAsia"/>
          <w:color w:val="000000" w:themeColor="text1"/>
          <w:sz w:val="24"/>
        </w:rPr>
        <w:t>并已于</w:t>
      </w:r>
      <w:r w:rsidR="00182891" w:rsidRPr="00583214">
        <w:rPr>
          <w:color w:val="000000" w:themeColor="text1"/>
          <w:sz w:val="24"/>
        </w:rPr>
        <w:t>2015</w:t>
      </w:r>
      <w:r w:rsidR="00182891" w:rsidRPr="00583214">
        <w:rPr>
          <w:rFonts w:hint="eastAsia"/>
          <w:color w:val="000000" w:themeColor="text1"/>
          <w:sz w:val="24"/>
        </w:rPr>
        <w:t>年</w:t>
      </w:r>
      <w:r w:rsidR="00182891" w:rsidRPr="00583214">
        <w:rPr>
          <w:color w:val="000000" w:themeColor="text1"/>
          <w:sz w:val="24"/>
        </w:rPr>
        <w:t>5</w:t>
      </w:r>
      <w:r w:rsidR="00182891" w:rsidRPr="00583214">
        <w:rPr>
          <w:rFonts w:hint="eastAsia"/>
          <w:color w:val="000000" w:themeColor="text1"/>
          <w:sz w:val="24"/>
        </w:rPr>
        <w:t>月</w:t>
      </w:r>
      <w:r w:rsidR="00182891" w:rsidRPr="00583214">
        <w:rPr>
          <w:color w:val="000000" w:themeColor="text1"/>
          <w:sz w:val="24"/>
        </w:rPr>
        <w:t>1</w:t>
      </w:r>
      <w:r w:rsidR="00182891" w:rsidRPr="00583214">
        <w:rPr>
          <w:rFonts w:hint="eastAsia"/>
          <w:color w:val="000000" w:themeColor="text1"/>
          <w:sz w:val="24"/>
        </w:rPr>
        <w:t>日起至</w:t>
      </w:r>
      <w:r w:rsidR="00182891" w:rsidRPr="00583214">
        <w:rPr>
          <w:color w:val="000000" w:themeColor="text1"/>
          <w:sz w:val="24"/>
        </w:rPr>
        <w:t>2015</w:t>
      </w:r>
      <w:r w:rsidR="00182891" w:rsidRPr="00583214">
        <w:rPr>
          <w:rFonts w:hint="eastAsia"/>
          <w:color w:val="000000" w:themeColor="text1"/>
          <w:sz w:val="24"/>
        </w:rPr>
        <w:t>年</w:t>
      </w:r>
      <w:r w:rsidR="00182891" w:rsidRPr="00583214">
        <w:rPr>
          <w:color w:val="000000" w:themeColor="text1"/>
          <w:sz w:val="24"/>
        </w:rPr>
        <w:t>5</w:t>
      </w:r>
      <w:r w:rsidR="00182891" w:rsidRPr="00583214">
        <w:rPr>
          <w:rFonts w:hint="eastAsia"/>
          <w:color w:val="000000" w:themeColor="text1"/>
          <w:sz w:val="24"/>
        </w:rPr>
        <w:t>月</w:t>
      </w:r>
      <w:r w:rsidR="00182891" w:rsidRPr="00583214">
        <w:rPr>
          <w:color w:val="000000" w:themeColor="text1"/>
          <w:sz w:val="24"/>
        </w:rPr>
        <w:t>25</w:t>
      </w:r>
      <w:r w:rsidR="00182891" w:rsidRPr="00583214">
        <w:rPr>
          <w:rFonts w:hint="eastAsia"/>
          <w:color w:val="000000" w:themeColor="text1"/>
          <w:sz w:val="24"/>
        </w:rPr>
        <w:t>日以通讯方式召开了基金份额持有人大会，本次基金份额持有人大会决议已于</w:t>
      </w:r>
      <w:r w:rsidR="00182891" w:rsidRPr="00583214">
        <w:rPr>
          <w:color w:val="000000" w:themeColor="text1"/>
          <w:sz w:val="24"/>
        </w:rPr>
        <w:t>2015</w:t>
      </w:r>
      <w:r w:rsidR="00182891" w:rsidRPr="00583214">
        <w:rPr>
          <w:rFonts w:hint="eastAsia"/>
          <w:color w:val="000000" w:themeColor="text1"/>
          <w:sz w:val="24"/>
        </w:rPr>
        <w:t>年</w:t>
      </w:r>
      <w:r w:rsidR="00182891" w:rsidRPr="00583214">
        <w:rPr>
          <w:color w:val="000000" w:themeColor="text1"/>
          <w:sz w:val="24"/>
        </w:rPr>
        <w:t>5</w:t>
      </w:r>
      <w:r w:rsidR="00182891" w:rsidRPr="00583214">
        <w:rPr>
          <w:rFonts w:hint="eastAsia"/>
          <w:color w:val="000000" w:themeColor="text1"/>
          <w:sz w:val="24"/>
        </w:rPr>
        <w:t>月</w:t>
      </w:r>
      <w:r w:rsidR="00182891" w:rsidRPr="00583214">
        <w:rPr>
          <w:color w:val="000000" w:themeColor="text1"/>
          <w:sz w:val="24"/>
        </w:rPr>
        <w:t>26</w:t>
      </w:r>
      <w:r w:rsidR="00182891" w:rsidRPr="00583214">
        <w:rPr>
          <w:rFonts w:hint="eastAsia"/>
          <w:color w:val="000000" w:themeColor="text1"/>
          <w:sz w:val="24"/>
        </w:rPr>
        <w:t>日生效，本基金于</w:t>
      </w:r>
      <w:r w:rsidR="00182891" w:rsidRPr="00583214">
        <w:rPr>
          <w:color w:val="000000" w:themeColor="text1"/>
          <w:sz w:val="24"/>
        </w:rPr>
        <w:t>2015</w:t>
      </w:r>
      <w:r w:rsidR="00182891" w:rsidRPr="00583214">
        <w:rPr>
          <w:rFonts w:hint="eastAsia"/>
          <w:color w:val="000000" w:themeColor="text1"/>
          <w:sz w:val="24"/>
        </w:rPr>
        <w:t>年</w:t>
      </w:r>
      <w:r w:rsidR="00182891" w:rsidRPr="00583214">
        <w:rPr>
          <w:color w:val="000000" w:themeColor="text1"/>
          <w:sz w:val="24"/>
        </w:rPr>
        <w:t>7</w:t>
      </w:r>
      <w:r w:rsidR="00182891" w:rsidRPr="00583214">
        <w:rPr>
          <w:rFonts w:hint="eastAsia"/>
          <w:color w:val="000000" w:themeColor="text1"/>
          <w:sz w:val="24"/>
        </w:rPr>
        <w:t>月</w:t>
      </w:r>
      <w:r w:rsidR="00182891" w:rsidRPr="00583214">
        <w:rPr>
          <w:color w:val="000000" w:themeColor="text1"/>
          <w:sz w:val="24"/>
        </w:rPr>
        <w:t>1</w:t>
      </w:r>
      <w:r w:rsidR="00182891" w:rsidRPr="00583214">
        <w:rPr>
          <w:rFonts w:hint="eastAsia"/>
          <w:color w:val="000000" w:themeColor="text1"/>
          <w:sz w:val="24"/>
        </w:rPr>
        <w:t>日正式转型为交</w:t>
      </w:r>
      <w:proofErr w:type="gramStart"/>
      <w:r w:rsidR="00182891" w:rsidRPr="00583214">
        <w:rPr>
          <w:rFonts w:hint="eastAsia"/>
          <w:color w:val="000000" w:themeColor="text1"/>
          <w:sz w:val="24"/>
        </w:rPr>
        <w:t>银施罗德消费</w:t>
      </w:r>
      <w:proofErr w:type="gramEnd"/>
      <w:r w:rsidR="00182891" w:rsidRPr="00583214">
        <w:rPr>
          <w:rFonts w:hint="eastAsia"/>
          <w:color w:val="000000" w:themeColor="text1"/>
          <w:sz w:val="24"/>
        </w:rPr>
        <w:t>新驱动股票型证券投资基金。</w:t>
      </w: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8,802,979.26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87.34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8,802,979.26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87.34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4,359.30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0.04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4,359.30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0.04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1,143,495.24</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11.35</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128,191.56</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1.27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10,079,025.36</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tbl>
      <w:tblPr>
        <w:tblW w:w="8865" w:type="dxa"/>
        <w:jc w:val="center"/>
        <w:tblCellMar>
          <w:left w:w="0" w:type="dxa"/>
          <w:right w:w="0" w:type="dxa"/>
        </w:tblCellMar>
        <w:tblLook w:val="04A0" w:firstRow="1" w:lastRow="0" w:firstColumn="1" w:lastColumn="0" w:noHBand="0" w:noVBand="1"/>
      </w:tblPr>
      <w:tblGrid>
        <w:gridCol w:w="715"/>
        <w:gridCol w:w="3581"/>
        <w:gridCol w:w="2896"/>
        <w:gridCol w:w="1673"/>
      </w:tblGrid>
      <w:tr w:rsidR="001C7C1C" w:rsidTr="004A0597">
        <w:trPr>
          <w:trHeight w:val="390"/>
          <w:jc w:val="center"/>
        </w:trPr>
        <w:tc>
          <w:tcPr>
            <w:tcW w:w="704"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rFonts w:ascii="宋体" w:hAnsi="宋体" w:hint="eastAsia"/>
                <w:sz w:val="24"/>
              </w:rPr>
              <w:t>代码</w:t>
            </w:r>
          </w:p>
        </w:tc>
        <w:tc>
          <w:tcPr>
            <w:tcW w:w="3527" w:type="dxa"/>
            <w:tcBorders>
              <w:top w:val="single" w:sz="8" w:space="0" w:color="000000"/>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sz w:val="24"/>
              </w:rPr>
            </w:pPr>
            <w:r>
              <w:rPr>
                <w:rFonts w:ascii="宋体" w:hAnsi="宋体" w:hint="eastAsia"/>
                <w:sz w:val="24"/>
              </w:rPr>
              <w:t>行业类别</w:t>
            </w:r>
          </w:p>
        </w:tc>
        <w:tc>
          <w:tcPr>
            <w:tcW w:w="285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rFonts w:ascii="宋体" w:hAnsi="宋体" w:hint="eastAsia"/>
                <w:sz w:val="24"/>
              </w:rPr>
              <w:t>公允价值（元）</w:t>
            </w:r>
          </w:p>
        </w:tc>
        <w:tc>
          <w:tcPr>
            <w:tcW w:w="1648" w:type="dxa"/>
            <w:tcBorders>
              <w:top w:val="single" w:sz="8" w:space="0" w:color="000000"/>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rFonts w:ascii="宋体" w:hAnsi="宋体" w:hint="eastAsia"/>
                <w:sz w:val="24"/>
              </w:rPr>
              <w:t>占基金资产净值比例（％）</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sz w:val="24"/>
              </w:rPr>
              <w:t>A</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sz w:val="24"/>
              </w:rPr>
            </w:pPr>
            <w:r>
              <w:rPr>
                <w:rFonts w:ascii="宋体" w:hAnsi="宋体" w:hint="eastAsia"/>
                <w:sz w:val="24"/>
              </w:rPr>
              <w:t>农、林、牧、渔业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autoSpaceDE w:val="0"/>
              <w:autoSpaceDN w:val="0"/>
              <w:spacing w:before="29" w:line="288" w:lineRule="auto"/>
              <w:ind w:left="15"/>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autoSpaceDE w:val="0"/>
              <w:autoSpaceDN w:val="0"/>
              <w:spacing w:before="29" w:line="288" w:lineRule="auto"/>
              <w:ind w:left="15"/>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sz w:val="24"/>
              </w:rPr>
              <w:t>B</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sz w:val="24"/>
              </w:rPr>
            </w:pPr>
            <w:r>
              <w:rPr>
                <w:rFonts w:ascii="宋体" w:hAnsi="宋体" w:hint="eastAsia"/>
                <w:sz w:val="24"/>
              </w:rPr>
              <w:t>采矿业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65,196.50</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0.70</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sz w:val="24"/>
              </w:rPr>
              <w:t>C</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sz w:val="24"/>
              </w:rPr>
            </w:pPr>
            <w:r>
              <w:rPr>
                <w:rFonts w:ascii="宋体" w:hAnsi="宋体" w:hint="eastAsia"/>
                <w:sz w:val="24"/>
              </w:rPr>
              <w:t>制造业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43,215.00</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0.46</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sz w:val="24"/>
              </w:rPr>
              <w:t>D</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sz w:val="24"/>
              </w:rPr>
            </w:pPr>
            <w:r>
              <w:rPr>
                <w:rFonts w:ascii="宋体" w:hAnsi="宋体" w:hint="eastAsia"/>
                <w:sz w:val="24"/>
              </w:rPr>
              <w:t>电力、热力、燃气及水生产和供应业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sz w:val="24"/>
              </w:rPr>
              <w:t>E</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sz w:val="24"/>
              </w:rPr>
            </w:pPr>
            <w:r>
              <w:rPr>
                <w:rFonts w:ascii="宋体" w:hAnsi="宋体" w:hint="eastAsia"/>
                <w:sz w:val="24"/>
              </w:rPr>
              <w:t>建筑业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sz w:val="24"/>
              </w:rPr>
              <w:t>F</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sz w:val="24"/>
              </w:rPr>
            </w:pPr>
            <w:r>
              <w:rPr>
                <w:rFonts w:ascii="宋体" w:hAnsi="宋体" w:hint="eastAsia"/>
                <w:sz w:val="24"/>
              </w:rPr>
              <w:t>批发和零售业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75,652.20</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0.81</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sz w:val="24"/>
              </w:rPr>
              <w:t>G</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sz w:val="24"/>
              </w:rPr>
            </w:pPr>
            <w:r>
              <w:rPr>
                <w:rFonts w:ascii="宋体" w:hAnsi="宋体" w:hint="eastAsia"/>
                <w:sz w:val="24"/>
              </w:rPr>
              <w:t>交通运输、仓储和邮政业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sz w:val="24"/>
              </w:rPr>
              <w:t>H</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sz w:val="24"/>
              </w:rPr>
            </w:pPr>
            <w:r>
              <w:rPr>
                <w:rFonts w:ascii="宋体" w:hAnsi="宋体" w:hint="eastAsia"/>
                <w:sz w:val="24"/>
              </w:rPr>
              <w:t>住宿和餐饮业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sz w:val="24"/>
              </w:rPr>
            </w:pPr>
            <w:r>
              <w:rPr>
                <w:sz w:val="24"/>
              </w:rPr>
              <w:t>I</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sz w:val="24"/>
              </w:rPr>
            </w:pPr>
            <w:r>
              <w:rPr>
                <w:rFonts w:ascii="宋体" w:hAnsi="宋体" w:hint="eastAsia"/>
                <w:sz w:val="24"/>
              </w:rPr>
              <w:t>信息传输、软件和信息技术服务业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color w:val="000000"/>
                <w:sz w:val="24"/>
              </w:rPr>
            </w:pPr>
            <w:r>
              <w:rPr>
                <w:color w:val="000000"/>
                <w:sz w:val="24"/>
              </w:rPr>
              <w:t>J</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color w:val="000000"/>
                <w:sz w:val="24"/>
              </w:rPr>
            </w:pPr>
            <w:r>
              <w:rPr>
                <w:rFonts w:ascii="宋体" w:hAnsi="宋体" w:hint="eastAsia"/>
                <w:color w:val="000000"/>
                <w:sz w:val="24"/>
              </w:rPr>
              <w:t>金融业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color w:val="000000"/>
                <w:sz w:val="24"/>
              </w:rPr>
            </w:pPr>
            <w:r>
              <w:rPr>
                <w:color w:val="000000"/>
                <w:sz w:val="24"/>
              </w:rPr>
              <w:t>K</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color w:val="000000"/>
                <w:sz w:val="24"/>
              </w:rPr>
            </w:pPr>
            <w:r>
              <w:rPr>
                <w:rFonts w:ascii="宋体" w:hAnsi="宋体" w:hint="eastAsia"/>
                <w:color w:val="000000"/>
                <w:sz w:val="24"/>
              </w:rPr>
              <w:t>房地产业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color w:val="000000"/>
                <w:sz w:val="24"/>
              </w:rPr>
            </w:pPr>
            <w:r>
              <w:rPr>
                <w:color w:val="000000"/>
                <w:sz w:val="24"/>
              </w:rPr>
              <w:t>L</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color w:val="000000"/>
                <w:sz w:val="24"/>
              </w:rPr>
            </w:pPr>
            <w:r>
              <w:rPr>
                <w:rFonts w:ascii="宋体" w:hAnsi="宋体" w:hint="eastAsia"/>
                <w:color w:val="000000"/>
                <w:sz w:val="24"/>
              </w:rPr>
              <w:t>租赁和商务服务业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color w:val="000000"/>
                <w:sz w:val="24"/>
              </w:rPr>
            </w:pPr>
            <w:r>
              <w:rPr>
                <w:color w:val="000000"/>
                <w:sz w:val="24"/>
              </w:rPr>
              <w:t>M</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color w:val="000000"/>
                <w:sz w:val="24"/>
              </w:rPr>
            </w:pPr>
            <w:r>
              <w:rPr>
                <w:rFonts w:ascii="宋体" w:hAnsi="宋体" w:hint="eastAsia"/>
                <w:color w:val="000000"/>
                <w:sz w:val="24"/>
              </w:rPr>
              <w:t>科学研究和技术服务业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color w:val="000000"/>
                <w:sz w:val="24"/>
              </w:rPr>
            </w:pPr>
            <w:r>
              <w:rPr>
                <w:color w:val="000000"/>
                <w:sz w:val="24"/>
              </w:rPr>
              <w:t>N</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color w:val="000000"/>
                <w:sz w:val="24"/>
              </w:rPr>
            </w:pPr>
            <w:r>
              <w:rPr>
                <w:rFonts w:ascii="宋体" w:hAnsi="宋体" w:hint="eastAsia"/>
                <w:color w:val="000000"/>
                <w:sz w:val="24"/>
              </w:rPr>
              <w:t>水利、环境和公共设施管理业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color w:val="000000"/>
                <w:sz w:val="24"/>
              </w:rPr>
            </w:pPr>
            <w:r>
              <w:rPr>
                <w:color w:val="000000"/>
                <w:sz w:val="24"/>
              </w:rPr>
              <w:t>O</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color w:val="000000"/>
                <w:sz w:val="24"/>
              </w:rPr>
            </w:pPr>
            <w:r>
              <w:rPr>
                <w:rFonts w:ascii="宋体" w:hAnsi="宋体" w:hint="eastAsia"/>
                <w:color w:val="000000"/>
                <w:sz w:val="24"/>
              </w:rPr>
              <w:t>居民服务、修理和其他服务业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color w:val="000000"/>
                <w:sz w:val="24"/>
              </w:rPr>
            </w:pPr>
            <w:r>
              <w:rPr>
                <w:color w:val="000000"/>
                <w:sz w:val="24"/>
              </w:rPr>
              <w:t>P</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color w:val="000000"/>
                <w:sz w:val="24"/>
              </w:rPr>
            </w:pPr>
            <w:r>
              <w:rPr>
                <w:rFonts w:ascii="宋体" w:hAnsi="宋体" w:hint="eastAsia"/>
                <w:color w:val="000000"/>
                <w:sz w:val="24"/>
              </w:rPr>
              <w:t>教育</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color w:val="000000"/>
                <w:sz w:val="24"/>
              </w:rPr>
            </w:pPr>
            <w:r>
              <w:rPr>
                <w:color w:val="000000"/>
                <w:sz w:val="24"/>
              </w:rPr>
              <w:t>Q</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color w:val="000000"/>
                <w:sz w:val="24"/>
              </w:rPr>
            </w:pPr>
            <w:r>
              <w:rPr>
                <w:rFonts w:ascii="宋体" w:hAnsi="宋体" w:hint="eastAsia"/>
                <w:color w:val="000000"/>
                <w:sz w:val="24"/>
              </w:rPr>
              <w:t>卫生和社会工作</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color w:val="000000"/>
                <w:sz w:val="24"/>
              </w:rPr>
            </w:pPr>
            <w:r>
              <w:rPr>
                <w:color w:val="000000"/>
                <w:sz w:val="24"/>
              </w:rPr>
              <w:t>R</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color w:val="000000"/>
                <w:sz w:val="24"/>
              </w:rPr>
            </w:pPr>
            <w:r>
              <w:rPr>
                <w:rFonts w:ascii="宋体" w:hAnsi="宋体" w:hint="eastAsia"/>
                <w:color w:val="000000"/>
                <w:sz w:val="24"/>
              </w:rPr>
              <w:t>文化、体育和娱乐业</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napToGrid w:val="0"/>
              <w:spacing w:before="29" w:line="288" w:lineRule="auto"/>
              <w:jc w:val="center"/>
              <w:rPr>
                <w:color w:val="000000"/>
                <w:sz w:val="24"/>
              </w:rPr>
            </w:pPr>
            <w:r>
              <w:rPr>
                <w:color w:val="000000"/>
                <w:sz w:val="24"/>
              </w:rPr>
              <w:t>S</w:t>
            </w: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color w:val="000000"/>
                <w:sz w:val="24"/>
              </w:rPr>
            </w:pPr>
            <w:r>
              <w:rPr>
                <w:rFonts w:ascii="宋体" w:hAnsi="宋体" w:hint="eastAsia"/>
                <w:color w:val="000000"/>
                <w:sz w:val="24"/>
              </w:rPr>
              <w:t>综合</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w:t>
            </w:r>
          </w:p>
        </w:tc>
      </w:tr>
      <w:tr w:rsidR="001C7C1C" w:rsidTr="004A0597">
        <w:trPr>
          <w:trHeight w:val="285"/>
          <w:jc w:val="center"/>
        </w:trPr>
        <w:tc>
          <w:tcPr>
            <w:tcW w:w="704" w:type="dxa"/>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tcPr>
          <w:p w:rsidR="001C7C1C" w:rsidRDefault="001C7C1C" w:rsidP="004A0597">
            <w:pPr>
              <w:snapToGrid w:val="0"/>
              <w:spacing w:before="29" w:line="288" w:lineRule="auto"/>
              <w:jc w:val="center"/>
              <w:rPr>
                <w:color w:val="000000"/>
                <w:sz w:val="24"/>
              </w:rPr>
            </w:pPr>
          </w:p>
        </w:tc>
        <w:tc>
          <w:tcPr>
            <w:tcW w:w="3527" w:type="dxa"/>
            <w:tcBorders>
              <w:top w:val="nil"/>
              <w:left w:val="nil"/>
              <w:bottom w:val="single" w:sz="8" w:space="0" w:color="000000"/>
              <w:right w:val="single" w:sz="8" w:space="0" w:color="auto"/>
            </w:tcBorders>
            <w:noWrap/>
            <w:tcMar>
              <w:top w:w="15" w:type="dxa"/>
              <w:left w:w="108" w:type="dxa"/>
              <w:bottom w:w="0" w:type="dxa"/>
              <w:right w:w="108" w:type="dxa"/>
            </w:tcMar>
            <w:vAlign w:val="center"/>
            <w:hideMark/>
          </w:tcPr>
          <w:p w:rsidR="001C7C1C" w:rsidRDefault="001C7C1C" w:rsidP="004A0597">
            <w:pPr>
              <w:snapToGrid w:val="0"/>
              <w:spacing w:before="29" w:line="288" w:lineRule="auto"/>
              <w:rPr>
                <w:color w:val="000000"/>
                <w:sz w:val="24"/>
              </w:rPr>
            </w:pPr>
            <w:r>
              <w:rPr>
                <w:rFonts w:ascii="宋体" w:hAnsi="宋体" w:hint="eastAsia"/>
                <w:color w:val="000000"/>
                <w:sz w:val="24"/>
              </w:rPr>
              <w:t>合计</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184,063.70</w:t>
            </w:r>
          </w:p>
        </w:tc>
        <w:tc>
          <w:tcPr>
            <w:tcW w:w="1648" w:type="dxa"/>
            <w:tcBorders>
              <w:top w:val="nil"/>
              <w:left w:val="nil"/>
              <w:bottom w:val="single" w:sz="8" w:space="0" w:color="000000"/>
              <w:right w:val="single" w:sz="8" w:space="0" w:color="000000"/>
            </w:tcBorders>
            <w:noWrap/>
            <w:tcMar>
              <w:top w:w="15" w:type="dxa"/>
              <w:left w:w="108" w:type="dxa"/>
              <w:bottom w:w="0" w:type="dxa"/>
              <w:right w:w="108" w:type="dxa"/>
            </w:tcMar>
            <w:vAlign w:val="center"/>
            <w:hideMark/>
          </w:tcPr>
          <w:p w:rsidR="001C7C1C" w:rsidRDefault="001C7C1C" w:rsidP="004A0597">
            <w:pPr>
              <w:spacing w:before="29" w:line="288" w:lineRule="auto"/>
              <w:jc w:val="right"/>
              <w:rPr>
                <w:sz w:val="24"/>
              </w:rPr>
            </w:pPr>
            <w:r>
              <w:rPr>
                <w:sz w:val="24"/>
              </w:rPr>
              <w:t>1.97</w:t>
            </w:r>
          </w:p>
        </w:tc>
      </w:tr>
    </w:tbl>
    <w:p w:rsidR="00532F26" w:rsidRPr="0036023B" w:rsidRDefault="00532F26" w:rsidP="0099526C">
      <w:pPr>
        <w:autoSpaceDE w:val="0"/>
        <w:autoSpaceDN w:val="0"/>
        <w:adjustRightInd w:val="0"/>
        <w:spacing w:before="29" w:line="288" w:lineRule="auto"/>
        <w:jc w:val="left"/>
        <w:rPr>
          <w:color w:val="000000"/>
          <w:sz w:val="24"/>
        </w:rPr>
      </w:pP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5" w:type="dxa"/>
        <w:jc w:val="center"/>
        <w:tblCellMar>
          <w:left w:w="0" w:type="dxa"/>
          <w:right w:w="0" w:type="dxa"/>
        </w:tblCellMar>
        <w:tblLook w:val="04A0" w:firstRow="1" w:lastRow="0" w:firstColumn="1" w:lastColumn="0" w:noHBand="0" w:noVBand="1"/>
      </w:tblPr>
      <w:tblGrid>
        <w:gridCol w:w="845"/>
        <w:gridCol w:w="3450"/>
        <w:gridCol w:w="2896"/>
        <w:gridCol w:w="1674"/>
      </w:tblGrid>
      <w:tr w:rsidR="00DD02DC" w:rsidTr="004A0597">
        <w:trPr>
          <w:trHeight w:val="390"/>
          <w:jc w:val="center"/>
        </w:trPr>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rFonts w:ascii="宋体" w:hAnsi="宋体" w:hint="eastAsia"/>
                <w:sz w:val="24"/>
              </w:rPr>
              <w:t>代码</w:t>
            </w:r>
          </w:p>
        </w:tc>
        <w:tc>
          <w:tcPr>
            <w:tcW w:w="3452" w:type="dxa"/>
            <w:tcBorders>
              <w:top w:val="single" w:sz="8" w:space="0" w:color="000000"/>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rFonts w:ascii="宋体" w:hAnsi="宋体" w:hint="eastAsia"/>
                <w:sz w:val="24"/>
              </w:rPr>
              <w:t>行业类别</w:t>
            </w:r>
          </w:p>
        </w:tc>
        <w:tc>
          <w:tcPr>
            <w:tcW w:w="28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rFonts w:ascii="宋体" w:hAnsi="宋体" w:hint="eastAsia"/>
                <w:sz w:val="24"/>
              </w:rPr>
              <w:t>公允价值（元）</w:t>
            </w:r>
          </w:p>
        </w:tc>
        <w:tc>
          <w:tcPr>
            <w:tcW w:w="1674" w:type="dxa"/>
            <w:tcBorders>
              <w:top w:val="single" w:sz="8" w:space="0" w:color="000000"/>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rFonts w:ascii="宋体" w:hAnsi="宋体" w:hint="eastAsia"/>
                <w:sz w:val="24"/>
              </w:rPr>
              <w:t>占基金资产净值比例（％）</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sz w:val="24"/>
              </w:rPr>
              <w:t>A</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sz w:val="24"/>
              </w:rPr>
            </w:pPr>
            <w:r>
              <w:rPr>
                <w:rFonts w:ascii="宋体" w:hAnsi="宋体" w:hint="eastAsia"/>
                <w:sz w:val="24"/>
              </w:rPr>
              <w:t>农、林、牧、渔业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autoSpaceDE w:val="0"/>
              <w:autoSpaceDN w:val="0"/>
              <w:spacing w:before="29" w:line="288" w:lineRule="auto"/>
              <w:ind w:left="15"/>
              <w:jc w:val="right"/>
              <w:rPr>
                <w:sz w:val="24"/>
              </w:rPr>
            </w:pPr>
            <w:r>
              <w:rPr>
                <w:sz w:val="24"/>
              </w:rPr>
              <w:t>51,868.28</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autoSpaceDE w:val="0"/>
              <w:autoSpaceDN w:val="0"/>
              <w:spacing w:before="29" w:line="288" w:lineRule="auto"/>
              <w:ind w:left="15"/>
              <w:jc w:val="right"/>
              <w:rPr>
                <w:sz w:val="24"/>
              </w:rPr>
            </w:pPr>
            <w:r>
              <w:rPr>
                <w:sz w:val="24"/>
              </w:rPr>
              <w:t>0.56</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sz w:val="24"/>
              </w:rPr>
              <w:t>B</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sz w:val="24"/>
              </w:rPr>
            </w:pPr>
            <w:r>
              <w:rPr>
                <w:rFonts w:ascii="宋体" w:hAnsi="宋体" w:hint="eastAsia"/>
                <w:sz w:val="24"/>
              </w:rPr>
              <w:t>采矿业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921,230.67</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9.86</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sz w:val="24"/>
              </w:rPr>
              <w:t>C</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sz w:val="24"/>
              </w:rPr>
            </w:pPr>
            <w:r>
              <w:rPr>
                <w:rFonts w:ascii="宋体" w:hAnsi="宋体" w:hint="eastAsia"/>
                <w:sz w:val="24"/>
              </w:rPr>
              <w:t>制造业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3,915,292.72</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41.9</w:t>
            </w:r>
            <w:r>
              <w:rPr>
                <w:rFonts w:hint="eastAsia"/>
                <w:sz w:val="24"/>
              </w:rPr>
              <w:t>0</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sz w:val="24"/>
              </w:rPr>
              <w:t>D</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sz w:val="24"/>
              </w:rPr>
            </w:pPr>
            <w:r>
              <w:rPr>
                <w:rFonts w:ascii="宋体" w:hAnsi="宋体" w:hint="eastAsia"/>
                <w:sz w:val="24"/>
              </w:rPr>
              <w:t>电力、热力、燃气及水生产和供应业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833,444.33</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8.92</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sz w:val="24"/>
              </w:rPr>
              <w:t>E</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sz w:val="24"/>
              </w:rPr>
            </w:pPr>
            <w:r>
              <w:rPr>
                <w:rFonts w:ascii="宋体" w:hAnsi="宋体" w:hint="eastAsia"/>
                <w:sz w:val="24"/>
              </w:rPr>
              <w:t>建筑业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252,605.05</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2.70</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sz w:val="24"/>
              </w:rPr>
              <w:t>F</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sz w:val="24"/>
              </w:rPr>
            </w:pPr>
            <w:r>
              <w:rPr>
                <w:rFonts w:ascii="宋体" w:hAnsi="宋体" w:hint="eastAsia"/>
                <w:sz w:val="24"/>
              </w:rPr>
              <w:t>批发和零售业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297,019.05</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3.18</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sz w:val="24"/>
              </w:rPr>
              <w:t>G</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sz w:val="24"/>
              </w:rPr>
            </w:pPr>
            <w:r>
              <w:rPr>
                <w:rFonts w:ascii="宋体" w:hAnsi="宋体" w:hint="eastAsia"/>
                <w:sz w:val="24"/>
              </w:rPr>
              <w:t>交通运输、仓储和邮政业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218,623.92</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2.34</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sz w:val="24"/>
              </w:rPr>
              <w:t>H</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sz w:val="24"/>
              </w:rPr>
            </w:pPr>
            <w:r>
              <w:rPr>
                <w:rFonts w:ascii="宋体" w:hAnsi="宋体" w:hint="eastAsia"/>
                <w:sz w:val="24"/>
              </w:rPr>
              <w:t>住宿和餐饮业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sz w:val="24"/>
              </w:rPr>
            </w:pPr>
            <w:r>
              <w:rPr>
                <w:sz w:val="24"/>
              </w:rPr>
              <w:t>I</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sz w:val="24"/>
              </w:rPr>
            </w:pPr>
            <w:r>
              <w:rPr>
                <w:rFonts w:ascii="宋体" w:hAnsi="宋体" w:hint="eastAsia"/>
                <w:sz w:val="24"/>
              </w:rPr>
              <w:t>信息传输、软件和信息技术服务业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697,171.92</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7.46</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color w:val="000000"/>
                <w:sz w:val="24"/>
              </w:rPr>
            </w:pPr>
            <w:r>
              <w:rPr>
                <w:color w:val="000000"/>
                <w:sz w:val="24"/>
              </w:rPr>
              <w:t>J</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color w:val="000000"/>
                <w:sz w:val="24"/>
              </w:rPr>
            </w:pPr>
            <w:r>
              <w:rPr>
                <w:rFonts w:ascii="宋体" w:hAnsi="宋体" w:hint="eastAsia"/>
                <w:color w:val="000000"/>
                <w:sz w:val="24"/>
              </w:rPr>
              <w:t>金融业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716,018.51</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7.66</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color w:val="000000"/>
                <w:sz w:val="24"/>
              </w:rPr>
            </w:pPr>
            <w:r>
              <w:rPr>
                <w:color w:val="000000"/>
                <w:sz w:val="24"/>
              </w:rPr>
              <w:t>K</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color w:val="000000"/>
                <w:sz w:val="24"/>
              </w:rPr>
            </w:pPr>
            <w:r>
              <w:rPr>
                <w:rFonts w:ascii="宋体" w:hAnsi="宋体" w:hint="eastAsia"/>
                <w:color w:val="000000"/>
                <w:sz w:val="24"/>
              </w:rPr>
              <w:t>房地产业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222,031.02</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2.38</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color w:val="000000"/>
                <w:sz w:val="24"/>
              </w:rPr>
            </w:pPr>
            <w:r>
              <w:rPr>
                <w:color w:val="000000"/>
                <w:sz w:val="24"/>
              </w:rPr>
              <w:t>L</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color w:val="000000"/>
                <w:sz w:val="24"/>
              </w:rPr>
            </w:pPr>
            <w:r>
              <w:rPr>
                <w:rFonts w:ascii="宋体" w:hAnsi="宋体" w:hint="eastAsia"/>
                <w:color w:val="000000"/>
                <w:sz w:val="24"/>
              </w:rPr>
              <w:t>租赁和商务服务业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134,108.51</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1.44</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color w:val="000000"/>
                <w:sz w:val="24"/>
              </w:rPr>
            </w:pPr>
            <w:r>
              <w:rPr>
                <w:color w:val="000000"/>
                <w:sz w:val="24"/>
              </w:rPr>
              <w:t>M</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color w:val="000000"/>
                <w:sz w:val="24"/>
              </w:rPr>
            </w:pPr>
            <w:r>
              <w:rPr>
                <w:rFonts w:ascii="宋体" w:hAnsi="宋体" w:hint="eastAsia"/>
                <w:color w:val="000000"/>
                <w:sz w:val="24"/>
              </w:rPr>
              <w:t>科学研究和技术服务业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color w:val="000000"/>
                <w:sz w:val="24"/>
              </w:rPr>
            </w:pPr>
            <w:r>
              <w:rPr>
                <w:color w:val="000000"/>
                <w:sz w:val="24"/>
              </w:rPr>
              <w:t>N</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color w:val="000000"/>
                <w:sz w:val="24"/>
              </w:rPr>
            </w:pPr>
            <w:r>
              <w:rPr>
                <w:rFonts w:ascii="宋体" w:hAnsi="宋体" w:hint="eastAsia"/>
                <w:color w:val="000000"/>
                <w:sz w:val="24"/>
              </w:rPr>
              <w:t>水利、环境和公共设施管理业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71,993.66</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0.77</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color w:val="000000"/>
                <w:sz w:val="24"/>
              </w:rPr>
            </w:pPr>
            <w:r>
              <w:rPr>
                <w:color w:val="000000"/>
                <w:sz w:val="24"/>
              </w:rPr>
              <w:t>O</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color w:val="000000"/>
                <w:sz w:val="24"/>
              </w:rPr>
            </w:pPr>
            <w:r>
              <w:rPr>
                <w:rFonts w:ascii="宋体" w:hAnsi="宋体" w:hint="eastAsia"/>
                <w:color w:val="000000"/>
                <w:sz w:val="24"/>
              </w:rPr>
              <w:t>居民服务、修理和其他服务业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color w:val="000000"/>
                <w:sz w:val="24"/>
              </w:rPr>
            </w:pPr>
            <w:r>
              <w:rPr>
                <w:color w:val="000000"/>
                <w:sz w:val="24"/>
              </w:rPr>
              <w:t>P</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color w:val="000000"/>
                <w:sz w:val="24"/>
              </w:rPr>
            </w:pPr>
            <w:r>
              <w:rPr>
                <w:rFonts w:ascii="宋体" w:hAnsi="宋体" w:hint="eastAsia"/>
                <w:color w:val="000000"/>
                <w:sz w:val="24"/>
              </w:rPr>
              <w:t>教育</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color w:val="000000"/>
                <w:sz w:val="24"/>
              </w:rPr>
            </w:pPr>
            <w:r>
              <w:rPr>
                <w:color w:val="000000"/>
                <w:sz w:val="24"/>
              </w:rPr>
              <w:t>Q</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color w:val="000000"/>
                <w:sz w:val="24"/>
              </w:rPr>
            </w:pPr>
            <w:r>
              <w:rPr>
                <w:rFonts w:ascii="宋体" w:hAnsi="宋体" w:hint="eastAsia"/>
                <w:color w:val="000000"/>
                <w:sz w:val="24"/>
              </w:rPr>
              <w:t>卫生和社会工作</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44,551.06</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0.48</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color w:val="000000"/>
                <w:sz w:val="24"/>
              </w:rPr>
            </w:pPr>
            <w:r>
              <w:rPr>
                <w:color w:val="000000"/>
                <w:sz w:val="24"/>
              </w:rPr>
              <w:t>R</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color w:val="000000"/>
                <w:sz w:val="24"/>
              </w:rPr>
            </w:pPr>
            <w:r>
              <w:rPr>
                <w:rFonts w:ascii="宋体" w:hAnsi="宋体" w:hint="eastAsia"/>
                <w:color w:val="000000"/>
                <w:sz w:val="24"/>
              </w:rPr>
              <w:t>文化、体育和娱乐业</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207,590.71</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2.22</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napToGrid w:val="0"/>
              <w:spacing w:before="29" w:line="288" w:lineRule="auto"/>
              <w:jc w:val="center"/>
              <w:rPr>
                <w:color w:val="000000"/>
                <w:sz w:val="24"/>
              </w:rPr>
            </w:pPr>
            <w:r>
              <w:rPr>
                <w:color w:val="000000"/>
                <w:sz w:val="24"/>
              </w:rPr>
              <w:t>S</w:t>
            </w: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color w:val="000000"/>
                <w:sz w:val="24"/>
              </w:rPr>
            </w:pPr>
            <w:r>
              <w:rPr>
                <w:rFonts w:ascii="宋体" w:hAnsi="宋体" w:hint="eastAsia"/>
                <w:color w:val="000000"/>
                <w:sz w:val="24"/>
              </w:rPr>
              <w:t>综合</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35,366.15</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0.38</w:t>
            </w:r>
          </w:p>
        </w:tc>
      </w:tr>
      <w:tr w:rsidR="00DD02DC" w:rsidTr="004A0597">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DD02DC" w:rsidRDefault="00DD02DC" w:rsidP="004A0597">
            <w:pPr>
              <w:snapToGrid w:val="0"/>
              <w:spacing w:before="29" w:line="288" w:lineRule="auto"/>
              <w:jc w:val="center"/>
              <w:rPr>
                <w:color w:val="000000"/>
                <w:sz w:val="24"/>
              </w:rPr>
            </w:pPr>
          </w:p>
        </w:tc>
        <w:tc>
          <w:tcPr>
            <w:tcW w:w="3452"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DD02DC" w:rsidRDefault="00DD02DC" w:rsidP="004A0597">
            <w:pPr>
              <w:snapToGrid w:val="0"/>
              <w:spacing w:before="29" w:line="288" w:lineRule="auto"/>
              <w:rPr>
                <w:color w:val="000000"/>
                <w:sz w:val="24"/>
              </w:rPr>
            </w:pPr>
            <w:r>
              <w:rPr>
                <w:rFonts w:ascii="宋体" w:hAnsi="宋体" w:hint="eastAsia"/>
                <w:color w:val="000000"/>
                <w:sz w:val="24"/>
              </w:rPr>
              <w:t>合计</w:t>
            </w:r>
          </w:p>
        </w:tc>
        <w:tc>
          <w:tcPr>
            <w:tcW w:w="28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8,618,915.56</w:t>
            </w:r>
          </w:p>
        </w:tc>
        <w:tc>
          <w:tcPr>
            <w:tcW w:w="167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DD02DC" w:rsidRDefault="00DD02DC" w:rsidP="004A0597">
            <w:pPr>
              <w:spacing w:before="29" w:line="288" w:lineRule="auto"/>
              <w:jc w:val="right"/>
              <w:rPr>
                <w:sz w:val="24"/>
              </w:rPr>
            </w:pPr>
            <w:r>
              <w:rPr>
                <w:sz w:val="24"/>
              </w:rPr>
              <w:t>92.24</w:t>
            </w:r>
          </w:p>
        </w:tc>
      </w:tr>
    </w:tbl>
    <w:p w:rsidR="00DD02DC" w:rsidRDefault="00DD02DC" w:rsidP="0099526C">
      <w:pPr>
        <w:autoSpaceDE w:val="0"/>
        <w:autoSpaceDN w:val="0"/>
        <w:adjustRightInd w:val="0"/>
        <w:spacing w:before="29" w:line="288" w:lineRule="auto"/>
        <w:jc w:val="left"/>
        <w:rPr>
          <w:b/>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Default="000625A6" w:rsidP="0099526C">
      <w:pPr>
        <w:spacing w:before="29" w:line="288" w:lineRule="auto"/>
        <w:rPr>
          <w:b/>
          <w:color w:val="000000"/>
          <w:kern w:val="0"/>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W w:w="8865" w:type="dxa"/>
        <w:jc w:val="center"/>
        <w:tblCellMar>
          <w:left w:w="0" w:type="dxa"/>
          <w:right w:w="0" w:type="dxa"/>
        </w:tblCellMar>
        <w:tblLook w:val="04A0" w:firstRow="1" w:lastRow="0" w:firstColumn="1" w:lastColumn="0" w:noHBand="0" w:noVBand="1"/>
      </w:tblPr>
      <w:tblGrid>
        <w:gridCol w:w="849"/>
        <w:gridCol w:w="1327"/>
        <w:gridCol w:w="1768"/>
        <w:gridCol w:w="1327"/>
        <w:gridCol w:w="1915"/>
        <w:gridCol w:w="1679"/>
      </w:tblGrid>
      <w:tr w:rsidR="005B2983" w:rsidTr="00A11102">
        <w:trPr>
          <w:jc w:val="center"/>
        </w:trPr>
        <w:tc>
          <w:tcPr>
            <w:tcW w:w="817"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5B2983" w:rsidRDefault="005B2983" w:rsidP="00A11102">
            <w:pPr>
              <w:spacing w:before="29" w:line="288" w:lineRule="auto"/>
              <w:ind w:left="17"/>
              <w:jc w:val="center"/>
              <w:rPr>
                <w:color w:val="000000"/>
                <w:sz w:val="24"/>
              </w:rPr>
            </w:pPr>
            <w:r>
              <w:rPr>
                <w:rFonts w:ascii="宋体" w:hAnsi="宋体" w:hint="eastAsia"/>
                <w:color w:val="000000"/>
                <w:sz w:val="24"/>
              </w:rPr>
              <w:t>序号</w:t>
            </w:r>
          </w:p>
        </w:tc>
        <w:tc>
          <w:tcPr>
            <w:tcW w:w="1276"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5B2983" w:rsidRDefault="005B2983" w:rsidP="00A11102">
            <w:pPr>
              <w:spacing w:before="29" w:line="288" w:lineRule="auto"/>
              <w:ind w:left="17"/>
              <w:jc w:val="center"/>
              <w:rPr>
                <w:color w:val="000000"/>
                <w:sz w:val="24"/>
              </w:rPr>
            </w:pPr>
            <w:r>
              <w:rPr>
                <w:rFonts w:ascii="宋体" w:hAnsi="宋体" w:hint="eastAsia"/>
                <w:color w:val="000000"/>
                <w:sz w:val="24"/>
              </w:rPr>
              <w:t>股票代码</w:t>
            </w:r>
          </w:p>
        </w:tc>
        <w:tc>
          <w:tcPr>
            <w:tcW w:w="1701"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5B2983" w:rsidRDefault="005B2983" w:rsidP="00A11102">
            <w:pPr>
              <w:spacing w:before="29" w:line="288" w:lineRule="auto"/>
              <w:ind w:left="17"/>
              <w:jc w:val="center"/>
              <w:rPr>
                <w:color w:val="000000"/>
                <w:sz w:val="24"/>
              </w:rPr>
            </w:pPr>
            <w:r>
              <w:rPr>
                <w:rFonts w:ascii="宋体" w:hAnsi="宋体" w:hint="eastAsia"/>
                <w:color w:val="000000"/>
                <w:sz w:val="24"/>
              </w:rPr>
              <w:t>股票名称</w:t>
            </w:r>
          </w:p>
        </w:tc>
        <w:tc>
          <w:tcPr>
            <w:tcW w:w="1276"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5B2983" w:rsidRDefault="005B2983" w:rsidP="00A11102">
            <w:pPr>
              <w:spacing w:before="29" w:line="288" w:lineRule="auto"/>
              <w:ind w:left="17"/>
              <w:jc w:val="center"/>
              <w:rPr>
                <w:color w:val="000000"/>
                <w:sz w:val="24"/>
              </w:rPr>
            </w:pPr>
            <w:r>
              <w:rPr>
                <w:rFonts w:ascii="宋体" w:hAnsi="宋体" w:hint="eastAsia"/>
                <w:color w:val="000000"/>
                <w:sz w:val="24"/>
              </w:rPr>
              <w:t>数量（股）</w:t>
            </w:r>
          </w:p>
        </w:tc>
        <w:tc>
          <w:tcPr>
            <w:tcW w:w="1842"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5B2983" w:rsidRDefault="005B2983" w:rsidP="00A11102">
            <w:pPr>
              <w:autoSpaceDE w:val="0"/>
              <w:autoSpaceDN w:val="0"/>
              <w:spacing w:before="29" w:line="288" w:lineRule="auto"/>
              <w:ind w:left="17"/>
              <w:jc w:val="center"/>
              <w:rPr>
                <w:color w:val="000000"/>
                <w:sz w:val="24"/>
              </w:rPr>
            </w:pPr>
            <w:r>
              <w:rPr>
                <w:rFonts w:ascii="宋体" w:hAnsi="宋体" w:hint="eastAsia"/>
                <w:color w:val="000000"/>
                <w:sz w:val="24"/>
              </w:rPr>
              <w:t>公允价值</w:t>
            </w:r>
            <w:r>
              <w:rPr>
                <w:color w:val="000000"/>
                <w:sz w:val="24"/>
              </w:rPr>
              <w:t>(</w:t>
            </w:r>
            <w:r>
              <w:rPr>
                <w:rFonts w:ascii="宋体" w:hAnsi="宋体" w:hint="eastAsia"/>
                <w:color w:val="000000"/>
                <w:sz w:val="24"/>
              </w:rPr>
              <w:t>元</w:t>
            </w:r>
            <w:r>
              <w:rPr>
                <w:color w:val="000000"/>
                <w:sz w:val="24"/>
              </w:rPr>
              <w:t>)</w:t>
            </w:r>
          </w:p>
        </w:tc>
        <w:tc>
          <w:tcPr>
            <w:tcW w:w="1616"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5B2983" w:rsidRDefault="005B2983" w:rsidP="00A11102">
            <w:pPr>
              <w:spacing w:before="29" w:line="288" w:lineRule="auto"/>
              <w:ind w:left="17"/>
              <w:jc w:val="center"/>
              <w:rPr>
                <w:color w:val="000000"/>
                <w:sz w:val="24"/>
              </w:rPr>
            </w:pPr>
            <w:r>
              <w:rPr>
                <w:rFonts w:ascii="宋体" w:hAnsi="宋体" w:hint="eastAsia"/>
                <w:color w:val="000000"/>
                <w:sz w:val="24"/>
              </w:rPr>
              <w:t>占基金资产净值比例（％）</w:t>
            </w:r>
          </w:p>
        </w:tc>
      </w:tr>
      <w:tr w:rsidR="005B2983" w:rsidRPr="00A12DD6"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1</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300017</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proofErr w:type="gramStart"/>
            <w:r w:rsidRPr="00583214">
              <w:rPr>
                <w:rFonts w:ascii="宋体" w:hAnsi="宋体" w:hint="eastAsia"/>
                <w:color w:val="000000"/>
                <w:sz w:val="24"/>
              </w:rPr>
              <w:t>网宿科技</w:t>
            </w:r>
            <w:proofErr w:type="gramEnd"/>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2,654</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123,198.68</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1.32</w:t>
            </w:r>
          </w:p>
        </w:tc>
      </w:tr>
      <w:tr w:rsidR="005B2983" w:rsidRPr="00A12DD6"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2</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002292</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rFonts w:ascii="宋体" w:hAnsi="宋体" w:hint="eastAsia"/>
                <w:color w:val="000000"/>
                <w:sz w:val="24"/>
              </w:rPr>
              <w:t>奥飞动漫</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2,400</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90,840.00</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0.97</w:t>
            </w:r>
          </w:p>
        </w:tc>
      </w:tr>
      <w:tr w:rsidR="005B2983" w:rsidRPr="00A12DD6"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3</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600886</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rFonts w:ascii="宋体" w:hAnsi="宋体" w:hint="eastAsia"/>
                <w:color w:val="000000"/>
                <w:sz w:val="24"/>
              </w:rPr>
              <w:t>国投电力</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5,891</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83,298.74</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0.89</w:t>
            </w:r>
          </w:p>
        </w:tc>
      </w:tr>
      <w:tr w:rsidR="005B2983" w:rsidRPr="00A12DD6"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4</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002353</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rFonts w:ascii="宋体" w:hAnsi="宋体" w:hint="eastAsia"/>
                <w:color w:val="000000"/>
                <w:sz w:val="24"/>
              </w:rPr>
              <w:t>杰瑞股份</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1,853</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82,180.55</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0.88</w:t>
            </w:r>
          </w:p>
        </w:tc>
      </w:tr>
      <w:tr w:rsidR="005B2983" w:rsidRPr="00A12DD6"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5</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600900</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rFonts w:ascii="宋体" w:hAnsi="宋体" w:hint="eastAsia"/>
                <w:color w:val="000000"/>
                <w:sz w:val="24"/>
              </w:rPr>
              <w:t>长江电力</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5,343</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76,672.05</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0.82</w:t>
            </w:r>
          </w:p>
        </w:tc>
      </w:tr>
      <w:tr w:rsidR="005B2983" w:rsidRPr="00A12DD6"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6</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600027</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rFonts w:ascii="宋体" w:hAnsi="宋体" w:hint="eastAsia"/>
                <w:color w:val="000000"/>
                <w:sz w:val="24"/>
              </w:rPr>
              <w:t>华电国际</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6,043</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67,198.16</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0.72</w:t>
            </w:r>
          </w:p>
        </w:tc>
      </w:tr>
      <w:tr w:rsidR="005B2983" w:rsidRPr="00A12DD6"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7</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601898</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rFonts w:ascii="宋体" w:hAnsi="宋体" w:hint="eastAsia"/>
                <w:color w:val="000000"/>
                <w:sz w:val="24"/>
              </w:rPr>
              <w:t>中煤能源</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5,592</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63,860.64</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0.68</w:t>
            </w:r>
          </w:p>
        </w:tc>
      </w:tr>
      <w:tr w:rsidR="005B2983" w:rsidRPr="00A12DD6"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8</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600583</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rFonts w:ascii="宋体" w:hAnsi="宋体" w:hint="eastAsia"/>
                <w:color w:val="000000"/>
                <w:sz w:val="24"/>
              </w:rPr>
              <w:t>海</w:t>
            </w:r>
            <w:proofErr w:type="gramStart"/>
            <w:r w:rsidRPr="00583214">
              <w:rPr>
                <w:rFonts w:ascii="宋体" w:hAnsi="宋体" w:hint="eastAsia"/>
                <w:color w:val="000000"/>
                <w:sz w:val="24"/>
              </w:rPr>
              <w:t>油工程</w:t>
            </w:r>
            <w:proofErr w:type="gramEnd"/>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3,831</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63,824.46</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0.68</w:t>
            </w:r>
          </w:p>
        </w:tc>
      </w:tr>
      <w:tr w:rsidR="005B2983" w:rsidRPr="00A12DD6"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9</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600863</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rFonts w:ascii="宋体" w:hAnsi="宋体" w:hint="eastAsia"/>
                <w:color w:val="000000"/>
                <w:sz w:val="24"/>
              </w:rPr>
              <w:t>内蒙华电</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7,746</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63,362.28</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0.68</w:t>
            </w:r>
          </w:p>
        </w:tc>
      </w:tr>
      <w:tr w:rsidR="005B2983"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10</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color w:val="000000"/>
                <w:sz w:val="24"/>
              </w:rPr>
              <w:t>600688</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center"/>
            </w:pPr>
            <w:r w:rsidRPr="00583214">
              <w:rPr>
                <w:rFonts w:ascii="宋体" w:hAnsi="宋体" w:hint="eastAsia"/>
                <w:color w:val="000000"/>
                <w:sz w:val="24"/>
              </w:rPr>
              <w:t>上海石化</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5,821</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62,459.33</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5B2983" w:rsidRPr="00583214" w:rsidRDefault="005B2983" w:rsidP="00A11102">
            <w:pPr>
              <w:jc w:val="right"/>
            </w:pPr>
            <w:r w:rsidRPr="00583214">
              <w:rPr>
                <w:color w:val="000000"/>
                <w:sz w:val="24"/>
              </w:rPr>
              <w:t>0.67</w:t>
            </w:r>
          </w:p>
        </w:tc>
      </w:tr>
    </w:tbl>
    <w:p w:rsidR="005B2983" w:rsidRDefault="005B2983" w:rsidP="0099526C">
      <w:pPr>
        <w:spacing w:before="29" w:line="288" w:lineRule="auto"/>
        <w:rPr>
          <w:b/>
          <w:color w:val="000000"/>
          <w:kern w:val="0"/>
          <w:sz w:val="24"/>
        </w:rPr>
      </w:pPr>
    </w:p>
    <w:p w:rsidR="000625A6"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W w:w="8865" w:type="dxa"/>
        <w:jc w:val="center"/>
        <w:tblCellMar>
          <w:left w:w="0" w:type="dxa"/>
          <w:right w:w="0" w:type="dxa"/>
        </w:tblCellMar>
        <w:tblLook w:val="04A0" w:firstRow="1" w:lastRow="0" w:firstColumn="1" w:lastColumn="0" w:noHBand="0" w:noVBand="1"/>
      </w:tblPr>
      <w:tblGrid>
        <w:gridCol w:w="850"/>
        <w:gridCol w:w="1327"/>
        <w:gridCol w:w="1768"/>
        <w:gridCol w:w="1327"/>
        <w:gridCol w:w="1914"/>
        <w:gridCol w:w="1679"/>
      </w:tblGrid>
      <w:tr w:rsidR="00642058" w:rsidTr="00583214">
        <w:trPr>
          <w:trHeight w:val="748"/>
          <w:jc w:val="center"/>
        </w:trPr>
        <w:tc>
          <w:tcPr>
            <w:tcW w:w="817"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642058" w:rsidRDefault="00642058" w:rsidP="00A11102">
            <w:pPr>
              <w:spacing w:before="29" w:line="288" w:lineRule="auto"/>
              <w:ind w:left="17"/>
              <w:jc w:val="center"/>
              <w:rPr>
                <w:color w:val="000000"/>
                <w:sz w:val="24"/>
              </w:rPr>
            </w:pPr>
            <w:r>
              <w:rPr>
                <w:rFonts w:ascii="宋体" w:hAnsi="宋体" w:hint="eastAsia"/>
                <w:color w:val="000000"/>
                <w:sz w:val="24"/>
              </w:rPr>
              <w:t>序号</w:t>
            </w:r>
          </w:p>
        </w:tc>
        <w:tc>
          <w:tcPr>
            <w:tcW w:w="1276"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642058" w:rsidRDefault="00642058" w:rsidP="00A11102">
            <w:pPr>
              <w:spacing w:before="29" w:line="288" w:lineRule="auto"/>
              <w:ind w:left="17"/>
              <w:jc w:val="center"/>
              <w:rPr>
                <w:color w:val="000000"/>
                <w:sz w:val="24"/>
              </w:rPr>
            </w:pPr>
            <w:r>
              <w:rPr>
                <w:rFonts w:ascii="宋体" w:hAnsi="宋体" w:hint="eastAsia"/>
                <w:color w:val="000000"/>
                <w:sz w:val="24"/>
              </w:rPr>
              <w:t>股票代码</w:t>
            </w:r>
          </w:p>
        </w:tc>
        <w:tc>
          <w:tcPr>
            <w:tcW w:w="1701"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642058" w:rsidRDefault="00642058" w:rsidP="00A11102">
            <w:pPr>
              <w:spacing w:before="29" w:line="288" w:lineRule="auto"/>
              <w:ind w:left="17"/>
              <w:jc w:val="center"/>
              <w:rPr>
                <w:color w:val="000000"/>
                <w:sz w:val="24"/>
              </w:rPr>
            </w:pPr>
            <w:r>
              <w:rPr>
                <w:rFonts w:ascii="宋体" w:hAnsi="宋体" w:hint="eastAsia"/>
                <w:color w:val="000000"/>
                <w:sz w:val="24"/>
              </w:rPr>
              <w:t>股票名称</w:t>
            </w:r>
          </w:p>
        </w:tc>
        <w:tc>
          <w:tcPr>
            <w:tcW w:w="1276"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642058" w:rsidRDefault="00642058" w:rsidP="00A11102">
            <w:pPr>
              <w:spacing w:before="29" w:line="288" w:lineRule="auto"/>
              <w:ind w:left="17"/>
              <w:jc w:val="center"/>
              <w:rPr>
                <w:color w:val="000000"/>
                <w:sz w:val="24"/>
              </w:rPr>
            </w:pPr>
            <w:r>
              <w:rPr>
                <w:rFonts w:ascii="宋体" w:hAnsi="宋体" w:hint="eastAsia"/>
                <w:color w:val="000000"/>
                <w:sz w:val="24"/>
              </w:rPr>
              <w:t>数量（股）</w:t>
            </w:r>
          </w:p>
        </w:tc>
        <w:tc>
          <w:tcPr>
            <w:tcW w:w="1842"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642058" w:rsidRDefault="00642058" w:rsidP="00A11102">
            <w:pPr>
              <w:autoSpaceDE w:val="0"/>
              <w:autoSpaceDN w:val="0"/>
              <w:spacing w:before="29" w:line="288" w:lineRule="auto"/>
              <w:ind w:left="17"/>
              <w:jc w:val="center"/>
              <w:rPr>
                <w:color w:val="000000"/>
                <w:sz w:val="24"/>
              </w:rPr>
            </w:pPr>
            <w:r>
              <w:rPr>
                <w:rFonts w:ascii="宋体" w:hAnsi="宋体" w:hint="eastAsia"/>
                <w:color w:val="000000"/>
                <w:sz w:val="24"/>
              </w:rPr>
              <w:t>公允价值</w:t>
            </w:r>
            <w:r>
              <w:rPr>
                <w:color w:val="000000"/>
                <w:sz w:val="24"/>
              </w:rPr>
              <w:t>(</w:t>
            </w:r>
            <w:r>
              <w:rPr>
                <w:rFonts w:ascii="宋体" w:hAnsi="宋体" w:hint="eastAsia"/>
                <w:color w:val="000000"/>
                <w:sz w:val="24"/>
              </w:rPr>
              <w:t>元</w:t>
            </w:r>
            <w:r>
              <w:rPr>
                <w:color w:val="000000"/>
                <w:sz w:val="24"/>
              </w:rPr>
              <w:t>)</w:t>
            </w:r>
          </w:p>
        </w:tc>
        <w:tc>
          <w:tcPr>
            <w:tcW w:w="1616"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642058" w:rsidRDefault="00642058" w:rsidP="00A11102">
            <w:pPr>
              <w:spacing w:before="29" w:line="288" w:lineRule="auto"/>
              <w:ind w:left="17"/>
              <w:jc w:val="center"/>
              <w:rPr>
                <w:color w:val="000000"/>
                <w:sz w:val="24"/>
              </w:rPr>
            </w:pPr>
            <w:r>
              <w:rPr>
                <w:rFonts w:ascii="宋体" w:hAnsi="宋体" w:hint="eastAsia"/>
                <w:color w:val="000000"/>
                <w:sz w:val="24"/>
              </w:rPr>
              <w:t>占基金资产净值比例（％）</w:t>
            </w:r>
          </w:p>
        </w:tc>
      </w:tr>
      <w:tr w:rsidR="00642058"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center"/>
            </w:pPr>
            <w:r w:rsidRPr="00583214">
              <w:rPr>
                <w:color w:val="000000"/>
                <w:sz w:val="24"/>
              </w:rPr>
              <w:t>1</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center"/>
            </w:pPr>
            <w:r w:rsidRPr="00583214">
              <w:rPr>
                <w:color w:val="000000"/>
                <w:sz w:val="24"/>
              </w:rPr>
              <w:t>002416</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center"/>
            </w:pPr>
            <w:r w:rsidRPr="00583214">
              <w:rPr>
                <w:rFonts w:ascii="宋体" w:hAnsi="宋体" w:hint="eastAsia"/>
                <w:color w:val="000000"/>
                <w:sz w:val="24"/>
              </w:rPr>
              <w:t>爱施德</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right"/>
            </w:pPr>
            <w:r w:rsidRPr="00583214">
              <w:rPr>
                <w:color w:val="000000"/>
                <w:sz w:val="24"/>
              </w:rPr>
              <w:t>3,660</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right"/>
            </w:pPr>
            <w:r w:rsidRPr="00583214">
              <w:rPr>
                <w:color w:val="000000"/>
                <w:sz w:val="24"/>
              </w:rPr>
              <w:t>75,652.20</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right"/>
            </w:pPr>
            <w:r w:rsidRPr="00583214">
              <w:rPr>
                <w:color w:val="000000"/>
                <w:sz w:val="24"/>
              </w:rPr>
              <w:t>0.81</w:t>
            </w:r>
          </w:p>
        </w:tc>
      </w:tr>
      <w:tr w:rsidR="00642058"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center"/>
            </w:pPr>
            <w:r w:rsidRPr="00583214">
              <w:rPr>
                <w:color w:val="000000"/>
                <w:sz w:val="24"/>
              </w:rPr>
              <w:t>2</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center"/>
            </w:pPr>
            <w:r w:rsidRPr="00583214">
              <w:rPr>
                <w:color w:val="000000"/>
                <w:sz w:val="24"/>
              </w:rPr>
              <w:t>600395</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center"/>
            </w:pPr>
            <w:r w:rsidRPr="00583214">
              <w:rPr>
                <w:rFonts w:ascii="宋体" w:hAnsi="宋体" w:hint="eastAsia"/>
                <w:color w:val="000000"/>
                <w:sz w:val="24"/>
              </w:rPr>
              <w:t>盘江股份</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right"/>
            </w:pPr>
            <w:r w:rsidRPr="00583214">
              <w:rPr>
                <w:color w:val="000000"/>
                <w:sz w:val="24"/>
              </w:rPr>
              <w:t>4,150</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right"/>
            </w:pPr>
            <w:r w:rsidRPr="00583214">
              <w:rPr>
                <w:color w:val="000000"/>
                <w:sz w:val="24"/>
              </w:rPr>
              <w:t>65,196.50</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right"/>
            </w:pPr>
            <w:r w:rsidRPr="00583214">
              <w:rPr>
                <w:color w:val="000000"/>
                <w:sz w:val="24"/>
              </w:rPr>
              <w:t>0.70</w:t>
            </w:r>
          </w:p>
        </w:tc>
      </w:tr>
      <w:tr w:rsidR="00642058" w:rsidTr="00A11102">
        <w:trPr>
          <w:jc w:val="center"/>
        </w:trPr>
        <w:tc>
          <w:tcPr>
            <w:tcW w:w="85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center"/>
            </w:pPr>
            <w:r w:rsidRPr="00583214">
              <w:rPr>
                <w:color w:val="000000"/>
                <w:sz w:val="24"/>
              </w:rPr>
              <w:t>3</w:t>
            </w:r>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center"/>
            </w:pPr>
            <w:r w:rsidRPr="00583214">
              <w:rPr>
                <w:color w:val="000000"/>
                <w:sz w:val="24"/>
              </w:rPr>
              <w:t>002429</w:t>
            </w:r>
          </w:p>
        </w:tc>
        <w:tc>
          <w:tcPr>
            <w:tcW w:w="176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center"/>
            </w:pPr>
            <w:proofErr w:type="gramStart"/>
            <w:r w:rsidRPr="00583214">
              <w:rPr>
                <w:rFonts w:ascii="宋体" w:hAnsi="宋体" w:hint="eastAsia"/>
                <w:color w:val="000000"/>
                <w:sz w:val="24"/>
              </w:rPr>
              <w:t>兆驰股份</w:t>
            </w:r>
            <w:proofErr w:type="gramEnd"/>
          </w:p>
        </w:tc>
        <w:tc>
          <w:tcPr>
            <w:tcW w:w="132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right"/>
            </w:pPr>
            <w:r w:rsidRPr="00583214">
              <w:rPr>
                <w:color w:val="000000"/>
                <w:sz w:val="24"/>
              </w:rPr>
              <w:t>3,350</w:t>
            </w:r>
          </w:p>
        </w:tc>
        <w:tc>
          <w:tcPr>
            <w:tcW w:w="191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right"/>
            </w:pPr>
            <w:r w:rsidRPr="00583214">
              <w:rPr>
                <w:color w:val="000000"/>
                <w:sz w:val="24"/>
              </w:rPr>
              <w:t>43,215.00</w:t>
            </w:r>
          </w:p>
        </w:tc>
        <w:tc>
          <w:tcPr>
            <w:tcW w:w="1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642058" w:rsidRPr="00583214" w:rsidRDefault="00642058" w:rsidP="00A11102">
            <w:pPr>
              <w:jc w:val="right"/>
            </w:pPr>
            <w:r w:rsidRPr="00583214">
              <w:rPr>
                <w:color w:val="000000"/>
                <w:sz w:val="24"/>
              </w:rPr>
              <w:t>0.46</w:t>
            </w:r>
          </w:p>
        </w:tc>
      </w:tr>
    </w:tbl>
    <w:p w:rsidR="00642058" w:rsidRPr="0036023B" w:rsidRDefault="00642058"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835"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694"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可转债</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4,359.30</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0.05</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8</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9</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4,359.30</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0.05</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00567">
        <w:trPr>
          <w:jc w:val="center"/>
        </w:trPr>
        <w:tc>
          <w:tcPr>
            <w:tcW w:w="1302" w:type="dxa"/>
            <w:vAlign w:val="center"/>
          </w:tcPr>
          <w:p w:rsidR="00000567" w:rsidRDefault="00382AB6">
            <w:pPr>
              <w:jc w:val="center"/>
            </w:pPr>
            <w:r>
              <w:rPr>
                <w:color w:val="000000"/>
                <w:sz w:val="24"/>
              </w:rPr>
              <w:t>1</w:t>
            </w:r>
          </w:p>
        </w:tc>
        <w:tc>
          <w:tcPr>
            <w:tcW w:w="1362" w:type="dxa"/>
            <w:vAlign w:val="center"/>
          </w:tcPr>
          <w:p w:rsidR="00000567" w:rsidRDefault="00382AB6">
            <w:pPr>
              <w:jc w:val="center"/>
            </w:pPr>
            <w:r>
              <w:rPr>
                <w:color w:val="000000"/>
                <w:sz w:val="24"/>
              </w:rPr>
              <w:t>110031</w:t>
            </w:r>
          </w:p>
        </w:tc>
        <w:tc>
          <w:tcPr>
            <w:tcW w:w="1333" w:type="dxa"/>
            <w:vAlign w:val="center"/>
          </w:tcPr>
          <w:p w:rsidR="00000567" w:rsidRDefault="00382AB6">
            <w:pPr>
              <w:jc w:val="center"/>
            </w:pPr>
            <w:r>
              <w:rPr>
                <w:color w:val="000000"/>
                <w:sz w:val="24"/>
              </w:rPr>
              <w:t>航信转债</w:t>
            </w:r>
          </w:p>
        </w:tc>
        <w:tc>
          <w:tcPr>
            <w:tcW w:w="1483" w:type="dxa"/>
            <w:vAlign w:val="center"/>
          </w:tcPr>
          <w:p w:rsidR="00000567" w:rsidRDefault="00382AB6">
            <w:pPr>
              <w:jc w:val="right"/>
            </w:pPr>
            <w:r>
              <w:rPr>
                <w:color w:val="000000"/>
                <w:sz w:val="24"/>
              </w:rPr>
              <w:t>30</w:t>
            </w:r>
          </w:p>
        </w:tc>
        <w:tc>
          <w:tcPr>
            <w:tcW w:w="1712" w:type="dxa"/>
            <w:vAlign w:val="center"/>
          </w:tcPr>
          <w:p w:rsidR="00000567" w:rsidRDefault="00382AB6">
            <w:pPr>
              <w:jc w:val="right"/>
            </w:pPr>
            <w:r>
              <w:rPr>
                <w:color w:val="000000"/>
                <w:sz w:val="24"/>
              </w:rPr>
              <w:t>4,359.30</w:t>
            </w:r>
          </w:p>
        </w:tc>
        <w:tc>
          <w:tcPr>
            <w:tcW w:w="1676" w:type="dxa"/>
            <w:vAlign w:val="center"/>
          </w:tcPr>
          <w:p w:rsidR="00000567" w:rsidRDefault="00382AB6">
            <w:pPr>
              <w:jc w:val="right"/>
            </w:pPr>
            <w:r>
              <w:rPr>
                <w:color w:val="000000"/>
                <w:sz w:val="24"/>
              </w:rPr>
              <w:t>0.05</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9,146.06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118,844.18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201.32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128,191.56</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583214">
        <w:trPr>
          <w:jc w:val="center"/>
        </w:trPr>
        <w:tc>
          <w:tcPr>
            <w:tcW w:w="1129"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56"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80"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724"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424"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000567">
        <w:trPr>
          <w:jc w:val="center"/>
        </w:trPr>
        <w:tc>
          <w:tcPr>
            <w:tcW w:w="1129" w:type="dxa"/>
            <w:vAlign w:val="center"/>
          </w:tcPr>
          <w:p w:rsidR="00000567" w:rsidRDefault="00382AB6">
            <w:pPr>
              <w:jc w:val="center"/>
            </w:pPr>
            <w:r>
              <w:rPr>
                <w:color w:val="000000"/>
                <w:sz w:val="24"/>
              </w:rPr>
              <w:t>1</w:t>
            </w:r>
          </w:p>
        </w:tc>
        <w:tc>
          <w:tcPr>
            <w:tcW w:w="1356" w:type="dxa"/>
            <w:vAlign w:val="center"/>
          </w:tcPr>
          <w:p w:rsidR="00000567" w:rsidRDefault="00382AB6">
            <w:pPr>
              <w:jc w:val="center"/>
            </w:pPr>
            <w:r>
              <w:rPr>
                <w:color w:val="000000"/>
                <w:sz w:val="24"/>
              </w:rPr>
              <w:t>002292</w:t>
            </w:r>
          </w:p>
        </w:tc>
        <w:tc>
          <w:tcPr>
            <w:tcW w:w="1355" w:type="dxa"/>
            <w:vAlign w:val="center"/>
          </w:tcPr>
          <w:p w:rsidR="00000567" w:rsidRDefault="00382AB6">
            <w:pPr>
              <w:jc w:val="center"/>
            </w:pPr>
            <w:r>
              <w:rPr>
                <w:color w:val="000000"/>
                <w:sz w:val="24"/>
              </w:rPr>
              <w:t>奥飞动漫</w:t>
            </w:r>
          </w:p>
        </w:tc>
        <w:tc>
          <w:tcPr>
            <w:tcW w:w="1880" w:type="dxa"/>
            <w:vAlign w:val="center"/>
          </w:tcPr>
          <w:p w:rsidR="00000567" w:rsidRDefault="00382AB6">
            <w:pPr>
              <w:jc w:val="right"/>
            </w:pPr>
            <w:r>
              <w:rPr>
                <w:color w:val="000000"/>
                <w:sz w:val="24"/>
              </w:rPr>
              <w:t>90,840.00</w:t>
            </w:r>
          </w:p>
        </w:tc>
        <w:tc>
          <w:tcPr>
            <w:tcW w:w="1724" w:type="dxa"/>
            <w:vAlign w:val="center"/>
          </w:tcPr>
          <w:p w:rsidR="00000567" w:rsidRDefault="00382AB6">
            <w:pPr>
              <w:jc w:val="right"/>
            </w:pPr>
            <w:r>
              <w:rPr>
                <w:color w:val="000000"/>
                <w:sz w:val="24"/>
              </w:rPr>
              <w:t>0.97</w:t>
            </w:r>
          </w:p>
        </w:tc>
        <w:tc>
          <w:tcPr>
            <w:tcW w:w="1424" w:type="dxa"/>
            <w:vAlign w:val="center"/>
          </w:tcPr>
          <w:p w:rsidR="00000567" w:rsidRDefault="00382AB6">
            <w:pPr>
              <w:jc w:val="right"/>
            </w:pPr>
            <w:r>
              <w:rPr>
                <w:color w:val="000000"/>
                <w:sz w:val="24"/>
              </w:rPr>
              <w:t>重大事项</w:t>
            </w:r>
          </w:p>
        </w:tc>
      </w:tr>
      <w:tr w:rsidR="00000567">
        <w:trPr>
          <w:jc w:val="center"/>
        </w:trPr>
        <w:tc>
          <w:tcPr>
            <w:tcW w:w="1129" w:type="dxa"/>
            <w:vAlign w:val="center"/>
          </w:tcPr>
          <w:p w:rsidR="00000567" w:rsidRDefault="00382AB6">
            <w:pPr>
              <w:jc w:val="center"/>
            </w:pPr>
            <w:r>
              <w:rPr>
                <w:color w:val="000000"/>
                <w:sz w:val="24"/>
              </w:rPr>
              <w:t>2</w:t>
            </w:r>
          </w:p>
        </w:tc>
        <w:tc>
          <w:tcPr>
            <w:tcW w:w="1356" w:type="dxa"/>
            <w:vAlign w:val="center"/>
          </w:tcPr>
          <w:p w:rsidR="00000567" w:rsidRDefault="00382AB6">
            <w:pPr>
              <w:jc w:val="center"/>
            </w:pPr>
            <w:r>
              <w:rPr>
                <w:color w:val="000000"/>
                <w:sz w:val="24"/>
              </w:rPr>
              <w:t>600886</w:t>
            </w:r>
          </w:p>
        </w:tc>
        <w:tc>
          <w:tcPr>
            <w:tcW w:w="1355" w:type="dxa"/>
            <w:vAlign w:val="center"/>
          </w:tcPr>
          <w:p w:rsidR="00000567" w:rsidRDefault="00382AB6">
            <w:pPr>
              <w:jc w:val="center"/>
            </w:pPr>
            <w:r>
              <w:rPr>
                <w:color w:val="000000"/>
                <w:sz w:val="24"/>
              </w:rPr>
              <w:t>国投电力</w:t>
            </w:r>
          </w:p>
        </w:tc>
        <w:tc>
          <w:tcPr>
            <w:tcW w:w="1880" w:type="dxa"/>
            <w:vAlign w:val="center"/>
          </w:tcPr>
          <w:p w:rsidR="00000567" w:rsidRDefault="00382AB6">
            <w:pPr>
              <w:jc w:val="right"/>
            </w:pPr>
            <w:r>
              <w:rPr>
                <w:color w:val="000000"/>
                <w:sz w:val="24"/>
              </w:rPr>
              <w:t>83,298.74</w:t>
            </w:r>
          </w:p>
        </w:tc>
        <w:tc>
          <w:tcPr>
            <w:tcW w:w="1724" w:type="dxa"/>
            <w:vAlign w:val="center"/>
          </w:tcPr>
          <w:p w:rsidR="00000567" w:rsidRDefault="00382AB6">
            <w:pPr>
              <w:jc w:val="right"/>
            </w:pPr>
            <w:r>
              <w:rPr>
                <w:color w:val="000000"/>
                <w:sz w:val="24"/>
              </w:rPr>
              <w:t>0.89</w:t>
            </w:r>
          </w:p>
        </w:tc>
        <w:tc>
          <w:tcPr>
            <w:tcW w:w="1424" w:type="dxa"/>
            <w:vAlign w:val="center"/>
          </w:tcPr>
          <w:p w:rsidR="00000567" w:rsidRDefault="00382AB6">
            <w:pPr>
              <w:jc w:val="right"/>
            </w:pPr>
            <w:r>
              <w:rPr>
                <w:color w:val="000000"/>
                <w:sz w:val="24"/>
              </w:rPr>
              <w:t>重大事项</w:t>
            </w:r>
          </w:p>
        </w:tc>
      </w:tr>
      <w:tr w:rsidR="00000567">
        <w:trPr>
          <w:jc w:val="center"/>
        </w:trPr>
        <w:tc>
          <w:tcPr>
            <w:tcW w:w="1129" w:type="dxa"/>
            <w:vAlign w:val="center"/>
          </w:tcPr>
          <w:p w:rsidR="00000567" w:rsidRDefault="00382AB6">
            <w:pPr>
              <w:jc w:val="center"/>
            </w:pPr>
            <w:r>
              <w:rPr>
                <w:color w:val="000000"/>
                <w:sz w:val="24"/>
              </w:rPr>
              <w:t>3</w:t>
            </w:r>
          </w:p>
        </w:tc>
        <w:tc>
          <w:tcPr>
            <w:tcW w:w="1356" w:type="dxa"/>
            <w:vAlign w:val="center"/>
          </w:tcPr>
          <w:p w:rsidR="00000567" w:rsidRDefault="00382AB6">
            <w:pPr>
              <w:jc w:val="center"/>
            </w:pPr>
            <w:r>
              <w:rPr>
                <w:color w:val="000000"/>
                <w:sz w:val="24"/>
              </w:rPr>
              <w:t>002353</w:t>
            </w:r>
          </w:p>
        </w:tc>
        <w:tc>
          <w:tcPr>
            <w:tcW w:w="1355" w:type="dxa"/>
            <w:vAlign w:val="center"/>
          </w:tcPr>
          <w:p w:rsidR="00000567" w:rsidRDefault="00382AB6">
            <w:pPr>
              <w:jc w:val="center"/>
            </w:pPr>
            <w:r>
              <w:rPr>
                <w:color w:val="000000"/>
                <w:sz w:val="24"/>
              </w:rPr>
              <w:t>杰瑞股份</w:t>
            </w:r>
          </w:p>
        </w:tc>
        <w:tc>
          <w:tcPr>
            <w:tcW w:w="1880" w:type="dxa"/>
            <w:vAlign w:val="center"/>
          </w:tcPr>
          <w:p w:rsidR="00000567" w:rsidRDefault="00382AB6">
            <w:pPr>
              <w:jc w:val="right"/>
            </w:pPr>
            <w:r>
              <w:rPr>
                <w:color w:val="000000"/>
                <w:sz w:val="24"/>
              </w:rPr>
              <w:t>82,180.55</w:t>
            </w:r>
          </w:p>
        </w:tc>
        <w:tc>
          <w:tcPr>
            <w:tcW w:w="1724" w:type="dxa"/>
            <w:vAlign w:val="center"/>
          </w:tcPr>
          <w:p w:rsidR="00000567" w:rsidRDefault="00382AB6">
            <w:pPr>
              <w:jc w:val="right"/>
            </w:pPr>
            <w:r>
              <w:rPr>
                <w:color w:val="000000"/>
                <w:sz w:val="24"/>
              </w:rPr>
              <w:t>0.88</w:t>
            </w:r>
          </w:p>
        </w:tc>
        <w:tc>
          <w:tcPr>
            <w:tcW w:w="1424" w:type="dxa"/>
            <w:vAlign w:val="center"/>
          </w:tcPr>
          <w:p w:rsidR="00000567" w:rsidRDefault="00382AB6">
            <w:pPr>
              <w:jc w:val="right"/>
            </w:pPr>
            <w:r>
              <w:rPr>
                <w:color w:val="000000"/>
                <w:sz w:val="24"/>
              </w:rPr>
              <w:t>重大事项</w:t>
            </w:r>
          </w:p>
        </w:tc>
      </w:tr>
      <w:tr w:rsidR="00000567">
        <w:trPr>
          <w:jc w:val="center"/>
        </w:trPr>
        <w:tc>
          <w:tcPr>
            <w:tcW w:w="1129" w:type="dxa"/>
            <w:vAlign w:val="center"/>
          </w:tcPr>
          <w:p w:rsidR="00000567" w:rsidRDefault="00382AB6">
            <w:pPr>
              <w:jc w:val="center"/>
            </w:pPr>
            <w:r>
              <w:rPr>
                <w:color w:val="000000"/>
                <w:sz w:val="24"/>
              </w:rPr>
              <w:t>4</w:t>
            </w:r>
          </w:p>
        </w:tc>
        <w:tc>
          <w:tcPr>
            <w:tcW w:w="1356" w:type="dxa"/>
            <w:vAlign w:val="center"/>
          </w:tcPr>
          <w:p w:rsidR="00000567" w:rsidRDefault="00382AB6">
            <w:pPr>
              <w:jc w:val="center"/>
            </w:pPr>
            <w:r>
              <w:rPr>
                <w:color w:val="000000"/>
                <w:sz w:val="24"/>
              </w:rPr>
              <w:t>600900</w:t>
            </w:r>
          </w:p>
        </w:tc>
        <w:tc>
          <w:tcPr>
            <w:tcW w:w="1355" w:type="dxa"/>
            <w:vAlign w:val="center"/>
          </w:tcPr>
          <w:p w:rsidR="00000567" w:rsidRDefault="00382AB6">
            <w:pPr>
              <w:jc w:val="center"/>
            </w:pPr>
            <w:r>
              <w:rPr>
                <w:color w:val="000000"/>
                <w:sz w:val="24"/>
              </w:rPr>
              <w:t>长江电力</w:t>
            </w:r>
          </w:p>
        </w:tc>
        <w:tc>
          <w:tcPr>
            <w:tcW w:w="1880" w:type="dxa"/>
            <w:vAlign w:val="center"/>
          </w:tcPr>
          <w:p w:rsidR="00000567" w:rsidRDefault="00382AB6">
            <w:pPr>
              <w:jc w:val="right"/>
            </w:pPr>
            <w:r>
              <w:rPr>
                <w:color w:val="000000"/>
                <w:sz w:val="24"/>
              </w:rPr>
              <w:t>76,672.05</w:t>
            </w:r>
          </w:p>
        </w:tc>
        <w:tc>
          <w:tcPr>
            <w:tcW w:w="1724" w:type="dxa"/>
            <w:vAlign w:val="center"/>
          </w:tcPr>
          <w:p w:rsidR="00000567" w:rsidRDefault="00382AB6">
            <w:pPr>
              <w:jc w:val="right"/>
            </w:pPr>
            <w:r>
              <w:rPr>
                <w:color w:val="000000"/>
                <w:sz w:val="24"/>
              </w:rPr>
              <w:t>0.82</w:t>
            </w:r>
          </w:p>
        </w:tc>
        <w:tc>
          <w:tcPr>
            <w:tcW w:w="1424" w:type="dxa"/>
            <w:vAlign w:val="center"/>
          </w:tcPr>
          <w:p w:rsidR="00000567" w:rsidRDefault="00382AB6">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D55E99">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000567">
        <w:trPr>
          <w:jc w:val="center"/>
        </w:trPr>
        <w:tc>
          <w:tcPr>
            <w:tcW w:w="1129" w:type="dxa"/>
            <w:vAlign w:val="center"/>
          </w:tcPr>
          <w:p w:rsidR="00000567" w:rsidRDefault="00382AB6">
            <w:pPr>
              <w:jc w:val="center"/>
            </w:pPr>
            <w:r>
              <w:rPr>
                <w:color w:val="000000"/>
                <w:sz w:val="24"/>
              </w:rPr>
              <w:t>1</w:t>
            </w:r>
          </w:p>
        </w:tc>
        <w:tc>
          <w:tcPr>
            <w:tcW w:w="1356" w:type="dxa"/>
            <w:vAlign w:val="center"/>
          </w:tcPr>
          <w:p w:rsidR="00000567" w:rsidRDefault="00382AB6">
            <w:pPr>
              <w:jc w:val="center"/>
            </w:pPr>
            <w:r>
              <w:rPr>
                <w:color w:val="000000"/>
                <w:sz w:val="24"/>
              </w:rPr>
              <w:t>002416</w:t>
            </w:r>
          </w:p>
        </w:tc>
        <w:tc>
          <w:tcPr>
            <w:tcW w:w="1355" w:type="dxa"/>
            <w:vAlign w:val="center"/>
          </w:tcPr>
          <w:p w:rsidR="00000567" w:rsidRDefault="00382AB6">
            <w:pPr>
              <w:jc w:val="center"/>
            </w:pPr>
            <w:r>
              <w:rPr>
                <w:color w:val="000000"/>
                <w:sz w:val="24"/>
              </w:rPr>
              <w:t>爱施德</w:t>
            </w:r>
          </w:p>
        </w:tc>
        <w:tc>
          <w:tcPr>
            <w:tcW w:w="1880" w:type="dxa"/>
            <w:vAlign w:val="center"/>
          </w:tcPr>
          <w:p w:rsidR="00000567" w:rsidRDefault="00382AB6">
            <w:pPr>
              <w:jc w:val="right"/>
            </w:pPr>
            <w:r>
              <w:rPr>
                <w:color w:val="000000"/>
                <w:sz w:val="24"/>
              </w:rPr>
              <w:t>75,652.20</w:t>
            </w:r>
          </w:p>
        </w:tc>
        <w:tc>
          <w:tcPr>
            <w:tcW w:w="1724" w:type="dxa"/>
            <w:vAlign w:val="center"/>
          </w:tcPr>
          <w:p w:rsidR="00000567" w:rsidRDefault="00382AB6">
            <w:pPr>
              <w:jc w:val="right"/>
            </w:pPr>
            <w:r>
              <w:rPr>
                <w:color w:val="000000"/>
                <w:sz w:val="24"/>
              </w:rPr>
              <w:t>0.81</w:t>
            </w:r>
          </w:p>
        </w:tc>
        <w:tc>
          <w:tcPr>
            <w:tcW w:w="1424" w:type="dxa"/>
            <w:vAlign w:val="center"/>
          </w:tcPr>
          <w:p w:rsidR="00000567" w:rsidRDefault="00382AB6">
            <w:pPr>
              <w:jc w:val="right"/>
            </w:pPr>
            <w:r>
              <w:rPr>
                <w:color w:val="000000"/>
                <w:sz w:val="24"/>
              </w:rPr>
              <w:t>重大事项</w:t>
            </w:r>
          </w:p>
        </w:tc>
      </w:tr>
      <w:tr w:rsidR="00000567">
        <w:trPr>
          <w:jc w:val="center"/>
        </w:trPr>
        <w:tc>
          <w:tcPr>
            <w:tcW w:w="1129" w:type="dxa"/>
            <w:vAlign w:val="center"/>
          </w:tcPr>
          <w:p w:rsidR="00000567" w:rsidRDefault="00382AB6">
            <w:pPr>
              <w:jc w:val="center"/>
            </w:pPr>
            <w:r>
              <w:rPr>
                <w:color w:val="000000"/>
                <w:sz w:val="24"/>
              </w:rPr>
              <w:t>2</w:t>
            </w:r>
          </w:p>
        </w:tc>
        <w:tc>
          <w:tcPr>
            <w:tcW w:w="1356" w:type="dxa"/>
            <w:vAlign w:val="center"/>
          </w:tcPr>
          <w:p w:rsidR="00000567" w:rsidRDefault="00382AB6">
            <w:pPr>
              <w:jc w:val="center"/>
            </w:pPr>
            <w:r>
              <w:rPr>
                <w:color w:val="000000"/>
                <w:sz w:val="24"/>
              </w:rPr>
              <w:t>600395</w:t>
            </w:r>
          </w:p>
        </w:tc>
        <w:tc>
          <w:tcPr>
            <w:tcW w:w="1355" w:type="dxa"/>
            <w:vAlign w:val="center"/>
          </w:tcPr>
          <w:p w:rsidR="00000567" w:rsidRDefault="00382AB6">
            <w:pPr>
              <w:jc w:val="center"/>
            </w:pPr>
            <w:r>
              <w:rPr>
                <w:color w:val="000000"/>
                <w:sz w:val="24"/>
              </w:rPr>
              <w:t>盘江股份</w:t>
            </w:r>
          </w:p>
        </w:tc>
        <w:tc>
          <w:tcPr>
            <w:tcW w:w="1880" w:type="dxa"/>
            <w:vAlign w:val="center"/>
          </w:tcPr>
          <w:p w:rsidR="00000567" w:rsidRDefault="00382AB6">
            <w:pPr>
              <w:jc w:val="right"/>
            </w:pPr>
            <w:r>
              <w:rPr>
                <w:color w:val="000000"/>
                <w:sz w:val="24"/>
              </w:rPr>
              <w:t>65,196.50</w:t>
            </w:r>
          </w:p>
        </w:tc>
        <w:tc>
          <w:tcPr>
            <w:tcW w:w="1724" w:type="dxa"/>
            <w:vAlign w:val="center"/>
          </w:tcPr>
          <w:p w:rsidR="00000567" w:rsidRDefault="00382AB6">
            <w:pPr>
              <w:jc w:val="right"/>
            </w:pPr>
            <w:r>
              <w:rPr>
                <w:color w:val="000000"/>
                <w:sz w:val="24"/>
              </w:rPr>
              <w:t>0.70</w:t>
            </w:r>
          </w:p>
        </w:tc>
        <w:tc>
          <w:tcPr>
            <w:tcW w:w="1424" w:type="dxa"/>
            <w:vAlign w:val="center"/>
          </w:tcPr>
          <w:p w:rsidR="00000567" w:rsidRDefault="00382AB6">
            <w:pPr>
              <w:jc w:val="right"/>
            </w:pPr>
            <w:r>
              <w:rPr>
                <w:color w:val="000000"/>
                <w:sz w:val="24"/>
              </w:rPr>
              <w:t>重大事项</w:t>
            </w:r>
          </w:p>
        </w:tc>
      </w:tr>
    </w:tbl>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6,784,829.67</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0E3085" w:rsidP="0099526C">
            <w:pPr>
              <w:autoSpaceDE w:val="0"/>
              <w:autoSpaceDN w:val="0"/>
              <w:adjustRightInd w:val="0"/>
              <w:spacing w:before="29" w:line="288" w:lineRule="auto"/>
              <w:ind w:left="17"/>
              <w:jc w:val="right"/>
              <w:rPr>
                <w:color w:val="000000"/>
                <w:sz w:val="24"/>
              </w:rPr>
            </w:pPr>
            <w:r w:rsidRPr="000E3085">
              <w:rPr>
                <w:color w:val="000000"/>
                <w:sz w:val="24"/>
              </w:rPr>
              <w:t>12,384,224.29</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14,398,332.37</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0E3085" w:rsidP="0099526C">
            <w:pPr>
              <w:autoSpaceDE w:val="0"/>
              <w:autoSpaceDN w:val="0"/>
              <w:adjustRightInd w:val="0"/>
              <w:spacing w:before="29" w:line="288" w:lineRule="auto"/>
              <w:ind w:left="17"/>
              <w:jc w:val="right"/>
              <w:rPr>
                <w:color w:val="000000"/>
                <w:sz w:val="24"/>
              </w:rPr>
            </w:pPr>
            <w:r w:rsidRPr="000E3085">
              <w:rPr>
                <w:color w:val="000000"/>
                <w:sz w:val="24"/>
              </w:rPr>
              <w:t>4,573,132.55</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9,343,854.14</w:t>
            </w:r>
          </w:p>
        </w:tc>
      </w:tr>
    </w:tbl>
    <w:p w:rsidR="00000567" w:rsidRDefault="00382AB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 xml:space="preserve">　　</w:t>
      </w: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96025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504432"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影响投资者决策的其他重要信息</w:t>
      </w:r>
    </w:p>
    <w:p w:rsidR="00220542" w:rsidRPr="0036023B" w:rsidRDefault="007C1A93" w:rsidP="0099526C">
      <w:pPr>
        <w:spacing w:before="29" w:line="288" w:lineRule="auto"/>
        <w:ind w:firstLineChars="200" w:firstLine="480"/>
        <w:rPr>
          <w:color w:val="000000"/>
          <w:sz w:val="24"/>
        </w:rPr>
      </w:pPr>
      <w:r w:rsidRPr="0036023B">
        <w:rPr>
          <w:color w:val="000000"/>
          <w:sz w:val="24"/>
        </w:rPr>
        <w:t>本基金管理人已于</w:t>
      </w:r>
      <w:r w:rsidRPr="0036023B">
        <w:rPr>
          <w:color w:val="000000"/>
          <w:sz w:val="24"/>
        </w:rPr>
        <w:t>2015</w:t>
      </w:r>
      <w:r w:rsidRPr="0036023B">
        <w:rPr>
          <w:color w:val="000000"/>
          <w:sz w:val="24"/>
        </w:rPr>
        <w:t>年</w:t>
      </w:r>
      <w:r w:rsidRPr="0036023B">
        <w:rPr>
          <w:color w:val="000000"/>
          <w:sz w:val="24"/>
        </w:rPr>
        <w:t>5</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2015</w:t>
      </w:r>
      <w:r w:rsidRPr="0036023B">
        <w:rPr>
          <w:color w:val="000000"/>
          <w:sz w:val="24"/>
        </w:rPr>
        <w:t>年</w:t>
      </w:r>
      <w:r w:rsidRPr="0036023B">
        <w:rPr>
          <w:color w:val="000000"/>
          <w:sz w:val="24"/>
        </w:rPr>
        <w:t>5</w:t>
      </w:r>
      <w:r w:rsidRPr="0036023B">
        <w:rPr>
          <w:color w:val="000000"/>
          <w:sz w:val="24"/>
        </w:rPr>
        <w:t>月</w:t>
      </w:r>
      <w:r w:rsidRPr="0036023B">
        <w:rPr>
          <w:color w:val="000000"/>
          <w:sz w:val="24"/>
        </w:rPr>
        <w:t>25</w:t>
      </w:r>
      <w:r w:rsidRPr="0036023B">
        <w:rPr>
          <w:color w:val="000000"/>
          <w:sz w:val="24"/>
        </w:rPr>
        <w:t>日以通讯方式召开了交银施罗德沪深</w:t>
      </w:r>
      <w:r w:rsidRPr="0036023B">
        <w:rPr>
          <w:color w:val="000000"/>
          <w:sz w:val="24"/>
        </w:rPr>
        <w:t>300</w:t>
      </w:r>
      <w:r w:rsidRPr="0036023B">
        <w:rPr>
          <w:color w:val="000000"/>
          <w:sz w:val="24"/>
        </w:rPr>
        <w:t>行业分层等权重指数证券投资基金的基金份额持有人大会。本次基金份额持有人大会决议已于</w:t>
      </w:r>
      <w:r w:rsidRPr="0036023B">
        <w:rPr>
          <w:color w:val="000000"/>
          <w:sz w:val="24"/>
        </w:rPr>
        <w:t>2015</w:t>
      </w:r>
      <w:r w:rsidRPr="0036023B">
        <w:rPr>
          <w:color w:val="000000"/>
          <w:sz w:val="24"/>
        </w:rPr>
        <w:t>年</w:t>
      </w:r>
      <w:r w:rsidRPr="0036023B">
        <w:rPr>
          <w:color w:val="000000"/>
          <w:sz w:val="24"/>
        </w:rPr>
        <w:t>5</w:t>
      </w:r>
      <w:r w:rsidRPr="0036023B">
        <w:rPr>
          <w:color w:val="000000"/>
          <w:sz w:val="24"/>
        </w:rPr>
        <w:t>月</w:t>
      </w:r>
      <w:r w:rsidRPr="0036023B">
        <w:rPr>
          <w:color w:val="000000"/>
          <w:sz w:val="24"/>
        </w:rPr>
        <w:t>26</w:t>
      </w:r>
      <w:r w:rsidRPr="0036023B">
        <w:rPr>
          <w:color w:val="000000"/>
          <w:sz w:val="24"/>
        </w:rPr>
        <w:t>日生效，并自</w:t>
      </w:r>
      <w:r w:rsidRPr="0036023B">
        <w:rPr>
          <w:color w:val="000000"/>
          <w:sz w:val="24"/>
        </w:rPr>
        <w:t>2015</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日起，《交银施罗德沪深</w:t>
      </w:r>
      <w:r w:rsidRPr="0036023B">
        <w:rPr>
          <w:color w:val="000000"/>
          <w:sz w:val="24"/>
        </w:rPr>
        <w:t>300</w:t>
      </w:r>
      <w:r w:rsidRPr="0036023B">
        <w:rPr>
          <w:color w:val="000000"/>
          <w:sz w:val="24"/>
        </w:rPr>
        <w:t>行业分层等权重指数证券投资基金基金合同》失效且《交银施罗德消费新驱动股票型证券投资基金基金合同》同时生效，交银施罗德沪深</w:t>
      </w:r>
      <w:r w:rsidRPr="0036023B">
        <w:rPr>
          <w:color w:val="000000"/>
          <w:sz w:val="24"/>
        </w:rPr>
        <w:t>300</w:t>
      </w:r>
      <w:r w:rsidRPr="0036023B">
        <w:rPr>
          <w:color w:val="000000"/>
          <w:sz w:val="24"/>
        </w:rPr>
        <w:t>行业分层等权重指数证券投资基金正式变更为交银施罗德消费新驱动股票型证券投资基金。</w:t>
      </w:r>
      <w:r w:rsidR="00192AD2" w:rsidRPr="00192AD2">
        <w:rPr>
          <w:rFonts w:hint="eastAsia"/>
          <w:color w:val="000000"/>
          <w:sz w:val="24"/>
        </w:rPr>
        <w:t>有关详情请查阅本基金管理人</w:t>
      </w:r>
      <w:r w:rsidR="00192AD2" w:rsidRPr="00192AD2">
        <w:rPr>
          <w:rFonts w:hint="eastAsia"/>
          <w:color w:val="000000"/>
          <w:sz w:val="24"/>
        </w:rPr>
        <w:t>2015</w:t>
      </w:r>
      <w:r w:rsidR="00192AD2" w:rsidRPr="00192AD2">
        <w:rPr>
          <w:rFonts w:hint="eastAsia"/>
          <w:color w:val="000000"/>
          <w:sz w:val="24"/>
        </w:rPr>
        <w:t>年</w:t>
      </w:r>
      <w:r w:rsidR="00192AD2" w:rsidRPr="00192AD2">
        <w:rPr>
          <w:rFonts w:hint="eastAsia"/>
          <w:color w:val="000000"/>
          <w:sz w:val="24"/>
        </w:rPr>
        <w:t>5</w:t>
      </w:r>
      <w:r w:rsidR="00192AD2" w:rsidRPr="00192AD2">
        <w:rPr>
          <w:rFonts w:hint="eastAsia"/>
          <w:color w:val="000000"/>
          <w:sz w:val="24"/>
        </w:rPr>
        <w:t>月</w:t>
      </w:r>
      <w:r w:rsidR="00192AD2" w:rsidRPr="00192AD2">
        <w:rPr>
          <w:rFonts w:hint="eastAsia"/>
          <w:color w:val="000000"/>
          <w:sz w:val="24"/>
        </w:rPr>
        <w:t>27</w:t>
      </w:r>
      <w:r w:rsidR="00192AD2" w:rsidRPr="00192AD2">
        <w:rPr>
          <w:rFonts w:hint="eastAsia"/>
          <w:color w:val="000000"/>
          <w:sz w:val="24"/>
        </w:rPr>
        <w:t>日发布的《交银施罗德基金管理有限公司关于交银施罗德沪深</w:t>
      </w:r>
      <w:r w:rsidR="00192AD2" w:rsidRPr="00192AD2">
        <w:rPr>
          <w:rFonts w:hint="eastAsia"/>
          <w:color w:val="000000"/>
          <w:sz w:val="24"/>
        </w:rPr>
        <w:t>300</w:t>
      </w:r>
      <w:r w:rsidR="00192AD2" w:rsidRPr="00192AD2">
        <w:rPr>
          <w:rFonts w:hint="eastAsia"/>
          <w:color w:val="000000"/>
          <w:sz w:val="24"/>
        </w:rPr>
        <w:t>行业分层等权重指数证券投资基金基金份额持有人大会表决结果暨决议生效的公告》。</w:t>
      </w:r>
    </w:p>
    <w:p w:rsidR="00BF5A17" w:rsidRPr="0036023B" w:rsidRDefault="00BF5A17" w:rsidP="0099526C">
      <w:pPr>
        <w:spacing w:before="29" w:line="288" w:lineRule="auto"/>
        <w:ind w:firstLineChars="200" w:firstLine="480"/>
        <w:rPr>
          <w:color w:val="000000"/>
          <w:sz w:val="24"/>
        </w:rPr>
      </w:pPr>
    </w:p>
    <w:p w:rsidR="00981CE6" w:rsidRPr="00405A85"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000567" w:rsidRDefault="00382AB6">
      <w:pPr>
        <w:spacing w:before="29" w:line="288" w:lineRule="auto"/>
        <w:ind w:firstLineChars="200" w:firstLine="480"/>
        <w:rPr>
          <w:color w:val="000000"/>
          <w:sz w:val="24"/>
        </w:rPr>
      </w:pPr>
      <w:r>
        <w:rPr>
          <w:color w:val="000000"/>
          <w:sz w:val="24"/>
        </w:rPr>
        <w:t>1</w:t>
      </w:r>
      <w:r>
        <w:rPr>
          <w:color w:val="000000"/>
          <w:sz w:val="24"/>
        </w:rPr>
        <w:t>、中国证监会核准交银施罗德沪深</w:t>
      </w:r>
      <w:r>
        <w:rPr>
          <w:color w:val="000000"/>
          <w:sz w:val="24"/>
        </w:rPr>
        <w:t>300</w:t>
      </w:r>
      <w:r>
        <w:rPr>
          <w:color w:val="000000"/>
          <w:sz w:val="24"/>
        </w:rPr>
        <w:t>行业分层等权重指数证券投资基金募集的文件；</w:t>
      </w:r>
    </w:p>
    <w:p w:rsidR="00000567" w:rsidRDefault="00382AB6">
      <w:pPr>
        <w:spacing w:before="29" w:line="288" w:lineRule="auto"/>
        <w:ind w:firstLineChars="200" w:firstLine="480"/>
        <w:rPr>
          <w:color w:val="000000"/>
          <w:sz w:val="24"/>
        </w:rPr>
      </w:pPr>
      <w:r>
        <w:rPr>
          <w:color w:val="000000"/>
          <w:sz w:val="24"/>
        </w:rPr>
        <w:t>2</w:t>
      </w:r>
      <w:r>
        <w:rPr>
          <w:color w:val="000000"/>
          <w:sz w:val="24"/>
        </w:rPr>
        <w:t>、《交银施罗德沪深</w:t>
      </w:r>
      <w:r>
        <w:rPr>
          <w:color w:val="000000"/>
          <w:sz w:val="24"/>
        </w:rPr>
        <w:t>300</w:t>
      </w:r>
      <w:r>
        <w:rPr>
          <w:color w:val="000000"/>
          <w:sz w:val="24"/>
        </w:rPr>
        <w:t>行业分层等权重指数证券投资基金基金合同》；</w:t>
      </w:r>
      <w:r>
        <w:rPr>
          <w:color w:val="000000"/>
          <w:sz w:val="24"/>
        </w:rPr>
        <w:t xml:space="preserve"> </w:t>
      </w:r>
    </w:p>
    <w:p w:rsidR="00000567" w:rsidRDefault="00382AB6">
      <w:pPr>
        <w:spacing w:before="29" w:line="288" w:lineRule="auto"/>
        <w:ind w:firstLineChars="200" w:firstLine="480"/>
        <w:rPr>
          <w:color w:val="000000"/>
          <w:sz w:val="24"/>
        </w:rPr>
      </w:pPr>
      <w:r>
        <w:rPr>
          <w:color w:val="000000"/>
          <w:sz w:val="24"/>
        </w:rPr>
        <w:t>3</w:t>
      </w:r>
      <w:r>
        <w:rPr>
          <w:color w:val="000000"/>
          <w:sz w:val="24"/>
        </w:rPr>
        <w:t>、《交银施罗德沪深</w:t>
      </w:r>
      <w:r>
        <w:rPr>
          <w:color w:val="000000"/>
          <w:sz w:val="24"/>
        </w:rPr>
        <w:t>300</w:t>
      </w:r>
      <w:r>
        <w:rPr>
          <w:color w:val="000000"/>
          <w:sz w:val="24"/>
        </w:rPr>
        <w:t>行业分层等权重指数证券投资基金招募说明书》；</w:t>
      </w:r>
    </w:p>
    <w:p w:rsidR="00000567" w:rsidRDefault="00382AB6">
      <w:pPr>
        <w:spacing w:before="29" w:line="288" w:lineRule="auto"/>
        <w:ind w:firstLineChars="200" w:firstLine="480"/>
        <w:rPr>
          <w:color w:val="000000"/>
          <w:sz w:val="24"/>
        </w:rPr>
      </w:pPr>
      <w:r>
        <w:rPr>
          <w:color w:val="000000"/>
          <w:sz w:val="24"/>
        </w:rPr>
        <w:t>4</w:t>
      </w:r>
      <w:r>
        <w:rPr>
          <w:color w:val="000000"/>
          <w:sz w:val="24"/>
        </w:rPr>
        <w:t>、《交银施罗德沪深</w:t>
      </w:r>
      <w:r>
        <w:rPr>
          <w:color w:val="000000"/>
          <w:sz w:val="24"/>
        </w:rPr>
        <w:t>300</w:t>
      </w:r>
      <w:r>
        <w:rPr>
          <w:color w:val="000000"/>
          <w:sz w:val="24"/>
        </w:rPr>
        <w:t>行业分层等权重指数证券投资基金托管协议》；</w:t>
      </w:r>
    </w:p>
    <w:p w:rsidR="00000567" w:rsidRDefault="00382AB6">
      <w:pPr>
        <w:spacing w:before="29" w:line="288" w:lineRule="auto"/>
        <w:ind w:firstLineChars="200" w:firstLine="480"/>
        <w:rPr>
          <w:color w:val="000000"/>
          <w:sz w:val="24"/>
        </w:rPr>
      </w:pPr>
      <w:r>
        <w:rPr>
          <w:color w:val="000000"/>
          <w:sz w:val="24"/>
        </w:rPr>
        <w:t>5</w:t>
      </w:r>
      <w:r>
        <w:rPr>
          <w:color w:val="000000"/>
          <w:sz w:val="24"/>
        </w:rPr>
        <w:t>、关于申请募集交银施罗德沪深</w:t>
      </w:r>
      <w:r>
        <w:rPr>
          <w:color w:val="000000"/>
          <w:sz w:val="24"/>
        </w:rPr>
        <w:t>300</w:t>
      </w:r>
      <w:r>
        <w:rPr>
          <w:color w:val="000000"/>
          <w:sz w:val="24"/>
        </w:rPr>
        <w:t>行业分层等权重指数证券投资基金之法律意见书；</w:t>
      </w:r>
    </w:p>
    <w:p w:rsidR="00000567" w:rsidRDefault="00382AB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00567" w:rsidRDefault="00382AB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、报告期内交银施罗德沪深</w:t>
      </w:r>
      <w:r w:rsidRPr="0036023B">
        <w:rPr>
          <w:color w:val="000000"/>
          <w:sz w:val="24"/>
        </w:rPr>
        <w:t>300</w:t>
      </w:r>
      <w:r w:rsidRPr="0036023B">
        <w:rPr>
          <w:color w:val="000000"/>
          <w:sz w:val="24"/>
        </w:rPr>
        <w:t>行业分层等权重指数证券投资基金在指定报刊上各项公告的原稿。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000567" w:rsidRDefault="00382AB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bookmarkStart w:id="0" w:name="_GoBack"/>
      <w:bookmarkEnd w:id="0"/>
    </w:p>
    <w:sectPr w:rsidR="001E29D5" w:rsidRPr="0036023B" w:rsidSect="00385786">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017" w:rsidRDefault="00DD4017">
      <w:r>
        <w:separator/>
      </w:r>
    </w:p>
  </w:endnote>
  <w:endnote w:type="continuationSeparator" w:id="0">
    <w:p w:rsidR="00DD4017" w:rsidRDefault="00DD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2F18BE">
      <w:rPr>
        <w:kern w:val="0"/>
        <w:szCs w:val="21"/>
      </w:rPr>
      <w:fldChar w:fldCharType="begin"/>
    </w:r>
    <w:r>
      <w:rPr>
        <w:kern w:val="0"/>
        <w:szCs w:val="21"/>
      </w:rPr>
      <w:instrText xml:space="preserve"> PAGE </w:instrText>
    </w:r>
    <w:r w:rsidR="002F18BE">
      <w:rPr>
        <w:kern w:val="0"/>
        <w:szCs w:val="21"/>
      </w:rPr>
      <w:fldChar w:fldCharType="separate"/>
    </w:r>
    <w:r w:rsidR="00433D54">
      <w:rPr>
        <w:noProof/>
        <w:kern w:val="0"/>
        <w:szCs w:val="21"/>
      </w:rPr>
      <w:t>14</w:t>
    </w:r>
    <w:r w:rsidR="002F18BE">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2F18BE">
      <w:rPr>
        <w:kern w:val="0"/>
        <w:szCs w:val="21"/>
      </w:rPr>
      <w:fldChar w:fldCharType="begin"/>
    </w:r>
    <w:r>
      <w:rPr>
        <w:kern w:val="0"/>
        <w:szCs w:val="21"/>
      </w:rPr>
      <w:instrText xml:space="preserve"> NUMPAGES </w:instrText>
    </w:r>
    <w:r w:rsidR="002F18BE">
      <w:rPr>
        <w:kern w:val="0"/>
        <w:szCs w:val="21"/>
      </w:rPr>
      <w:fldChar w:fldCharType="separate"/>
    </w:r>
    <w:r w:rsidR="00433D54">
      <w:rPr>
        <w:noProof/>
        <w:kern w:val="0"/>
        <w:szCs w:val="21"/>
      </w:rPr>
      <w:t>14</w:t>
    </w:r>
    <w:r w:rsidR="002F18BE">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2F18BE">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017" w:rsidRDefault="00DD4017">
      <w:r>
        <w:separator/>
      </w:r>
    </w:p>
  </w:footnote>
  <w:footnote w:type="continuationSeparator" w:id="0">
    <w:p w:rsidR="00DD4017" w:rsidRDefault="00DD4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567"/>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04D7"/>
    <w:rsid w:val="000C1723"/>
    <w:rsid w:val="000C1B20"/>
    <w:rsid w:val="000C4107"/>
    <w:rsid w:val="000C45E7"/>
    <w:rsid w:val="000D01F4"/>
    <w:rsid w:val="000D0572"/>
    <w:rsid w:val="000D1519"/>
    <w:rsid w:val="000D1C87"/>
    <w:rsid w:val="000D475F"/>
    <w:rsid w:val="000E1CB6"/>
    <w:rsid w:val="000E3085"/>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5B3C"/>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2891"/>
    <w:rsid w:val="0018325A"/>
    <w:rsid w:val="00184096"/>
    <w:rsid w:val="0018546F"/>
    <w:rsid w:val="00186199"/>
    <w:rsid w:val="001928F7"/>
    <w:rsid w:val="00192AD2"/>
    <w:rsid w:val="00194537"/>
    <w:rsid w:val="0019563C"/>
    <w:rsid w:val="00195F18"/>
    <w:rsid w:val="001A21A9"/>
    <w:rsid w:val="001A59D8"/>
    <w:rsid w:val="001A5FA6"/>
    <w:rsid w:val="001A6F8A"/>
    <w:rsid w:val="001B2F0C"/>
    <w:rsid w:val="001C27F0"/>
    <w:rsid w:val="001C37F6"/>
    <w:rsid w:val="001C6288"/>
    <w:rsid w:val="001C7C1C"/>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11C"/>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E2F"/>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4B9E"/>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2AB6"/>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3D54"/>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D7C8A"/>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21F2"/>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214"/>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983"/>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58"/>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A369D"/>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4567"/>
    <w:rsid w:val="009547A9"/>
    <w:rsid w:val="009548FE"/>
    <w:rsid w:val="00956F0B"/>
    <w:rsid w:val="00957466"/>
    <w:rsid w:val="00960253"/>
    <w:rsid w:val="009605D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059F"/>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2F49"/>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C2"/>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96FE5"/>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83E"/>
    <w:rsid w:val="00D05AF3"/>
    <w:rsid w:val="00D05EE7"/>
    <w:rsid w:val="00D0685A"/>
    <w:rsid w:val="00D068D0"/>
    <w:rsid w:val="00D07219"/>
    <w:rsid w:val="00D078D1"/>
    <w:rsid w:val="00D129A8"/>
    <w:rsid w:val="00D12FB9"/>
    <w:rsid w:val="00D15BD3"/>
    <w:rsid w:val="00D200BD"/>
    <w:rsid w:val="00D22399"/>
    <w:rsid w:val="00D26460"/>
    <w:rsid w:val="00D30D4E"/>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7BF"/>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02DC"/>
    <w:rsid w:val="00DD2417"/>
    <w:rsid w:val="00DD34F1"/>
    <w:rsid w:val="00DD4017"/>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05B9"/>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0F14"/>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13B1"/>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0158"/>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E7D38861-CB2A-47FD-8F74-2FEA2A80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 w:type="paragraph" w:styleId="af9">
    <w:name w:val="Revision"/>
    <w:hidden/>
    <w:uiPriority w:val="99"/>
    <w:semiHidden/>
    <w:rsid w:val="00EA0F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CA52-68E9-4EBE-B700-3C9E1397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14</Pages>
  <Words>1241</Words>
  <Characters>7074</Characters>
  <Application>Microsoft Office Word</Application>
  <DocSecurity>0</DocSecurity>
  <Lines>58</Lines>
  <Paragraphs>16</Paragraphs>
  <ScaleCrop>false</ScaleCrop>
  <Company>TRT. Ltd. Co.</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407</cp:revision>
  <cp:lastPrinted>2007-07-19T00:46:00Z</cp:lastPrinted>
  <dcterms:created xsi:type="dcterms:W3CDTF">2012-11-21T04:46:00Z</dcterms:created>
  <dcterms:modified xsi:type="dcterms:W3CDTF">2015-07-16T05:48:00Z</dcterms:modified>
</cp:coreProperties>
</file>