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12658D" w:rsidRPr="00324C76" w:rsidRDefault="0012658D" w:rsidP="00B04217">
      <w:pPr>
        <w:autoSpaceDE w:val="0"/>
        <w:autoSpaceDN w:val="0"/>
        <w:adjustRightInd w:val="0"/>
        <w:spacing w:before="29" w:line="288" w:lineRule="auto"/>
        <w:jc w:val="left"/>
        <w:rPr>
          <w:color w:val="000000"/>
          <w:kern w:val="0"/>
          <w:sz w:val="24"/>
        </w:rPr>
      </w:pPr>
    </w:p>
    <w:p w:rsidR="0012658D" w:rsidRPr="006C615F" w:rsidRDefault="0012658D" w:rsidP="00B04217">
      <w:pPr>
        <w:spacing w:before="29" w:line="288" w:lineRule="auto"/>
        <w:jc w:val="center"/>
        <w:rPr>
          <w:b/>
          <w:sz w:val="36"/>
          <w:szCs w:val="36"/>
        </w:rPr>
      </w:pPr>
      <w:r w:rsidRPr="006C615F">
        <w:rPr>
          <w:b/>
          <w:sz w:val="36"/>
          <w:szCs w:val="36"/>
        </w:rPr>
        <w:t>交银施罗德深证</w:t>
      </w:r>
      <w:r w:rsidRPr="006C615F">
        <w:rPr>
          <w:b/>
          <w:sz w:val="36"/>
          <w:szCs w:val="36"/>
        </w:rPr>
        <w:t>300</w:t>
      </w:r>
      <w:r w:rsidRPr="006C615F">
        <w:rPr>
          <w:b/>
          <w:sz w:val="36"/>
          <w:szCs w:val="36"/>
        </w:rPr>
        <w:t>价值交易型开放式指数证券投资基金联接基金</w:t>
      </w:r>
    </w:p>
    <w:p w:rsidR="0012658D" w:rsidRPr="006C615F" w:rsidRDefault="0012658D" w:rsidP="00B04217">
      <w:pPr>
        <w:spacing w:before="29" w:line="288" w:lineRule="auto"/>
        <w:jc w:val="center"/>
        <w:rPr>
          <w:b/>
          <w:sz w:val="36"/>
          <w:szCs w:val="36"/>
        </w:rPr>
      </w:pPr>
      <w:r w:rsidRPr="006C615F">
        <w:rPr>
          <w:b/>
          <w:sz w:val="36"/>
          <w:szCs w:val="36"/>
        </w:rPr>
        <w:t>2015</w:t>
      </w:r>
      <w:r w:rsidRPr="006C615F">
        <w:rPr>
          <w:b/>
          <w:sz w:val="36"/>
          <w:szCs w:val="36"/>
        </w:rPr>
        <w:t>年第</w:t>
      </w:r>
      <w:r w:rsidRPr="006C615F">
        <w:rPr>
          <w:b/>
          <w:sz w:val="36"/>
          <w:szCs w:val="36"/>
        </w:rPr>
        <w:t>2</w:t>
      </w:r>
      <w:r w:rsidRPr="006C615F">
        <w:rPr>
          <w:b/>
          <w:sz w:val="36"/>
          <w:szCs w:val="36"/>
        </w:rPr>
        <w:t>季度报告</w:t>
      </w:r>
    </w:p>
    <w:p w:rsidR="00943748" w:rsidRPr="006C615F" w:rsidRDefault="003251EE" w:rsidP="00B04217">
      <w:pPr>
        <w:spacing w:before="29" w:line="288" w:lineRule="auto"/>
        <w:jc w:val="center"/>
        <w:rPr>
          <w:b/>
          <w:sz w:val="36"/>
          <w:szCs w:val="36"/>
        </w:rPr>
      </w:pPr>
      <w:r w:rsidRPr="006C615F">
        <w:rPr>
          <w:b/>
          <w:sz w:val="36"/>
          <w:szCs w:val="36"/>
        </w:rPr>
        <w:t>2015</w:t>
      </w:r>
      <w:r w:rsidRPr="006C615F">
        <w:rPr>
          <w:b/>
          <w:sz w:val="36"/>
          <w:szCs w:val="36"/>
        </w:rPr>
        <w:t>年</w:t>
      </w:r>
      <w:r w:rsidRPr="006C615F">
        <w:rPr>
          <w:b/>
          <w:sz w:val="36"/>
          <w:szCs w:val="36"/>
        </w:rPr>
        <w:t>6</w:t>
      </w:r>
      <w:r w:rsidRPr="006C615F">
        <w:rPr>
          <w:b/>
          <w:sz w:val="36"/>
          <w:szCs w:val="36"/>
        </w:rPr>
        <w:t>月</w:t>
      </w:r>
      <w:r w:rsidRPr="006C615F">
        <w:rPr>
          <w:b/>
          <w:sz w:val="36"/>
          <w:szCs w:val="36"/>
        </w:rPr>
        <w:t>30</w:t>
      </w:r>
      <w:r w:rsidRPr="006C615F">
        <w:rPr>
          <w:b/>
          <w:sz w:val="36"/>
          <w:szCs w:val="36"/>
        </w:rPr>
        <w:t>日</w:t>
      </w: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rPr>
          <w:b/>
          <w:sz w:val="24"/>
        </w:rPr>
      </w:pP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基金管理人：</w:t>
      </w:r>
      <w:r w:rsidR="00446302" w:rsidRPr="006C615F">
        <w:rPr>
          <w:b/>
          <w:color w:val="000000"/>
          <w:sz w:val="24"/>
        </w:rPr>
        <w:t>交银施罗德基金管理有限公司</w:t>
      </w: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基金托管人：</w:t>
      </w:r>
      <w:r w:rsidR="00446302" w:rsidRPr="006C615F">
        <w:rPr>
          <w:b/>
          <w:color w:val="000000"/>
          <w:sz w:val="24"/>
        </w:rPr>
        <w:t>中国农业银行股份有限公司</w:t>
      </w:r>
    </w:p>
    <w:p w:rsidR="00943748" w:rsidRPr="006C615F" w:rsidRDefault="00943748" w:rsidP="00B04217">
      <w:pPr>
        <w:spacing w:before="29" w:line="288" w:lineRule="auto"/>
        <w:ind w:firstLineChars="900" w:firstLine="2168"/>
        <w:rPr>
          <w:b/>
          <w:color w:val="000000"/>
          <w:sz w:val="24"/>
        </w:rPr>
        <w:sectPr w:rsidR="00943748" w:rsidRPr="006C615F" w:rsidSect="00412E7F">
          <w:headerReference w:type="default" r:id="rId8"/>
          <w:footerReference w:type="default" r:id="rId9"/>
          <w:pgSz w:w="11926" w:h="15840"/>
          <w:pgMar w:top="1418" w:right="1440" w:bottom="851" w:left="1440" w:header="851" w:footer="992" w:gutter="0"/>
          <w:cols w:space="720"/>
          <w:noEndnote/>
        </w:sectPr>
      </w:pPr>
      <w:r w:rsidRPr="006C615F">
        <w:rPr>
          <w:b/>
          <w:color w:val="000000"/>
          <w:sz w:val="24"/>
        </w:rPr>
        <w:t>报告送出日期：</w:t>
      </w:r>
      <w:r w:rsidR="00AB5C7D" w:rsidRPr="006C615F">
        <w:rPr>
          <w:b/>
          <w:color w:val="000000"/>
          <w:sz w:val="24"/>
        </w:rPr>
        <w:t>二〇一五年七月十八日</w:t>
      </w:r>
    </w:p>
    <w:p w:rsidR="00220542" w:rsidRPr="00324C76" w:rsidRDefault="00220542" w:rsidP="002124AD">
      <w:pPr>
        <w:pStyle w:val="1"/>
        <w:spacing w:beforeLines="100" w:before="312" w:afterLines="100" w:after="312" w:line="288" w:lineRule="auto"/>
        <w:jc w:val="center"/>
        <w:rPr>
          <w:b w:val="0"/>
          <w:kern w:val="0"/>
          <w:sz w:val="24"/>
          <w:szCs w:val="24"/>
        </w:rPr>
      </w:pPr>
      <w:r w:rsidRPr="00324C76">
        <w:rPr>
          <w:kern w:val="0"/>
          <w:sz w:val="24"/>
          <w:szCs w:val="24"/>
        </w:rPr>
        <w:lastRenderedPageBreak/>
        <w:t xml:space="preserve">§1  </w:t>
      </w:r>
      <w:r w:rsidRPr="00324C76">
        <w:rPr>
          <w:kern w:val="0"/>
          <w:sz w:val="24"/>
          <w:szCs w:val="24"/>
        </w:rPr>
        <w:t>重要提示</w:t>
      </w:r>
    </w:p>
    <w:p w:rsidR="00523456" w:rsidRDefault="00A354D5">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523456" w:rsidRDefault="00A354D5">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2015</w:t>
      </w:r>
      <w:r>
        <w:rPr>
          <w:color w:val="000000"/>
          <w:sz w:val="24"/>
        </w:rPr>
        <w:t>年</w:t>
      </w:r>
      <w:r>
        <w:rPr>
          <w:color w:val="000000"/>
          <w:sz w:val="24"/>
        </w:rPr>
        <w:t>7</w:t>
      </w:r>
      <w:r>
        <w:rPr>
          <w:color w:val="000000"/>
          <w:sz w:val="24"/>
        </w:rPr>
        <w:t>月</w:t>
      </w:r>
      <w:r>
        <w:rPr>
          <w:color w:val="000000"/>
          <w:sz w:val="24"/>
        </w:rPr>
        <w:t>17</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523456" w:rsidRDefault="00A354D5">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523456" w:rsidRDefault="00A354D5">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523456" w:rsidRDefault="00A354D5">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220542" w:rsidRPr="00324C76" w:rsidRDefault="00446302" w:rsidP="00B04217">
      <w:pPr>
        <w:spacing w:before="29" w:line="288" w:lineRule="auto"/>
        <w:ind w:firstLineChars="200" w:firstLine="480"/>
        <w:rPr>
          <w:color w:val="000000"/>
          <w:sz w:val="24"/>
        </w:rPr>
      </w:pPr>
      <w:r w:rsidRPr="00324C76">
        <w:rPr>
          <w:color w:val="000000"/>
          <w:sz w:val="24"/>
        </w:rPr>
        <w:t>本报告期自</w:t>
      </w:r>
      <w:r w:rsidRPr="00324C76">
        <w:rPr>
          <w:color w:val="000000"/>
          <w:sz w:val="24"/>
        </w:rPr>
        <w:t>2015</w:t>
      </w:r>
      <w:r w:rsidRPr="00324C76">
        <w:rPr>
          <w:color w:val="000000"/>
          <w:sz w:val="24"/>
        </w:rPr>
        <w:t>年</w:t>
      </w:r>
      <w:r w:rsidRPr="00324C76">
        <w:rPr>
          <w:color w:val="000000"/>
          <w:sz w:val="24"/>
        </w:rPr>
        <w:t>4</w:t>
      </w:r>
      <w:r w:rsidRPr="00324C76">
        <w:rPr>
          <w:color w:val="000000"/>
          <w:sz w:val="24"/>
        </w:rPr>
        <w:t>月</w:t>
      </w:r>
      <w:r w:rsidRPr="00324C76">
        <w:rPr>
          <w:color w:val="000000"/>
          <w:sz w:val="24"/>
        </w:rPr>
        <w:t>1</w:t>
      </w:r>
      <w:r w:rsidRPr="00324C76">
        <w:rPr>
          <w:color w:val="000000"/>
          <w:sz w:val="24"/>
        </w:rPr>
        <w:t>日起至</w:t>
      </w:r>
      <w:r w:rsidRPr="00324C76">
        <w:rPr>
          <w:color w:val="000000"/>
          <w:sz w:val="24"/>
        </w:rPr>
        <w:t>6</w:t>
      </w:r>
      <w:r w:rsidRPr="00324C76">
        <w:rPr>
          <w:color w:val="000000"/>
          <w:sz w:val="24"/>
        </w:rPr>
        <w:t>月</w:t>
      </w:r>
      <w:r w:rsidRPr="00324C76">
        <w:rPr>
          <w:color w:val="000000"/>
          <w:sz w:val="24"/>
        </w:rPr>
        <w:t>30</w:t>
      </w:r>
      <w:r w:rsidRPr="00324C76">
        <w:rPr>
          <w:color w:val="000000"/>
          <w:sz w:val="24"/>
        </w:rPr>
        <w:t>日止。</w:t>
      </w:r>
    </w:p>
    <w:p w:rsidR="002A5D65" w:rsidRPr="00324C76" w:rsidRDefault="002A5D65" w:rsidP="00B04217">
      <w:pPr>
        <w:spacing w:before="29" w:line="288" w:lineRule="auto"/>
        <w:ind w:firstLineChars="200" w:firstLine="480"/>
        <w:rPr>
          <w:sz w:val="24"/>
        </w:rPr>
      </w:pPr>
    </w:p>
    <w:p w:rsidR="00220542" w:rsidRPr="00324C76" w:rsidRDefault="00220542" w:rsidP="002124AD">
      <w:pPr>
        <w:pStyle w:val="1"/>
        <w:spacing w:beforeLines="100" w:before="312" w:afterLines="100" w:after="312" w:line="288" w:lineRule="auto"/>
        <w:jc w:val="center"/>
        <w:rPr>
          <w:kern w:val="0"/>
          <w:sz w:val="24"/>
          <w:szCs w:val="24"/>
        </w:rPr>
      </w:pPr>
      <w:r w:rsidRPr="00324C76">
        <w:rPr>
          <w:kern w:val="0"/>
          <w:sz w:val="24"/>
          <w:szCs w:val="24"/>
        </w:rPr>
        <w:t xml:space="preserve">§2  </w:t>
      </w:r>
      <w:r w:rsidRPr="00324C76">
        <w:rPr>
          <w:kern w:val="0"/>
          <w:sz w:val="24"/>
          <w:szCs w:val="24"/>
        </w:rPr>
        <w:t>基金产品概况</w:t>
      </w:r>
    </w:p>
    <w:p w:rsidR="00B72596" w:rsidRPr="00324C76" w:rsidRDefault="00B72596" w:rsidP="00B04217">
      <w:pPr>
        <w:pStyle w:val="2"/>
        <w:keepNext w:val="0"/>
        <w:keepLines w:val="0"/>
        <w:spacing w:before="29" w:after="0" w:line="288" w:lineRule="auto"/>
        <w:rPr>
          <w:rFonts w:ascii="Times New Roman" w:hAnsi="Times New Roman" w:cs="Times New Roman"/>
          <w:szCs w:val="24"/>
        </w:rPr>
      </w:pPr>
      <w:bookmarkStart w:id="0" w:name="_Toc245193810"/>
      <w:r w:rsidRPr="00324C76">
        <w:rPr>
          <w:rFonts w:ascii="Times New Roman" w:hAnsi="Times New Roman" w:cs="Times New Roman"/>
          <w:szCs w:val="24"/>
        </w:rPr>
        <w:t>2.1</w:t>
      </w:r>
      <w:bookmarkEnd w:id="0"/>
      <w:r w:rsidR="00D33822" w:rsidRPr="00324C76">
        <w:rPr>
          <w:rFonts w:ascii="Times New Roman" w:hAnsi="Times New Roman" w:cs="Times New Roman"/>
          <w:szCs w:val="24"/>
        </w:rPr>
        <w:t>基金基本情况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kern w:val="0"/>
                <w:sz w:val="24"/>
              </w:rPr>
            </w:pPr>
            <w:r w:rsidRPr="00324C76">
              <w:rPr>
                <w:kern w:val="0"/>
                <w:sz w:val="24"/>
              </w:rPr>
              <w:t>基金简称</w:t>
            </w:r>
          </w:p>
        </w:tc>
        <w:tc>
          <w:tcPr>
            <w:tcW w:w="5845" w:type="dxa"/>
            <w:gridSpan w:val="2"/>
            <w:vAlign w:val="center"/>
          </w:tcPr>
          <w:p w:rsidR="00446302" w:rsidRPr="00324C76" w:rsidRDefault="00446302" w:rsidP="00B04217">
            <w:pPr>
              <w:adjustRightInd w:val="0"/>
              <w:spacing w:before="29" w:line="288" w:lineRule="auto"/>
              <w:ind w:left="17"/>
              <w:jc w:val="left"/>
              <w:rPr>
                <w:color w:val="000000"/>
                <w:kern w:val="0"/>
                <w:sz w:val="24"/>
              </w:rPr>
            </w:pPr>
            <w:r w:rsidRPr="00324C76">
              <w:rPr>
                <w:color w:val="000000"/>
                <w:kern w:val="0"/>
                <w:sz w:val="24"/>
              </w:rPr>
              <w:t>交银深证</w:t>
            </w:r>
            <w:r w:rsidRPr="00324C76">
              <w:rPr>
                <w:color w:val="000000"/>
                <w:kern w:val="0"/>
                <w:sz w:val="24"/>
              </w:rPr>
              <w:t>300</w:t>
            </w:r>
            <w:r w:rsidRPr="00324C76">
              <w:rPr>
                <w:color w:val="000000"/>
                <w:kern w:val="0"/>
                <w:sz w:val="24"/>
              </w:rPr>
              <w:t>价值</w:t>
            </w:r>
            <w:r w:rsidRPr="00324C76">
              <w:rPr>
                <w:color w:val="000000"/>
                <w:kern w:val="0"/>
                <w:sz w:val="24"/>
              </w:rPr>
              <w:t>ETF</w:t>
            </w:r>
            <w:r w:rsidRPr="00324C76">
              <w:rPr>
                <w:color w:val="000000"/>
                <w:kern w:val="0"/>
                <w:sz w:val="24"/>
              </w:rPr>
              <w:t>联接</w:t>
            </w:r>
          </w:p>
        </w:tc>
      </w:tr>
      <w:tr w:rsidR="00234D01" w:rsidRPr="00324C76"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519706</w:t>
            </w:r>
          </w:p>
        </w:tc>
      </w:tr>
      <w:tr w:rsidR="00234D01" w:rsidRPr="00324C76"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519706</w:t>
            </w:r>
            <w:r w:rsidR="003C6409" w:rsidRPr="00324C76">
              <w:rPr>
                <w:color w:val="000000"/>
                <w:kern w:val="0"/>
                <w:sz w:val="24"/>
              </w:rPr>
              <w:t>(</w:t>
            </w:r>
            <w:r w:rsidR="00526BBC" w:rsidRPr="00324C76">
              <w:rPr>
                <w:color w:val="000000"/>
                <w:kern w:val="0"/>
                <w:sz w:val="24"/>
              </w:rPr>
              <w:t>前端</w:t>
            </w:r>
            <w:r w:rsidR="003C6409" w:rsidRPr="00324C76">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519707</w:t>
            </w:r>
            <w:r w:rsidR="003C6409" w:rsidRPr="00324C76">
              <w:rPr>
                <w:color w:val="000000"/>
                <w:kern w:val="0"/>
                <w:sz w:val="24"/>
              </w:rPr>
              <w:t>(</w:t>
            </w:r>
            <w:r w:rsidRPr="00324C76">
              <w:rPr>
                <w:color w:val="000000"/>
                <w:kern w:val="0"/>
                <w:sz w:val="24"/>
              </w:rPr>
              <w:t>后端</w:t>
            </w:r>
            <w:r w:rsidR="003C6409" w:rsidRPr="00324C76">
              <w:rPr>
                <w:color w:val="000000"/>
                <w:kern w:val="0"/>
                <w:sz w:val="24"/>
              </w:rPr>
              <w:t>)</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基金运作方式</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契约型开放式</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基金合同生效日</w:t>
            </w:r>
          </w:p>
        </w:tc>
        <w:tc>
          <w:tcPr>
            <w:tcW w:w="5845" w:type="dxa"/>
            <w:gridSpan w:val="2"/>
            <w:vAlign w:val="center"/>
          </w:tcPr>
          <w:p w:rsidR="00446302" w:rsidRPr="00324C76" w:rsidRDefault="00C26024" w:rsidP="00B04217">
            <w:pPr>
              <w:adjustRightInd w:val="0"/>
              <w:spacing w:before="29" w:line="288" w:lineRule="auto"/>
              <w:ind w:left="17"/>
              <w:jc w:val="left"/>
              <w:rPr>
                <w:color w:val="000000"/>
                <w:sz w:val="24"/>
              </w:rPr>
            </w:pPr>
            <w:r w:rsidRPr="00324C76">
              <w:rPr>
                <w:color w:val="000000"/>
                <w:kern w:val="0"/>
                <w:sz w:val="24"/>
              </w:rPr>
              <w:t>2011</w:t>
            </w:r>
            <w:r w:rsidRPr="00324C76">
              <w:rPr>
                <w:color w:val="000000"/>
                <w:kern w:val="0"/>
                <w:sz w:val="24"/>
              </w:rPr>
              <w:t>年</w:t>
            </w:r>
            <w:r w:rsidRPr="00324C76">
              <w:rPr>
                <w:color w:val="000000"/>
                <w:kern w:val="0"/>
                <w:sz w:val="24"/>
              </w:rPr>
              <w:t>9</w:t>
            </w:r>
            <w:r w:rsidRPr="00324C76">
              <w:rPr>
                <w:color w:val="000000"/>
                <w:kern w:val="0"/>
                <w:sz w:val="24"/>
              </w:rPr>
              <w:t>月</w:t>
            </w:r>
            <w:r w:rsidRPr="00324C76">
              <w:rPr>
                <w:color w:val="000000"/>
                <w:kern w:val="0"/>
                <w:sz w:val="24"/>
              </w:rPr>
              <w:t>28</w:t>
            </w:r>
            <w:r w:rsidRPr="00324C76">
              <w:rPr>
                <w:color w:val="000000"/>
                <w:kern w:val="0"/>
                <w:sz w:val="24"/>
              </w:rPr>
              <w:t>日</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报告期末基金份额总额</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22,379,793.37</w:t>
            </w:r>
            <w:r w:rsidR="0083349B" w:rsidRPr="00324C76">
              <w:rPr>
                <w:color w:val="000000"/>
                <w:kern w:val="0"/>
                <w:sz w:val="24"/>
              </w:rPr>
              <w:t>份</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投资目标</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紧密跟踪标的指数，追求跟踪偏离度与跟踪误差最小化。</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投资策略</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本基金通过把全部或接近全部的基金资产投资于目标</w:t>
            </w:r>
            <w:r w:rsidRPr="00324C76">
              <w:rPr>
                <w:color w:val="000000"/>
                <w:kern w:val="0"/>
                <w:sz w:val="24"/>
              </w:rPr>
              <w:t>ETF</w:t>
            </w:r>
            <w:r w:rsidRPr="00324C76">
              <w:rPr>
                <w:color w:val="000000"/>
                <w:kern w:val="0"/>
                <w:sz w:val="24"/>
              </w:rPr>
              <w:t>、标的指数成份股和备选成份股进行被动式指数化投资，正常情况下投资于目标</w:t>
            </w:r>
            <w:r w:rsidRPr="00324C76">
              <w:rPr>
                <w:color w:val="000000"/>
                <w:kern w:val="0"/>
                <w:sz w:val="24"/>
              </w:rPr>
              <w:t>ETF</w:t>
            </w:r>
            <w:r w:rsidRPr="00324C76">
              <w:rPr>
                <w:color w:val="000000"/>
                <w:kern w:val="0"/>
                <w:sz w:val="24"/>
              </w:rPr>
              <w:t>的资产比例不低于基金资产净值的</w:t>
            </w:r>
            <w:r w:rsidRPr="00324C76">
              <w:rPr>
                <w:color w:val="000000"/>
                <w:kern w:val="0"/>
                <w:sz w:val="24"/>
              </w:rPr>
              <w:t>90%</w:t>
            </w:r>
            <w:r w:rsidRPr="00324C76">
              <w:rPr>
                <w:color w:val="000000"/>
                <w:kern w:val="0"/>
                <w:sz w:val="24"/>
              </w:rPr>
              <w:t>，其余资产可投资于标的指数成份股、备选成份股、新股、债券、回购、权证及中国证监会允许基金投资的其它金融工具，其目的是为了使本基金在应付申购赎回的前提下，更好地实现跟踪标的指数的投资目标。</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业绩比较基准</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深证</w:t>
            </w:r>
            <w:r w:rsidRPr="00324C76">
              <w:rPr>
                <w:color w:val="000000"/>
                <w:kern w:val="0"/>
                <w:sz w:val="24"/>
              </w:rPr>
              <w:t>300</w:t>
            </w:r>
            <w:r w:rsidRPr="00324C76">
              <w:rPr>
                <w:color w:val="000000"/>
                <w:kern w:val="0"/>
                <w:sz w:val="24"/>
              </w:rPr>
              <w:t>价值价格指数收益率</w:t>
            </w:r>
            <w:r w:rsidRPr="00324C76">
              <w:rPr>
                <w:color w:val="000000"/>
                <w:kern w:val="0"/>
                <w:sz w:val="24"/>
              </w:rPr>
              <w:t>×95%</w:t>
            </w:r>
            <w:r w:rsidRPr="00324C76">
              <w:rPr>
                <w:color w:val="000000"/>
                <w:kern w:val="0"/>
                <w:sz w:val="24"/>
              </w:rPr>
              <w:t>＋银行活期存款税</w:t>
            </w:r>
            <w:r w:rsidRPr="00324C76">
              <w:rPr>
                <w:color w:val="000000"/>
                <w:kern w:val="0"/>
                <w:sz w:val="24"/>
              </w:rPr>
              <w:lastRenderedPageBreak/>
              <w:t>后收益率</w:t>
            </w:r>
            <w:r w:rsidRPr="00324C76">
              <w:rPr>
                <w:color w:val="000000"/>
                <w:kern w:val="0"/>
                <w:sz w:val="24"/>
              </w:rPr>
              <w:t>×5%</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lastRenderedPageBreak/>
              <w:t>风险收益特征</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本基金属</w:t>
            </w:r>
            <w:r w:rsidRPr="00324C76">
              <w:rPr>
                <w:color w:val="000000"/>
                <w:kern w:val="0"/>
                <w:sz w:val="24"/>
              </w:rPr>
              <w:t>ETF</w:t>
            </w:r>
            <w:r w:rsidRPr="00324C76">
              <w:rPr>
                <w:color w:val="000000"/>
                <w:kern w:val="0"/>
                <w:sz w:val="24"/>
              </w:rPr>
              <w:t>联接基金，风险与预期收益高于混合基金、债券基金与货币市场基金。本基金为指数型基金，紧密跟踪标的指数，具有和标的指数所代表的股票市场相似的风险收益特征，相当于股票基金中风险较高，预期收益较高的品种。</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基金管理人</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交银施罗德基金管理有限公司</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基金托管人</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中国农业银行股份有限公司</w:t>
            </w:r>
          </w:p>
        </w:tc>
      </w:tr>
    </w:tbl>
    <w:p w:rsidR="00D6057D" w:rsidRPr="00324C76" w:rsidRDefault="00D6057D" w:rsidP="00B04217">
      <w:pPr>
        <w:autoSpaceDE w:val="0"/>
        <w:autoSpaceDN w:val="0"/>
        <w:adjustRightInd w:val="0"/>
        <w:spacing w:before="29" w:line="288" w:lineRule="auto"/>
        <w:jc w:val="left"/>
        <w:rPr>
          <w:kern w:val="0"/>
          <w:sz w:val="24"/>
        </w:rPr>
      </w:pPr>
    </w:p>
    <w:p w:rsidR="00B72596" w:rsidRPr="00324C76" w:rsidRDefault="00B72596" w:rsidP="00B04217">
      <w:pPr>
        <w:pStyle w:val="2"/>
        <w:keepNext w:val="0"/>
        <w:keepLines w:val="0"/>
        <w:spacing w:before="29" w:after="0" w:line="288" w:lineRule="auto"/>
        <w:rPr>
          <w:rFonts w:ascii="Times New Roman" w:hAnsi="Times New Roman" w:cs="Times New Roman"/>
          <w:szCs w:val="24"/>
        </w:rPr>
      </w:pPr>
      <w:r w:rsidRPr="00324C76">
        <w:rPr>
          <w:rFonts w:ascii="Times New Roman" w:hAnsi="Times New Roman" w:cs="Times New Roman"/>
          <w:szCs w:val="24"/>
        </w:rPr>
        <w:t>2.1.1</w:t>
      </w:r>
      <w:r w:rsidRPr="00324C76">
        <w:rPr>
          <w:rFonts w:ascii="Times New Roman" w:hAnsi="Times New Roman" w:cs="Times New Roman"/>
          <w:szCs w:val="24"/>
        </w:rPr>
        <w:t>目标</w:t>
      </w:r>
      <w:r w:rsidR="00D6057D" w:rsidRPr="00324C76">
        <w:rPr>
          <w:rFonts w:ascii="Times New Roman" w:hAnsi="Times New Roman" w:cs="Times New Roman"/>
          <w:szCs w:val="24"/>
        </w:rPr>
        <w:t>基金</w:t>
      </w:r>
      <w:r w:rsidR="00156E40" w:rsidRPr="00324C76">
        <w:rPr>
          <w:rFonts w:ascii="Times New Roman" w:hAnsi="Times New Roman" w:cs="Times New Roman"/>
          <w:szCs w:val="24"/>
        </w:rPr>
        <w:t>基本情况</w:t>
      </w:r>
    </w:p>
    <w:tbl>
      <w:tblPr>
        <w:tblW w:w="8868" w:type="dxa"/>
        <w:jc w:val="center"/>
        <w:tblLayout w:type="fixed"/>
        <w:tblLook w:val="0000" w:firstRow="0" w:lastRow="0" w:firstColumn="0" w:lastColumn="0" w:noHBand="0" w:noVBand="0"/>
      </w:tblPr>
      <w:tblGrid>
        <w:gridCol w:w="2855"/>
        <w:gridCol w:w="6013"/>
      </w:tblGrid>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深证</w:t>
            </w:r>
            <w:r w:rsidRPr="00324C76">
              <w:rPr>
                <w:sz w:val="24"/>
              </w:rPr>
              <w:t>300</w:t>
            </w:r>
            <w:r w:rsidRPr="00324C76">
              <w:rPr>
                <w:sz w:val="24"/>
              </w:rPr>
              <w:t>价值交易型开放式指数证券投资基金</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基金主代码</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159913</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基金运作方式</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交易型开放式</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基金合同生效日</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2011</w:t>
            </w:r>
            <w:r w:rsidRPr="00324C76">
              <w:rPr>
                <w:sz w:val="24"/>
              </w:rPr>
              <w:t>年</w:t>
            </w:r>
            <w:r w:rsidRPr="00324C76">
              <w:rPr>
                <w:sz w:val="24"/>
              </w:rPr>
              <w:t>9</w:t>
            </w:r>
            <w:r w:rsidRPr="00324C76">
              <w:rPr>
                <w:sz w:val="24"/>
              </w:rPr>
              <w:t>月</w:t>
            </w:r>
            <w:r w:rsidRPr="00324C76">
              <w:rPr>
                <w:sz w:val="24"/>
              </w:rPr>
              <w:t>22</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基金份额上市的证券交易所</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深圳证券交易所</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上市日期</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2011</w:t>
            </w:r>
            <w:r w:rsidRPr="00324C76">
              <w:rPr>
                <w:sz w:val="24"/>
              </w:rPr>
              <w:t>年</w:t>
            </w:r>
            <w:r w:rsidRPr="00324C76">
              <w:rPr>
                <w:sz w:val="24"/>
              </w:rPr>
              <w:t>10</w:t>
            </w:r>
            <w:r w:rsidRPr="00324C76">
              <w:rPr>
                <w:sz w:val="24"/>
              </w:rPr>
              <w:t>月</w:t>
            </w:r>
            <w:r w:rsidRPr="00324C76">
              <w:rPr>
                <w:sz w:val="24"/>
              </w:rPr>
              <w:t>25</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基金管理人名称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交银施罗德基金管理有限公司</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基金托管人名称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中国农业银行股份有限公司</w:t>
            </w:r>
          </w:p>
        </w:tc>
      </w:tr>
    </w:tbl>
    <w:p w:rsidR="006B4B1E" w:rsidRPr="00324C76" w:rsidRDefault="006B4B1E" w:rsidP="00B04217">
      <w:pPr>
        <w:autoSpaceDE w:val="0"/>
        <w:autoSpaceDN w:val="0"/>
        <w:adjustRightInd w:val="0"/>
        <w:spacing w:before="29" w:line="288" w:lineRule="auto"/>
        <w:jc w:val="left"/>
        <w:rPr>
          <w:color w:val="000000"/>
          <w:sz w:val="24"/>
        </w:rPr>
      </w:pPr>
    </w:p>
    <w:p w:rsidR="00156E40" w:rsidRPr="00324C76" w:rsidRDefault="00156E40" w:rsidP="00B04217">
      <w:pPr>
        <w:pStyle w:val="2"/>
        <w:keepNext w:val="0"/>
        <w:keepLines w:val="0"/>
        <w:spacing w:before="29" w:after="0" w:line="288" w:lineRule="auto"/>
        <w:rPr>
          <w:rFonts w:ascii="Times New Roman" w:hAnsi="Times New Roman" w:cs="Times New Roman"/>
          <w:szCs w:val="24"/>
        </w:rPr>
      </w:pPr>
      <w:smartTag w:uri="urn:schemas-microsoft-com:office:smarttags" w:element="chsdate">
        <w:smartTagPr>
          <w:attr w:name="Year" w:val="1899"/>
          <w:attr w:name="Month" w:val="12"/>
          <w:attr w:name="Day" w:val="30"/>
          <w:attr w:name="IsLunarDate" w:val="False"/>
          <w:attr w:name="IsROCDate" w:val="False"/>
        </w:smartTagPr>
        <w:r w:rsidRPr="00324C76">
          <w:rPr>
            <w:rFonts w:ascii="Times New Roman" w:hAnsi="Times New Roman" w:cs="Times New Roman"/>
            <w:szCs w:val="24"/>
          </w:rPr>
          <w:t>2.1.2</w:t>
        </w:r>
      </w:smartTag>
      <w:r w:rsidR="00B51C7C" w:rsidRPr="00324C76">
        <w:rPr>
          <w:rFonts w:ascii="Times New Roman" w:hAnsi="Times New Roman" w:cs="Times New Roman"/>
          <w:szCs w:val="24"/>
        </w:rPr>
        <w:t>目标基金产品说明</w:t>
      </w:r>
    </w:p>
    <w:tbl>
      <w:tblPr>
        <w:tblW w:w="8868" w:type="dxa"/>
        <w:jc w:val="center"/>
        <w:tblLook w:val="0000" w:firstRow="0" w:lastRow="0" w:firstColumn="0" w:lastColumn="0" w:noHBand="0" w:noVBand="0"/>
      </w:tblPr>
      <w:tblGrid>
        <w:gridCol w:w="2956"/>
        <w:gridCol w:w="5912"/>
      </w:tblGrid>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投资目标</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紧密跟踪标的指数，追求跟踪偏离度和跟踪误差最小化。</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投资策略</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本基金绝大部分资产采用完全复制法，跟踪深证</w:t>
            </w:r>
            <w:r w:rsidRPr="00324C76">
              <w:rPr>
                <w:sz w:val="24"/>
              </w:rPr>
              <w:t>300</w:t>
            </w:r>
            <w:r w:rsidRPr="00324C76">
              <w:rPr>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业绩比较基准</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深证</w:t>
            </w:r>
            <w:r w:rsidRPr="00324C76">
              <w:rPr>
                <w:sz w:val="24"/>
              </w:rPr>
              <w:t>300</w:t>
            </w:r>
            <w:r w:rsidRPr="00324C76">
              <w:rPr>
                <w:sz w:val="24"/>
              </w:rPr>
              <w:t>价值价格指数</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lastRenderedPageBreak/>
              <w:t>风险收益特征</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本基金属于股票基金，风险与预期收益高于混合基金、债券基金与货币市场基金。同时本基金为指数型基金，具有与标的指数、以及标的指数所代表的股票市场相似的风险收益特征。</w:t>
            </w:r>
          </w:p>
        </w:tc>
      </w:tr>
    </w:tbl>
    <w:p w:rsidR="002A5D65" w:rsidRPr="00324C76" w:rsidRDefault="002A5D65" w:rsidP="00B04217">
      <w:pPr>
        <w:autoSpaceDE w:val="0"/>
        <w:autoSpaceDN w:val="0"/>
        <w:adjustRightInd w:val="0"/>
        <w:spacing w:before="29" w:line="288" w:lineRule="auto"/>
        <w:jc w:val="left"/>
        <w:rPr>
          <w:color w:val="000000"/>
          <w:sz w:val="24"/>
        </w:rPr>
      </w:pPr>
    </w:p>
    <w:p w:rsidR="00220542" w:rsidRPr="00324C76" w:rsidRDefault="00220542" w:rsidP="002124AD">
      <w:pPr>
        <w:pStyle w:val="1"/>
        <w:spacing w:beforeLines="100" w:before="312" w:afterLines="100" w:after="312" w:line="288" w:lineRule="auto"/>
        <w:jc w:val="center"/>
        <w:rPr>
          <w:kern w:val="0"/>
          <w:sz w:val="24"/>
          <w:szCs w:val="24"/>
        </w:rPr>
      </w:pPr>
      <w:r w:rsidRPr="00324C76">
        <w:rPr>
          <w:kern w:val="0"/>
          <w:sz w:val="24"/>
          <w:szCs w:val="24"/>
        </w:rPr>
        <w:t xml:space="preserve">§3  </w:t>
      </w:r>
      <w:r w:rsidRPr="00324C76">
        <w:rPr>
          <w:kern w:val="0"/>
          <w:sz w:val="24"/>
          <w:szCs w:val="24"/>
        </w:rPr>
        <w:t>主要财务指标和基金净值表现</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3.1 </w:t>
      </w:r>
      <w:r w:rsidRPr="00324C76">
        <w:rPr>
          <w:b/>
          <w:kern w:val="0"/>
          <w:sz w:val="24"/>
        </w:rPr>
        <w:t>主要财务指标</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7"/>
        <w:gridCol w:w="5261"/>
      </w:tblGrid>
      <w:tr w:rsidR="00BB7F14" w:rsidRPr="00324C76" w:rsidTr="00BB7F14">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center"/>
              <w:rPr>
                <w:kern w:val="0"/>
                <w:sz w:val="24"/>
              </w:rPr>
            </w:pPr>
            <w:r w:rsidRPr="00324C76">
              <w:rPr>
                <w:kern w:val="0"/>
                <w:sz w:val="24"/>
              </w:rPr>
              <w:t>主要财务指标</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BC3740" w:rsidP="00B04217">
            <w:pPr>
              <w:adjustRightInd w:val="0"/>
              <w:spacing w:before="29" w:line="288" w:lineRule="auto"/>
              <w:ind w:left="17"/>
              <w:jc w:val="center"/>
              <w:rPr>
                <w:color w:val="000000"/>
                <w:sz w:val="24"/>
              </w:rPr>
            </w:pPr>
            <w:r w:rsidRPr="00324C76">
              <w:rPr>
                <w:color w:val="000000"/>
                <w:sz w:val="24"/>
              </w:rPr>
              <w:t>报告期</w:t>
            </w:r>
            <w:r w:rsidR="00F53C6A" w:rsidRPr="00324C76">
              <w:rPr>
                <w:color w:val="000000"/>
                <w:kern w:val="0"/>
                <w:sz w:val="24"/>
              </w:rPr>
              <w:t>(</w:t>
            </w:r>
            <w:r w:rsidRPr="00324C76">
              <w:rPr>
                <w:color w:val="000000"/>
                <w:sz w:val="24"/>
              </w:rPr>
              <w:t>2015</w:t>
            </w:r>
            <w:r w:rsidRPr="00324C76">
              <w:rPr>
                <w:color w:val="000000"/>
                <w:sz w:val="24"/>
              </w:rPr>
              <w:t>年</w:t>
            </w:r>
            <w:r w:rsidRPr="00324C76">
              <w:rPr>
                <w:color w:val="000000"/>
                <w:sz w:val="24"/>
              </w:rPr>
              <w:t>4</w:t>
            </w:r>
            <w:r w:rsidRPr="00324C76">
              <w:rPr>
                <w:color w:val="000000"/>
                <w:sz w:val="24"/>
              </w:rPr>
              <w:t>月</w:t>
            </w:r>
            <w:r w:rsidRPr="00324C76">
              <w:rPr>
                <w:color w:val="000000"/>
                <w:sz w:val="24"/>
              </w:rPr>
              <w:t>1</w:t>
            </w:r>
            <w:r w:rsidRPr="00324C76">
              <w:rPr>
                <w:color w:val="000000"/>
                <w:sz w:val="24"/>
              </w:rPr>
              <w:t>日</w:t>
            </w:r>
            <w:r w:rsidRPr="00324C76">
              <w:rPr>
                <w:color w:val="000000"/>
                <w:sz w:val="24"/>
              </w:rPr>
              <w:t>-2015</w:t>
            </w:r>
            <w:r w:rsidRPr="00324C76">
              <w:rPr>
                <w:color w:val="000000"/>
                <w:sz w:val="24"/>
              </w:rPr>
              <w:t>年</w:t>
            </w:r>
            <w:r w:rsidRPr="00324C76">
              <w:rPr>
                <w:color w:val="000000"/>
                <w:sz w:val="24"/>
              </w:rPr>
              <w:t>6</w:t>
            </w:r>
            <w:r w:rsidRPr="00324C76">
              <w:rPr>
                <w:color w:val="000000"/>
                <w:sz w:val="24"/>
              </w:rPr>
              <w:t>月</w:t>
            </w:r>
            <w:r w:rsidRPr="00324C76">
              <w:rPr>
                <w:color w:val="000000"/>
                <w:sz w:val="24"/>
              </w:rPr>
              <w:t>30</w:t>
            </w:r>
            <w:r w:rsidRPr="00324C76">
              <w:rPr>
                <w:color w:val="000000"/>
                <w:sz w:val="24"/>
              </w:rPr>
              <w:t>日</w:t>
            </w:r>
            <w:r w:rsidR="00F53C6A" w:rsidRPr="00324C76">
              <w:rPr>
                <w:color w:val="000000"/>
                <w:kern w:val="0"/>
                <w:sz w:val="24"/>
              </w:rPr>
              <w:t>)</w:t>
            </w:r>
          </w:p>
        </w:tc>
      </w:tr>
      <w:tr w:rsidR="00BB7F14" w:rsidRPr="00324C76" w:rsidTr="00BB7F14">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1.</w:t>
            </w:r>
            <w:r w:rsidRPr="00324C76">
              <w:rPr>
                <w:kern w:val="0"/>
                <w:sz w:val="24"/>
              </w:rPr>
              <w:t>本期已实现收益</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7,993,568.09</w:t>
            </w:r>
          </w:p>
        </w:tc>
      </w:tr>
      <w:tr w:rsidR="00BB7F14" w:rsidRPr="00324C76" w:rsidTr="00BB7F14">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2.</w:t>
            </w:r>
            <w:r w:rsidRPr="00324C76">
              <w:rPr>
                <w:kern w:val="0"/>
                <w:sz w:val="24"/>
              </w:rPr>
              <w:t>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6,838,057.75</w:t>
            </w:r>
          </w:p>
        </w:tc>
      </w:tr>
      <w:tr w:rsidR="00BB7F14" w:rsidRPr="00324C76" w:rsidTr="00BB7F14">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3.</w:t>
            </w:r>
            <w:r w:rsidRPr="00324C76">
              <w:rPr>
                <w:kern w:val="0"/>
                <w:sz w:val="24"/>
              </w:rPr>
              <w:t>加权平均基金份额本期利润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0.2567</w:t>
            </w:r>
          </w:p>
        </w:tc>
      </w:tr>
      <w:tr w:rsidR="00BB7F14" w:rsidRPr="00324C76" w:rsidTr="00BB7F14">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4.</w:t>
            </w:r>
            <w:r w:rsidRPr="00324C76">
              <w:rPr>
                <w:kern w:val="0"/>
                <w:sz w:val="24"/>
              </w:rPr>
              <w:t>期末基金资产净值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39,185,019.62</w:t>
            </w:r>
          </w:p>
        </w:tc>
      </w:tr>
      <w:tr w:rsidR="00BB7F14" w:rsidRPr="00324C76" w:rsidTr="00BB7F14">
        <w:trPr>
          <w:trHeight w:val="158"/>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5.</w:t>
            </w:r>
            <w:r w:rsidRPr="00324C76">
              <w:rPr>
                <w:kern w:val="0"/>
                <w:sz w:val="24"/>
              </w:rPr>
              <w:t>期末基金份额净值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1.751</w:t>
            </w:r>
          </w:p>
        </w:tc>
      </w:tr>
    </w:tbl>
    <w:p w:rsidR="00523456" w:rsidRDefault="00A354D5">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1631F8" w:rsidRDefault="00E27AF2" w:rsidP="001631F8">
      <w:pPr>
        <w:autoSpaceDE w:val="0"/>
        <w:autoSpaceDN w:val="0"/>
        <w:adjustRightInd w:val="0"/>
        <w:spacing w:before="29" w:line="288" w:lineRule="auto"/>
        <w:ind w:firstLine="480"/>
        <w:jc w:val="left"/>
        <w:rPr>
          <w:color w:val="000000"/>
          <w:sz w:val="24"/>
        </w:rPr>
      </w:pPr>
      <w:r w:rsidRPr="00324C76">
        <w:rPr>
          <w:color w:val="000000"/>
          <w:sz w:val="24"/>
        </w:rPr>
        <w:t>2</w:t>
      </w:r>
      <w:r w:rsidRPr="00324C76">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3.2 </w:t>
      </w:r>
      <w:r w:rsidRPr="00324C76">
        <w:rPr>
          <w:b/>
          <w:kern w:val="0"/>
          <w:sz w:val="24"/>
        </w:rPr>
        <w:t>基金净值表现</w:t>
      </w:r>
    </w:p>
    <w:p w:rsidR="00220542" w:rsidRPr="00324C76" w:rsidRDefault="00220542" w:rsidP="00B04217">
      <w:pPr>
        <w:autoSpaceDE w:val="0"/>
        <w:autoSpaceDN w:val="0"/>
        <w:adjustRightInd w:val="0"/>
        <w:spacing w:before="29" w:line="288" w:lineRule="auto"/>
        <w:jc w:val="left"/>
        <w:rPr>
          <w:b/>
          <w:kern w:val="0"/>
          <w:sz w:val="24"/>
        </w:rPr>
      </w:pPr>
      <w:smartTag w:uri="urn:schemas-microsoft-com:office:smarttags" w:element="chsdate">
        <w:smartTagPr>
          <w:attr w:name="Year" w:val="1899"/>
          <w:attr w:name="Month" w:val="12"/>
          <w:attr w:name="Day" w:val="30"/>
          <w:attr w:name="IsLunarDate" w:val="False"/>
          <w:attr w:name="IsROCDate" w:val="False"/>
        </w:smartTagPr>
        <w:r w:rsidRPr="00324C76">
          <w:rPr>
            <w:b/>
            <w:kern w:val="0"/>
            <w:sz w:val="24"/>
          </w:rPr>
          <w:t>3.2.1</w:t>
        </w:r>
        <w:r w:rsidR="00BD0A0A" w:rsidRPr="00324C76">
          <w:rPr>
            <w:b/>
            <w:kern w:val="0"/>
            <w:sz w:val="24"/>
          </w:rPr>
          <w:t xml:space="preserve"> </w:t>
        </w:r>
      </w:smartTag>
      <w:r w:rsidRPr="00324C76">
        <w:rPr>
          <w:b/>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E27AF2" w:rsidRPr="00324C76" w:rsidTr="00896BE4">
        <w:trPr>
          <w:jc w:val="center"/>
        </w:trPr>
        <w:tc>
          <w:tcPr>
            <w:tcW w:w="1395"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阶段</w:t>
            </w:r>
          </w:p>
        </w:tc>
        <w:tc>
          <w:tcPr>
            <w:tcW w:w="1092"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w:t>
            </w:r>
            <w:r w:rsidRPr="00324C76">
              <w:rPr>
                <w:rFonts w:hAnsi="宋体"/>
                <w:color w:val="000000"/>
                <w:sz w:val="24"/>
              </w:rPr>
              <w:t>①</w:t>
            </w:r>
          </w:p>
        </w:tc>
        <w:tc>
          <w:tcPr>
            <w:tcW w:w="116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净值增长率标准差</w:t>
            </w:r>
            <w:r w:rsidRPr="00324C76">
              <w:rPr>
                <w:rFonts w:hAnsi="宋体"/>
                <w:color w:val="000000"/>
                <w:sz w:val="24"/>
              </w:rPr>
              <w:t>②</w:t>
            </w:r>
          </w:p>
        </w:tc>
        <w:tc>
          <w:tcPr>
            <w:tcW w:w="118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w:t>
            </w:r>
            <w:r w:rsidRPr="00324C76">
              <w:rPr>
                <w:rFonts w:hAnsi="宋体"/>
                <w:color w:val="000000"/>
                <w:sz w:val="24"/>
              </w:rPr>
              <w:t>③</w:t>
            </w:r>
          </w:p>
        </w:tc>
        <w:tc>
          <w:tcPr>
            <w:tcW w:w="1188"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业绩比较基准收益率标准差</w:t>
            </w:r>
            <w:r w:rsidRPr="00324C76">
              <w:rPr>
                <w:rFonts w:hAnsi="宋体"/>
                <w:color w:val="000000"/>
                <w:sz w:val="24"/>
              </w:rPr>
              <w:t>④</w:t>
            </w:r>
          </w:p>
        </w:tc>
        <w:tc>
          <w:tcPr>
            <w:tcW w:w="1199"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①</w:t>
            </w:r>
            <w:r w:rsidRPr="00324C76">
              <w:rPr>
                <w:color w:val="000000"/>
                <w:sz w:val="24"/>
              </w:rPr>
              <w:t>-</w:t>
            </w:r>
            <w:r w:rsidRPr="00324C76">
              <w:rPr>
                <w:rFonts w:hAnsi="宋体"/>
                <w:color w:val="000000"/>
                <w:sz w:val="24"/>
              </w:rPr>
              <w:t>③</w:t>
            </w:r>
          </w:p>
        </w:tc>
        <w:tc>
          <w:tcPr>
            <w:tcW w:w="1204"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②</w:t>
            </w:r>
            <w:r w:rsidRPr="00324C76">
              <w:rPr>
                <w:color w:val="000000"/>
                <w:sz w:val="24"/>
              </w:rPr>
              <w:t>-</w:t>
            </w:r>
            <w:r w:rsidRPr="00324C76">
              <w:rPr>
                <w:rFonts w:hAnsi="宋体"/>
                <w:color w:val="000000"/>
                <w:sz w:val="24"/>
              </w:rPr>
              <w:t>④</w:t>
            </w:r>
          </w:p>
        </w:tc>
      </w:tr>
      <w:tr w:rsidR="00523456">
        <w:trPr>
          <w:jc w:val="center"/>
        </w:trPr>
        <w:tc>
          <w:tcPr>
            <w:tcW w:w="1469" w:type="dxa"/>
            <w:vAlign w:val="center"/>
          </w:tcPr>
          <w:p w:rsidR="00523456" w:rsidRDefault="00A354D5">
            <w:pPr>
              <w:jc w:val="left"/>
            </w:pPr>
            <w:r>
              <w:rPr>
                <w:color w:val="000000"/>
                <w:sz w:val="24"/>
              </w:rPr>
              <w:t>过去三个月</w:t>
            </w:r>
          </w:p>
        </w:tc>
        <w:tc>
          <w:tcPr>
            <w:tcW w:w="1150" w:type="dxa"/>
            <w:vAlign w:val="center"/>
          </w:tcPr>
          <w:p w:rsidR="00523456" w:rsidRDefault="00A354D5">
            <w:pPr>
              <w:jc w:val="center"/>
            </w:pPr>
            <w:r>
              <w:rPr>
                <w:color w:val="000000"/>
                <w:sz w:val="24"/>
              </w:rPr>
              <w:t>13.85%</w:t>
            </w:r>
          </w:p>
        </w:tc>
        <w:tc>
          <w:tcPr>
            <w:tcW w:w="1223" w:type="dxa"/>
            <w:vAlign w:val="center"/>
          </w:tcPr>
          <w:p w:rsidR="00523456" w:rsidRDefault="00A354D5">
            <w:pPr>
              <w:jc w:val="center"/>
            </w:pPr>
            <w:r>
              <w:rPr>
                <w:color w:val="000000"/>
                <w:sz w:val="24"/>
              </w:rPr>
              <w:t>2.37%</w:t>
            </w:r>
          </w:p>
        </w:tc>
        <w:tc>
          <w:tcPr>
            <w:tcW w:w="1244" w:type="dxa"/>
            <w:vAlign w:val="center"/>
          </w:tcPr>
          <w:p w:rsidR="00523456" w:rsidRDefault="00A354D5">
            <w:pPr>
              <w:jc w:val="center"/>
            </w:pPr>
            <w:r>
              <w:rPr>
                <w:color w:val="000000"/>
                <w:sz w:val="24"/>
              </w:rPr>
              <w:t>14.08%</w:t>
            </w:r>
          </w:p>
        </w:tc>
        <w:tc>
          <w:tcPr>
            <w:tcW w:w="1251" w:type="dxa"/>
            <w:vAlign w:val="center"/>
          </w:tcPr>
          <w:p w:rsidR="00523456" w:rsidRDefault="00A354D5">
            <w:pPr>
              <w:jc w:val="center"/>
            </w:pPr>
            <w:r>
              <w:rPr>
                <w:color w:val="000000"/>
                <w:sz w:val="24"/>
              </w:rPr>
              <w:t>2.42%</w:t>
            </w:r>
          </w:p>
        </w:tc>
        <w:tc>
          <w:tcPr>
            <w:tcW w:w="1263" w:type="dxa"/>
            <w:vAlign w:val="center"/>
          </w:tcPr>
          <w:p w:rsidR="00523456" w:rsidRDefault="00A354D5">
            <w:pPr>
              <w:jc w:val="center"/>
            </w:pPr>
            <w:r>
              <w:rPr>
                <w:color w:val="000000"/>
                <w:sz w:val="24"/>
              </w:rPr>
              <w:t>-0.23%</w:t>
            </w:r>
          </w:p>
        </w:tc>
        <w:tc>
          <w:tcPr>
            <w:tcW w:w="1268" w:type="dxa"/>
            <w:vAlign w:val="center"/>
          </w:tcPr>
          <w:p w:rsidR="00523456" w:rsidRDefault="00A354D5">
            <w:pPr>
              <w:jc w:val="center"/>
            </w:pPr>
            <w:r>
              <w:rPr>
                <w:color w:val="000000"/>
                <w:sz w:val="24"/>
              </w:rPr>
              <w:t>-0.05%</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spacing w:before="29" w:line="288" w:lineRule="auto"/>
        <w:rPr>
          <w:b/>
          <w:kern w:val="0"/>
          <w:sz w:val="24"/>
        </w:rPr>
      </w:pPr>
      <w:r w:rsidRPr="00324C76">
        <w:rPr>
          <w:b/>
          <w:kern w:val="0"/>
          <w:sz w:val="24"/>
        </w:rPr>
        <w:t>3.2.2</w:t>
      </w:r>
      <w:r w:rsidR="00BD0A0A" w:rsidRPr="00324C76">
        <w:rPr>
          <w:b/>
          <w:kern w:val="0"/>
          <w:sz w:val="24"/>
        </w:rPr>
        <w:t xml:space="preserve"> </w:t>
      </w:r>
      <w:r w:rsidR="00491158" w:rsidRPr="004739A8">
        <w:rPr>
          <w:rFonts w:hint="eastAsia"/>
          <w:b/>
          <w:kern w:val="0"/>
          <w:sz w:val="24"/>
        </w:rPr>
        <w:t>自基金合同生效以来</w:t>
      </w:r>
      <w:r w:rsidR="00F00C35" w:rsidRPr="00324C76">
        <w:rPr>
          <w:b/>
          <w:bCs/>
          <w:color w:val="000000"/>
          <w:sz w:val="24"/>
        </w:rPr>
        <w:t>基金份额累计净值增长率变动及其与同期业绩比较基准收益率变动的比较</w:t>
      </w:r>
    </w:p>
    <w:p w:rsidR="00402ED1" w:rsidRPr="00324C76" w:rsidRDefault="00402ED1" w:rsidP="00B04217">
      <w:pPr>
        <w:spacing w:before="29" w:line="288" w:lineRule="auto"/>
        <w:jc w:val="center"/>
        <w:rPr>
          <w:sz w:val="24"/>
        </w:rPr>
      </w:pPr>
      <w:r w:rsidRPr="00324C76">
        <w:rPr>
          <w:sz w:val="24"/>
        </w:rPr>
        <w:t>交银施罗德深证</w:t>
      </w:r>
      <w:r w:rsidRPr="00324C76">
        <w:rPr>
          <w:sz w:val="24"/>
        </w:rPr>
        <w:t>300</w:t>
      </w:r>
      <w:r w:rsidRPr="00324C76">
        <w:rPr>
          <w:sz w:val="24"/>
        </w:rPr>
        <w:t>价值交易型开放式指数证券投资基金联接基金</w:t>
      </w:r>
    </w:p>
    <w:p w:rsidR="00402ED1" w:rsidRPr="00324C76" w:rsidRDefault="00F00C35" w:rsidP="00B04217">
      <w:pPr>
        <w:pStyle w:val="a5"/>
        <w:snapToGrid w:val="0"/>
        <w:spacing w:before="29" w:line="288" w:lineRule="auto"/>
        <w:jc w:val="center"/>
        <w:rPr>
          <w:rFonts w:ascii="Times New Roman" w:hAnsi="Times New Roman"/>
          <w:color w:val="000000"/>
          <w:sz w:val="24"/>
          <w:szCs w:val="24"/>
        </w:rPr>
      </w:pPr>
      <w:r w:rsidRPr="00324C76">
        <w:rPr>
          <w:rFonts w:ascii="Times New Roman" w:hAnsi="Times New Roman"/>
          <w:color w:val="000000"/>
          <w:sz w:val="24"/>
          <w:szCs w:val="24"/>
        </w:rPr>
        <w:t>份额累计净值增长率与业绩比较基准收益率历史走势对比图</w:t>
      </w:r>
    </w:p>
    <w:p w:rsidR="00BA6DE7" w:rsidRPr="00324C76" w:rsidRDefault="00BA6DE7" w:rsidP="00B04217">
      <w:pPr>
        <w:spacing w:before="29" w:line="288" w:lineRule="auto"/>
        <w:jc w:val="center"/>
        <w:rPr>
          <w:sz w:val="24"/>
        </w:rPr>
      </w:pPr>
      <w:r w:rsidRPr="00324C76">
        <w:rPr>
          <w:color w:val="000000"/>
          <w:kern w:val="0"/>
          <w:sz w:val="24"/>
        </w:rPr>
        <w:t>（</w:t>
      </w:r>
      <w:r w:rsidR="003251EE" w:rsidRPr="00324C76">
        <w:rPr>
          <w:color w:val="000000"/>
          <w:kern w:val="0"/>
          <w:sz w:val="24"/>
        </w:rPr>
        <w:t>2011</w:t>
      </w:r>
      <w:r w:rsidR="003251EE" w:rsidRPr="00324C76">
        <w:rPr>
          <w:color w:val="000000"/>
          <w:kern w:val="0"/>
          <w:sz w:val="24"/>
        </w:rPr>
        <w:t>年</w:t>
      </w:r>
      <w:r w:rsidR="003251EE" w:rsidRPr="00324C76">
        <w:rPr>
          <w:color w:val="000000"/>
          <w:kern w:val="0"/>
          <w:sz w:val="24"/>
        </w:rPr>
        <w:t>9</w:t>
      </w:r>
      <w:r w:rsidR="003251EE" w:rsidRPr="00324C76">
        <w:rPr>
          <w:color w:val="000000"/>
          <w:kern w:val="0"/>
          <w:sz w:val="24"/>
        </w:rPr>
        <w:t>月</w:t>
      </w:r>
      <w:r w:rsidR="003251EE" w:rsidRPr="00324C76">
        <w:rPr>
          <w:color w:val="000000"/>
          <w:kern w:val="0"/>
          <w:sz w:val="24"/>
        </w:rPr>
        <w:t>28</w:t>
      </w:r>
      <w:r w:rsidR="003251EE" w:rsidRPr="00324C76">
        <w:rPr>
          <w:color w:val="000000"/>
          <w:kern w:val="0"/>
          <w:sz w:val="24"/>
        </w:rPr>
        <w:t>日</w:t>
      </w:r>
      <w:r w:rsidRPr="00324C76">
        <w:rPr>
          <w:color w:val="000000"/>
          <w:kern w:val="0"/>
          <w:sz w:val="24"/>
        </w:rPr>
        <w:t>至</w:t>
      </w:r>
      <w:r w:rsidRPr="00324C76">
        <w:rPr>
          <w:color w:val="000000"/>
          <w:kern w:val="0"/>
          <w:sz w:val="24"/>
        </w:rPr>
        <w:t>2015</w:t>
      </w:r>
      <w:r w:rsidRPr="00324C76">
        <w:rPr>
          <w:color w:val="000000"/>
          <w:kern w:val="0"/>
          <w:sz w:val="24"/>
        </w:rPr>
        <w:t>年</w:t>
      </w:r>
      <w:r w:rsidRPr="00324C76">
        <w:rPr>
          <w:color w:val="000000"/>
          <w:kern w:val="0"/>
          <w:sz w:val="24"/>
        </w:rPr>
        <w:t>6</w:t>
      </w:r>
      <w:r w:rsidRPr="00324C76">
        <w:rPr>
          <w:color w:val="000000"/>
          <w:kern w:val="0"/>
          <w:sz w:val="24"/>
        </w:rPr>
        <w:t>月</w:t>
      </w:r>
      <w:r w:rsidRPr="00324C76">
        <w:rPr>
          <w:color w:val="000000"/>
          <w:kern w:val="0"/>
          <w:sz w:val="24"/>
        </w:rPr>
        <w:t>30</w:t>
      </w:r>
      <w:r w:rsidRPr="00324C76">
        <w:rPr>
          <w:color w:val="000000"/>
          <w:kern w:val="0"/>
          <w:sz w:val="24"/>
        </w:rPr>
        <w:t>日）</w:t>
      </w:r>
    </w:p>
    <w:p w:rsidR="00402ED1" w:rsidRPr="00324C76" w:rsidRDefault="0029290C" w:rsidP="00B04217">
      <w:pPr>
        <w:tabs>
          <w:tab w:val="left" w:pos="1800"/>
        </w:tabs>
        <w:spacing w:before="29" w:line="288" w:lineRule="auto"/>
        <w:jc w:val="center"/>
        <w:rPr>
          <w:color w:val="000000"/>
          <w:sz w:val="24"/>
        </w:rPr>
      </w:pPr>
      <w:r w:rsidRPr="00324C76">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stretch>
                      <a:fillRect/>
                    </a:stretch>
                  </pic:blipFill>
                  <pic:spPr>
                    <a:xfrm>
                      <a:off x="0" y="0"/>
                      <a:ext cx="5731510" cy="3356610"/>
                    </a:xfrm>
                    <a:prstGeom prst="rect">
                      <a:avLst/>
                    </a:prstGeom>
                  </pic:spPr>
                </pic:pic>
              </a:graphicData>
            </a:graphic>
          </wp:inline>
        </w:drawing>
      </w:r>
    </w:p>
    <w:p w:rsidR="00402ED1" w:rsidRPr="00324C76" w:rsidRDefault="00402ED1" w:rsidP="00B04217">
      <w:pPr>
        <w:autoSpaceDE w:val="0"/>
        <w:autoSpaceDN w:val="0"/>
        <w:adjustRightInd w:val="0"/>
        <w:spacing w:before="29" w:line="288" w:lineRule="auto"/>
        <w:jc w:val="left"/>
        <w:rPr>
          <w:color w:val="000000"/>
          <w:sz w:val="24"/>
        </w:rPr>
      </w:pPr>
      <w:r w:rsidRPr="00324C76">
        <w:rPr>
          <w:color w:val="000000"/>
          <w:sz w:val="24"/>
        </w:rPr>
        <w:t>注：本基金建仓期为自基金合同生效日起的</w:t>
      </w:r>
      <w:r w:rsidRPr="00324C76">
        <w:rPr>
          <w:color w:val="000000"/>
          <w:sz w:val="24"/>
        </w:rPr>
        <w:t>6</w:t>
      </w:r>
      <w:r w:rsidRPr="00324C76">
        <w:rPr>
          <w:color w:val="000000"/>
          <w:sz w:val="24"/>
        </w:rPr>
        <w:t>个月。截至建仓期结束，本基金各项资产配置比例符合基金合同及招募说明书有关投资比例的约定。</w:t>
      </w:r>
    </w:p>
    <w:p w:rsidR="00163AE8" w:rsidRPr="00324C76" w:rsidRDefault="00163AE8" w:rsidP="00B04217">
      <w:pPr>
        <w:tabs>
          <w:tab w:val="left" w:pos="1800"/>
        </w:tabs>
        <w:spacing w:before="29" w:line="288" w:lineRule="auto"/>
        <w:ind w:firstLineChars="200" w:firstLine="480"/>
        <w:rPr>
          <w:color w:val="000000"/>
          <w:sz w:val="24"/>
        </w:rPr>
      </w:pPr>
    </w:p>
    <w:p w:rsidR="00220542" w:rsidRPr="00324C76" w:rsidRDefault="00220542" w:rsidP="002124AD">
      <w:pPr>
        <w:pStyle w:val="1"/>
        <w:spacing w:beforeLines="100" w:before="312" w:afterLines="100" w:after="312" w:line="288" w:lineRule="auto"/>
        <w:jc w:val="center"/>
        <w:rPr>
          <w:kern w:val="0"/>
          <w:sz w:val="24"/>
          <w:szCs w:val="24"/>
        </w:rPr>
      </w:pPr>
      <w:r w:rsidRPr="00324C76">
        <w:rPr>
          <w:kern w:val="0"/>
          <w:sz w:val="24"/>
          <w:szCs w:val="24"/>
        </w:rPr>
        <w:t xml:space="preserve">§4  </w:t>
      </w:r>
      <w:r w:rsidRPr="00324C76">
        <w:rPr>
          <w:kern w:val="0"/>
          <w:sz w:val="24"/>
          <w:szCs w:val="24"/>
        </w:rPr>
        <w:t>管理人报告</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4.1 </w:t>
      </w:r>
      <w:r w:rsidRPr="00324C76">
        <w:rPr>
          <w:b/>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E27AF2" w:rsidRPr="00324C76" w:rsidTr="00E42623">
        <w:trPr>
          <w:trHeight w:val="292"/>
          <w:jc w:val="center"/>
        </w:trPr>
        <w:tc>
          <w:tcPr>
            <w:tcW w:w="851"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姓名</w:t>
            </w:r>
          </w:p>
        </w:tc>
        <w:tc>
          <w:tcPr>
            <w:tcW w:w="850"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职务</w:t>
            </w:r>
          </w:p>
        </w:tc>
        <w:tc>
          <w:tcPr>
            <w:tcW w:w="3119" w:type="dxa"/>
            <w:gridSpan w:val="2"/>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任本基金的基金经理期限</w:t>
            </w:r>
          </w:p>
        </w:tc>
        <w:tc>
          <w:tcPr>
            <w:tcW w:w="1417" w:type="dxa"/>
            <w:vMerge w:val="restart"/>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证券从业年限</w:t>
            </w:r>
          </w:p>
        </w:tc>
        <w:tc>
          <w:tcPr>
            <w:tcW w:w="2694"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说明</w:t>
            </w:r>
          </w:p>
        </w:tc>
      </w:tr>
      <w:tr w:rsidR="00E27AF2" w:rsidRPr="00324C76" w:rsidTr="00E42623">
        <w:trPr>
          <w:jc w:val="center"/>
        </w:trPr>
        <w:tc>
          <w:tcPr>
            <w:tcW w:w="851" w:type="dxa"/>
            <w:vMerge/>
            <w:vAlign w:val="center"/>
          </w:tcPr>
          <w:p w:rsidR="00E27AF2" w:rsidRPr="00324C76" w:rsidRDefault="00E27AF2" w:rsidP="00B04217">
            <w:pPr>
              <w:widowControl/>
              <w:spacing w:before="29" w:line="288" w:lineRule="auto"/>
              <w:jc w:val="left"/>
              <w:rPr>
                <w:color w:val="000000"/>
                <w:kern w:val="0"/>
                <w:sz w:val="24"/>
              </w:rPr>
            </w:pPr>
          </w:p>
        </w:tc>
        <w:tc>
          <w:tcPr>
            <w:tcW w:w="850" w:type="dxa"/>
            <w:vMerge/>
            <w:vAlign w:val="center"/>
          </w:tcPr>
          <w:p w:rsidR="00E27AF2" w:rsidRPr="00324C76" w:rsidRDefault="00E27AF2" w:rsidP="00B04217">
            <w:pPr>
              <w:widowControl/>
              <w:spacing w:before="29" w:line="288" w:lineRule="auto"/>
              <w:jc w:val="left"/>
              <w:rPr>
                <w:color w:val="000000"/>
                <w:kern w:val="0"/>
                <w:sz w:val="24"/>
              </w:rPr>
            </w:pPr>
          </w:p>
        </w:tc>
        <w:tc>
          <w:tcPr>
            <w:tcW w:w="1560"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任职日期</w:t>
            </w:r>
          </w:p>
        </w:tc>
        <w:tc>
          <w:tcPr>
            <w:tcW w:w="1559"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离任日期</w:t>
            </w:r>
          </w:p>
        </w:tc>
        <w:tc>
          <w:tcPr>
            <w:tcW w:w="1417" w:type="dxa"/>
            <w:vMerge/>
            <w:vAlign w:val="center"/>
          </w:tcPr>
          <w:p w:rsidR="00E27AF2" w:rsidRPr="00324C76" w:rsidRDefault="00E27AF2" w:rsidP="00B04217">
            <w:pPr>
              <w:widowControl/>
              <w:spacing w:before="29" w:line="288" w:lineRule="auto"/>
              <w:jc w:val="left"/>
              <w:rPr>
                <w:color w:val="000000"/>
                <w:kern w:val="0"/>
                <w:sz w:val="24"/>
              </w:rPr>
            </w:pPr>
          </w:p>
        </w:tc>
        <w:tc>
          <w:tcPr>
            <w:tcW w:w="2694" w:type="dxa"/>
            <w:vMerge/>
            <w:vAlign w:val="center"/>
          </w:tcPr>
          <w:p w:rsidR="00E27AF2" w:rsidRPr="00324C76" w:rsidRDefault="00E27AF2" w:rsidP="00B04217">
            <w:pPr>
              <w:widowControl/>
              <w:spacing w:before="29" w:line="288" w:lineRule="auto"/>
              <w:jc w:val="left"/>
              <w:rPr>
                <w:color w:val="000000"/>
                <w:kern w:val="0"/>
                <w:sz w:val="24"/>
              </w:rPr>
            </w:pPr>
          </w:p>
        </w:tc>
      </w:tr>
      <w:tr w:rsidR="00523456">
        <w:trPr>
          <w:jc w:val="center"/>
        </w:trPr>
        <w:tc>
          <w:tcPr>
            <w:tcW w:w="846" w:type="dxa"/>
            <w:vAlign w:val="center"/>
          </w:tcPr>
          <w:p w:rsidR="00523456" w:rsidRDefault="00A354D5">
            <w:pPr>
              <w:jc w:val="center"/>
            </w:pPr>
            <w:r>
              <w:rPr>
                <w:color w:val="000000"/>
                <w:sz w:val="24"/>
              </w:rPr>
              <w:t>蔡铮</w:t>
            </w:r>
          </w:p>
        </w:tc>
        <w:tc>
          <w:tcPr>
            <w:tcW w:w="845" w:type="dxa"/>
            <w:vAlign w:val="center"/>
          </w:tcPr>
          <w:p w:rsidR="00523456" w:rsidRDefault="00A354D5">
            <w:pPr>
              <w:jc w:val="center"/>
            </w:pPr>
            <w:r>
              <w:rPr>
                <w:color w:val="000000"/>
                <w:sz w:val="24"/>
              </w:rPr>
              <w:t>本基金及深证</w:t>
            </w:r>
            <w:r>
              <w:rPr>
                <w:color w:val="000000"/>
                <w:sz w:val="24"/>
              </w:rPr>
              <w:t>300</w:t>
            </w:r>
            <w:r>
              <w:rPr>
                <w:color w:val="000000"/>
                <w:sz w:val="24"/>
              </w:rPr>
              <w:t>价值</w:t>
            </w:r>
            <w:r>
              <w:rPr>
                <w:color w:val="000000"/>
                <w:sz w:val="24"/>
              </w:rPr>
              <w:t>ETF</w:t>
            </w:r>
            <w:r>
              <w:rPr>
                <w:color w:val="000000"/>
                <w:sz w:val="24"/>
              </w:rPr>
              <w:t>、交银环球精选股票</w:t>
            </w:r>
            <w:r w:rsidR="003F2324">
              <w:rPr>
                <w:rFonts w:hint="eastAsia"/>
                <w:color w:val="000000"/>
                <w:sz w:val="24"/>
              </w:rPr>
              <w:t>基金</w:t>
            </w:r>
            <w:r>
              <w:rPr>
                <w:color w:val="000000"/>
                <w:sz w:val="24"/>
              </w:rPr>
              <w:t>(QDII)</w:t>
            </w: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及其联接基金、交银全球资源股票</w:t>
            </w:r>
            <w:r w:rsidR="003F2324">
              <w:rPr>
                <w:rFonts w:hint="eastAsia"/>
                <w:color w:val="000000"/>
                <w:sz w:val="24"/>
              </w:rPr>
              <w:t>基金</w:t>
            </w:r>
            <w:r>
              <w:rPr>
                <w:color w:val="000000"/>
                <w:sz w:val="24"/>
              </w:rPr>
              <w:t>(QDII)</w:t>
            </w:r>
            <w:r>
              <w:rPr>
                <w:color w:val="000000"/>
                <w:sz w:val="24"/>
              </w:rPr>
              <w:t>、交银沪深</w:t>
            </w:r>
            <w:r>
              <w:rPr>
                <w:color w:val="000000"/>
                <w:sz w:val="24"/>
              </w:rPr>
              <w:t>300</w:t>
            </w:r>
            <w:r>
              <w:rPr>
                <w:color w:val="000000"/>
                <w:sz w:val="24"/>
              </w:rPr>
              <w:t>分层等权指数基金、交银国证新能源指数分级基金、交银中证海外中国互联网指数基金（</w:t>
            </w:r>
            <w:r>
              <w:rPr>
                <w:color w:val="000000"/>
                <w:sz w:val="24"/>
              </w:rPr>
              <w:t>QDII-LOF)</w:t>
            </w:r>
            <w:r>
              <w:rPr>
                <w:color w:val="000000"/>
                <w:sz w:val="24"/>
              </w:rPr>
              <w:t>、交银中证互联网金融指数分级基金的基金经理，公司量化投资部助理总经理</w:t>
            </w:r>
          </w:p>
        </w:tc>
        <w:tc>
          <w:tcPr>
            <w:tcW w:w="1549" w:type="dxa"/>
            <w:vAlign w:val="center"/>
          </w:tcPr>
          <w:p w:rsidR="00523456" w:rsidRDefault="00A354D5">
            <w:pPr>
              <w:jc w:val="center"/>
            </w:pPr>
            <w:r>
              <w:rPr>
                <w:color w:val="000000"/>
                <w:sz w:val="24"/>
              </w:rPr>
              <w:t>2012-12-27</w:t>
            </w:r>
          </w:p>
        </w:tc>
        <w:tc>
          <w:tcPr>
            <w:tcW w:w="1548" w:type="dxa"/>
            <w:vAlign w:val="center"/>
          </w:tcPr>
          <w:p w:rsidR="00523456" w:rsidRDefault="00A354D5">
            <w:pPr>
              <w:jc w:val="center"/>
            </w:pPr>
            <w:r>
              <w:rPr>
                <w:color w:val="000000"/>
                <w:sz w:val="24"/>
              </w:rPr>
              <w:t>-</w:t>
            </w:r>
          </w:p>
        </w:tc>
        <w:tc>
          <w:tcPr>
            <w:tcW w:w="1407" w:type="dxa"/>
            <w:vAlign w:val="center"/>
          </w:tcPr>
          <w:p w:rsidR="00523456" w:rsidRDefault="00A354D5">
            <w:pPr>
              <w:jc w:val="center"/>
            </w:pPr>
            <w:r>
              <w:rPr>
                <w:color w:val="000000"/>
                <w:sz w:val="24"/>
              </w:rPr>
              <w:t>6</w:t>
            </w:r>
            <w:r>
              <w:rPr>
                <w:color w:val="000000"/>
                <w:sz w:val="24"/>
              </w:rPr>
              <w:t>年</w:t>
            </w:r>
          </w:p>
        </w:tc>
        <w:tc>
          <w:tcPr>
            <w:tcW w:w="2673" w:type="dxa"/>
            <w:vAlign w:val="center"/>
          </w:tcPr>
          <w:p w:rsidR="00523456" w:rsidRDefault="00A354D5">
            <w:r>
              <w:rPr>
                <w:color w:val="000000"/>
                <w:sz w:val="24"/>
              </w:rPr>
              <w:t>蔡铮先生，复旦大学电子工程硕士。历任瑞士银行香港分行分析员。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p>
        </w:tc>
      </w:tr>
    </w:tbl>
    <w:p w:rsidR="0022054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t>注：基金经理（或基金经理小组）期后变动（如有）敬请关注基金管理人发布的相关公告。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4.2</w:t>
      </w:r>
      <w:r w:rsidR="0084595F" w:rsidRPr="00324C76">
        <w:rPr>
          <w:b/>
          <w:kern w:val="0"/>
          <w:sz w:val="24"/>
        </w:rPr>
        <w:t xml:space="preserve"> </w:t>
      </w:r>
      <w:r w:rsidR="00BA4BD3" w:rsidRPr="00324C76">
        <w:rPr>
          <w:b/>
          <w:kern w:val="0"/>
          <w:sz w:val="24"/>
        </w:rPr>
        <w:t>管理人对报告期内本基金运作遵规守信情况的说明</w:t>
      </w:r>
    </w:p>
    <w:p w:rsidR="00220542" w:rsidRPr="00324C76" w:rsidRDefault="00E27AF2" w:rsidP="00B04217">
      <w:pPr>
        <w:spacing w:before="29" w:line="288" w:lineRule="auto"/>
        <w:ind w:firstLineChars="200" w:firstLine="480"/>
        <w:rPr>
          <w:color w:val="000000"/>
          <w:sz w:val="24"/>
        </w:rPr>
      </w:pPr>
      <w:r w:rsidRPr="00324C76">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4.3 </w:t>
      </w:r>
      <w:r w:rsidRPr="00324C76">
        <w:rPr>
          <w:b/>
          <w:kern w:val="0"/>
          <w:sz w:val="24"/>
        </w:rPr>
        <w:t>公平交易专项说明</w:t>
      </w:r>
    </w:p>
    <w:p w:rsidR="005D278A" w:rsidRPr="00324C76" w:rsidRDefault="005D278A" w:rsidP="00B04217">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324C76">
          <w:rPr>
            <w:sz w:val="24"/>
          </w:rPr>
          <w:t>4.3.1</w:t>
        </w:r>
      </w:smartTag>
      <w:r w:rsidRPr="00324C76">
        <w:rPr>
          <w:sz w:val="24"/>
        </w:rPr>
        <w:t xml:space="preserve"> </w:t>
      </w:r>
      <w:r w:rsidRPr="00324C76">
        <w:rPr>
          <w:sz w:val="24"/>
        </w:rPr>
        <w:t>公平交易制度的执行情况</w:t>
      </w:r>
    </w:p>
    <w:p w:rsidR="00523456" w:rsidRDefault="00A354D5">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23456" w:rsidRDefault="00A354D5">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23456" w:rsidRDefault="00A354D5">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D278A" w:rsidRPr="00324C76" w:rsidRDefault="00E27AF2" w:rsidP="00B04217">
      <w:pPr>
        <w:spacing w:before="29" w:line="288" w:lineRule="auto"/>
        <w:ind w:firstLineChars="200" w:firstLine="480"/>
        <w:rPr>
          <w:color w:val="000000"/>
          <w:sz w:val="24"/>
        </w:rPr>
      </w:pPr>
      <w:r w:rsidRPr="00324C76">
        <w:rPr>
          <w:color w:val="000000"/>
          <w:sz w:val="24"/>
        </w:rPr>
        <w:t>报告期内本公司严格执行公平交易制度，公平对待旗下各投资组合，未发现任何违反公平交易的行为。</w:t>
      </w:r>
    </w:p>
    <w:p w:rsidR="005D278A" w:rsidRPr="00324C76" w:rsidRDefault="005D278A" w:rsidP="00B04217">
      <w:pPr>
        <w:spacing w:before="29" w:line="288" w:lineRule="auto"/>
        <w:rPr>
          <w:sz w:val="24"/>
        </w:rPr>
      </w:pPr>
      <w:r w:rsidRPr="00324C76">
        <w:rPr>
          <w:sz w:val="24"/>
        </w:rPr>
        <w:t>4.3.</w:t>
      </w:r>
      <w:r w:rsidR="00F31F40" w:rsidRPr="00324C76">
        <w:rPr>
          <w:sz w:val="24"/>
        </w:rPr>
        <w:t>2</w:t>
      </w:r>
      <w:r w:rsidRPr="00324C76">
        <w:rPr>
          <w:sz w:val="24"/>
        </w:rPr>
        <w:t xml:space="preserve"> </w:t>
      </w:r>
      <w:r w:rsidRPr="00324C76">
        <w:rPr>
          <w:sz w:val="24"/>
        </w:rPr>
        <w:t>异常交易行为的专项说明</w:t>
      </w:r>
    </w:p>
    <w:p w:rsidR="005D278A" w:rsidRPr="00324C76" w:rsidRDefault="00E27AF2" w:rsidP="00B04217">
      <w:pPr>
        <w:spacing w:before="29" w:line="288" w:lineRule="auto"/>
        <w:ind w:firstLineChars="200" w:firstLine="480"/>
        <w:rPr>
          <w:color w:val="000000"/>
          <w:sz w:val="24"/>
        </w:rPr>
      </w:pPr>
      <w:r w:rsidRPr="00324C76">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24C76">
        <w:rPr>
          <w:color w:val="000000"/>
          <w:sz w:val="24"/>
        </w:rPr>
        <w:t>5%</w:t>
      </w:r>
      <w:r w:rsidRPr="00324C76">
        <w:rPr>
          <w:color w:val="000000"/>
          <w:sz w:val="24"/>
        </w:rPr>
        <w:t>的情形，本基金与本公司管理的其他投资组合在不同时间窗下（如日内、</w:t>
      </w:r>
      <w:r w:rsidRPr="00324C76">
        <w:rPr>
          <w:color w:val="000000"/>
          <w:sz w:val="24"/>
        </w:rPr>
        <w:t>3</w:t>
      </w:r>
      <w:r w:rsidRPr="00324C76">
        <w:rPr>
          <w:color w:val="000000"/>
          <w:sz w:val="24"/>
        </w:rPr>
        <w:t>日内、</w:t>
      </w:r>
      <w:r w:rsidRPr="00324C76">
        <w:rPr>
          <w:color w:val="000000"/>
          <w:sz w:val="24"/>
        </w:rPr>
        <w:t>5</w:t>
      </w:r>
      <w:r w:rsidRPr="00324C76">
        <w:rPr>
          <w:color w:val="000000"/>
          <w:sz w:val="24"/>
        </w:rPr>
        <w:t>日内）同向交易的交易价差未出现异常。</w:t>
      </w:r>
    </w:p>
    <w:p w:rsidR="00220542" w:rsidRPr="00324C76" w:rsidRDefault="00220542" w:rsidP="00B04217">
      <w:pPr>
        <w:spacing w:before="29" w:line="288" w:lineRule="auto"/>
        <w:ind w:firstLineChars="200" w:firstLine="480"/>
        <w:rPr>
          <w:sz w:val="24"/>
        </w:rPr>
      </w:pPr>
    </w:p>
    <w:p w:rsidR="004D6E34" w:rsidRPr="00324C76" w:rsidRDefault="00360A1E" w:rsidP="00B04217">
      <w:pPr>
        <w:spacing w:before="29" w:line="288" w:lineRule="auto"/>
        <w:rPr>
          <w:sz w:val="24"/>
        </w:rPr>
      </w:pPr>
      <w:r w:rsidRPr="00324C76">
        <w:rPr>
          <w:b/>
          <w:color w:val="000000"/>
          <w:kern w:val="0"/>
          <w:sz w:val="24"/>
        </w:rPr>
        <w:t xml:space="preserve">4.4 </w:t>
      </w:r>
      <w:r w:rsidRPr="00324C76">
        <w:rPr>
          <w:rFonts w:hAnsi="宋体"/>
          <w:b/>
          <w:bCs/>
          <w:color w:val="000000"/>
          <w:sz w:val="24"/>
        </w:rPr>
        <w:t>报告期内基金的投资策略和运作分析</w:t>
      </w:r>
    </w:p>
    <w:p w:rsidR="00523456" w:rsidRDefault="00A354D5">
      <w:pPr>
        <w:spacing w:before="29" w:line="288" w:lineRule="auto"/>
        <w:ind w:firstLineChars="200" w:firstLine="480"/>
        <w:rPr>
          <w:color w:val="000000"/>
          <w:sz w:val="24"/>
        </w:rPr>
      </w:pPr>
      <w:r>
        <w:rPr>
          <w:color w:val="000000"/>
          <w:sz w:val="24"/>
        </w:rPr>
        <w:t>2015</w:t>
      </w:r>
      <w:r>
        <w:rPr>
          <w:color w:val="000000"/>
          <w:sz w:val="24"/>
        </w:rPr>
        <w:t>年第二季度，国内经济增速弱企稳，内需疲软，经济基本面对资本市场的支持力度较为有限。但通胀压力并不明显，货币政策持续进一步宽松，使资本市场在本季度前期仍然维持年初以来的上涨趋势。但随着季末资金面收紧以及场外配资去杠杆压力，市场出现较大幅度回调。作为跟踪基准指数的指数基金，在本季度呈现出先涨后跌的走势。</w:t>
      </w:r>
    </w:p>
    <w:p w:rsidR="004D6E34" w:rsidRPr="00324C76" w:rsidRDefault="00E27AF2" w:rsidP="00B04217">
      <w:pPr>
        <w:spacing w:before="29" w:line="288" w:lineRule="auto"/>
        <w:ind w:firstLineChars="200" w:firstLine="480"/>
        <w:rPr>
          <w:color w:val="000000"/>
          <w:sz w:val="24"/>
        </w:rPr>
      </w:pPr>
      <w:r w:rsidRPr="00324C76">
        <w:rPr>
          <w:color w:val="000000"/>
          <w:sz w:val="24"/>
        </w:rPr>
        <w:t>展望未来一个季度，宽松的货币政策环境有望持续，但经过此轮调整，市场风险偏好会急剧下降。总体而言，预计产业创新的发展思路不会改变，改革进程有望进一步加快，因此对</w:t>
      </w:r>
      <w:r w:rsidRPr="00324C76">
        <w:rPr>
          <w:color w:val="000000"/>
          <w:sz w:val="24"/>
        </w:rPr>
        <w:t>A</w:t>
      </w:r>
      <w:r w:rsidRPr="00324C76">
        <w:rPr>
          <w:color w:val="000000"/>
          <w:sz w:val="24"/>
        </w:rPr>
        <w:t>股市场保持谨慎乐观的态度。</w:t>
      </w:r>
    </w:p>
    <w:p w:rsidR="0092140D" w:rsidRPr="00324C76" w:rsidRDefault="0092140D" w:rsidP="00B04217">
      <w:pPr>
        <w:spacing w:before="29" w:line="288" w:lineRule="auto"/>
        <w:ind w:firstLineChars="200" w:firstLine="480"/>
        <w:rPr>
          <w:color w:val="000000"/>
          <w:sz w:val="24"/>
        </w:rPr>
      </w:pPr>
    </w:p>
    <w:p w:rsidR="004D6E34" w:rsidRPr="00324C76" w:rsidRDefault="00360A1E" w:rsidP="00B04217">
      <w:pPr>
        <w:spacing w:before="29" w:line="288" w:lineRule="auto"/>
        <w:rPr>
          <w:sz w:val="24"/>
        </w:rPr>
      </w:pPr>
      <w:r w:rsidRPr="00324C76">
        <w:rPr>
          <w:b/>
          <w:color w:val="000000"/>
          <w:kern w:val="0"/>
          <w:sz w:val="24"/>
        </w:rPr>
        <w:t>4.5</w:t>
      </w:r>
      <w:r w:rsidRPr="00324C76">
        <w:rPr>
          <w:b/>
          <w:color w:val="000000"/>
          <w:kern w:val="0"/>
          <w:sz w:val="24"/>
        </w:rPr>
        <w:t>报告期内基金的业绩表现</w:t>
      </w:r>
    </w:p>
    <w:p w:rsidR="004D6E34" w:rsidRPr="00324C76" w:rsidRDefault="00E27AF2" w:rsidP="00B04217">
      <w:pPr>
        <w:spacing w:before="29" w:line="288" w:lineRule="auto"/>
        <w:ind w:firstLineChars="200" w:firstLine="480"/>
        <w:rPr>
          <w:color w:val="000000"/>
          <w:sz w:val="24"/>
        </w:rPr>
      </w:pPr>
      <w:r w:rsidRPr="00324C76">
        <w:rPr>
          <w:color w:val="000000"/>
          <w:sz w:val="24"/>
        </w:rPr>
        <w:t>截至</w:t>
      </w:r>
      <w:r w:rsidRPr="00324C76">
        <w:rPr>
          <w:color w:val="000000"/>
          <w:sz w:val="24"/>
        </w:rPr>
        <w:t>2015</w:t>
      </w:r>
      <w:r w:rsidRPr="00324C76">
        <w:rPr>
          <w:color w:val="000000"/>
          <w:sz w:val="24"/>
        </w:rPr>
        <w:t>年</w:t>
      </w:r>
      <w:r w:rsidRPr="00324C76">
        <w:rPr>
          <w:color w:val="000000"/>
          <w:sz w:val="24"/>
        </w:rPr>
        <w:t>6</w:t>
      </w:r>
      <w:r w:rsidRPr="00324C76">
        <w:rPr>
          <w:color w:val="000000"/>
          <w:sz w:val="24"/>
        </w:rPr>
        <w:t>月</w:t>
      </w:r>
      <w:r w:rsidRPr="00324C76">
        <w:rPr>
          <w:color w:val="000000"/>
          <w:sz w:val="24"/>
        </w:rPr>
        <w:t>30</w:t>
      </w:r>
      <w:r w:rsidRPr="00324C76">
        <w:rPr>
          <w:color w:val="000000"/>
          <w:sz w:val="24"/>
        </w:rPr>
        <w:t>日，本基金份额净值为</w:t>
      </w:r>
      <w:r w:rsidRPr="00324C76">
        <w:rPr>
          <w:color w:val="000000"/>
          <w:sz w:val="24"/>
        </w:rPr>
        <w:t>1.751</w:t>
      </w:r>
      <w:r w:rsidRPr="00324C76">
        <w:rPr>
          <w:color w:val="000000"/>
          <w:sz w:val="24"/>
        </w:rPr>
        <w:t>元，本报告期份额净值增长率为</w:t>
      </w:r>
      <w:r w:rsidRPr="00324C76">
        <w:rPr>
          <w:color w:val="000000"/>
          <w:sz w:val="24"/>
        </w:rPr>
        <w:t>13.85%</w:t>
      </w:r>
      <w:r w:rsidRPr="00324C76">
        <w:rPr>
          <w:color w:val="000000"/>
          <w:sz w:val="24"/>
        </w:rPr>
        <w:t>，同期业绩比较基准增长率为</w:t>
      </w:r>
      <w:r w:rsidRPr="00324C76">
        <w:rPr>
          <w:color w:val="000000"/>
          <w:sz w:val="24"/>
        </w:rPr>
        <w:t>14.08%</w:t>
      </w:r>
      <w:r w:rsidRPr="00324C76">
        <w:rPr>
          <w:color w:val="000000"/>
          <w:sz w:val="24"/>
        </w:rPr>
        <w:t>。本报告期内本基金的日均跟踪偏离度为</w:t>
      </w:r>
      <w:r w:rsidRPr="00324C76">
        <w:rPr>
          <w:color w:val="000000"/>
          <w:sz w:val="24"/>
        </w:rPr>
        <w:t>0.06%</w:t>
      </w:r>
      <w:r w:rsidRPr="00324C76">
        <w:rPr>
          <w:color w:val="000000"/>
          <w:sz w:val="24"/>
        </w:rPr>
        <w:t>，跟踪误差为</w:t>
      </w:r>
      <w:r w:rsidRPr="00324C76">
        <w:rPr>
          <w:color w:val="000000"/>
          <w:sz w:val="24"/>
        </w:rPr>
        <w:t>0.08%</w:t>
      </w:r>
      <w:r w:rsidRPr="00324C76">
        <w:rPr>
          <w:color w:val="000000"/>
          <w:sz w:val="24"/>
        </w:rPr>
        <w:t>。</w:t>
      </w:r>
    </w:p>
    <w:p w:rsidR="008A22A5" w:rsidRPr="00324C76" w:rsidRDefault="008A22A5" w:rsidP="00B04217">
      <w:pPr>
        <w:spacing w:before="29" w:line="288" w:lineRule="auto"/>
        <w:rPr>
          <w:kern w:val="0"/>
          <w:sz w:val="24"/>
        </w:rPr>
      </w:pPr>
    </w:p>
    <w:p w:rsidR="00700422" w:rsidRPr="002070B4" w:rsidRDefault="00700422" w:rsidP="0070042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700422" w:rsidRDefault="00700422" w:rsidP="00700422">
      <w:pPr>
        <w:spacing w:before="29" w:line="288" w:lineRule="auto"/>
        <w:ind w:firstLineChars="200" w:firstLine="480"/>
        <w:rPr>
          <w:color w:val="000000"/>
          <w:sz w:val="24"/>
        </w:rPr>
      </w:pPr>
      <w:r w:rsidRPr="002070B4">
        <w:rPr>
          <w:color w:val="000000"/>
          <w:sz w:val="24"/>
        </w:rPr>
        <w:t>截至本报告期末，本基金已经连续二十个工作日以上出现基金资产净值低于五千万元的情形。</w:t>
      </w:r>
    </w:p>
    <w:p w:rsidR="0092140D" w:rsidRPr="00324C76" w:rsidRDefault="0092140D" w:rsidP="00B04217">
      <w:pPr>
        <w:spacing w:before="29" w:line="288" w:lineRule="auto"/>
        <w:ind w:firstLineChars="200" w:firstLine="480"/>
        <w:rPr>
          <w:color w:val="000000"/>
          <w:sz w:val="24"/>
        </w:rPr>
      </w:pPr>
    </w:p>
    <w:p w:rsidR="00220542" w:rsidRPr="00324C76" w:rsidRDefault="00220542" w:rsidP="002124AD">
      <w:pPr>
        <w:pStyle w:val="1"/>
        <w:spacing w:beforeLines="100" w:before="312" w:afterLines="100" w:after="312" w:line="288" w:lineRule="auto"/>
        <w:jc w:val="center"/>
        <w:rPr>
          <w:kern w:val="0"/>
          <w:sz w:val="24"/>
          <w:szCs w:val="24"/>
        </w:rPr>
      </w:pPr>
      <w:r w:rsidRPr="00324C76">
        <w:rPr>
          <w:kern w:val="0"/>
          <w:sz w:val="24"/>
          <w:szCs w:val="24"/>
        </w:rPr>
        <w:t xml:space="preserve">§5  </w:t>
      </w:r>
      <w:r w:rsidRPr="00324C76">
        <w:rPr>
          <w:kern w:val="0"/>
          <w:sz w:val="24"/>
          <w:szCs w:val="24"/>
        </w:rPr>
        <w:t>投资组合报告</w:t>
      </w:r>
    </w:p>
    <w:p w:rsidR="00EA6B24" w:rsidRPr="00324C76" w:rsidRDefault="00AC2FFC" w:rsidP="00B04217">
      <w:pPr>
        <w:autoSpaceDE w:val="0"/>
        <w:autoSpaceDN w:val="0"/>
        <w:adjustRightInd w:val="0"/>
        <w:spacing w:before="29" w:line="288" w:lineRule="auto"/>
        <w:jc w:val="left"/>
        <w:rPr>
          <w:b/>
          <w:kern w:val="0"/>
          <w:sz w:val="24"/>
        </w:rPr>
      </w:pPr>
      <w:r w:rsidRPr="00324C76">
        <w:rPr>
          <w:b/>
          <w:kern w:val="0"/>
          <w:sz w:val="24"/>
        </w:rPr>
        <w:t>5.1</w:t>
      </w:r>
      <w:r w:rsidR="00736C89" w:rsidRPr="00324C76">
        <w:rPr>
          <w:b/>
          <w:kern w:val="0"/>
          <w:sz w:val="24"/>
        </w:rPr>
        <w:t xml:space="preserve"> </w:t>
      </w:r>
      <w:r w:rsidR="00EA6B24" w:rsidRPr="00324C76">
        <w:rPr>
          <w:b/>
          <w:kern w:val="0"/>
          <w:sz w:val="24"/>
        </w:rPr>
        <w:t>报告期末基金资产组合情况</w:t>
      </w:r>
    </w:p>
    <w:tbl>
      <w:tblPr>
        <w:tblStyle w:val="af7"/>
        <w:tblW w:w="8868" w:type="dxa"/>
        <w:jc w:val="center"/>
        <w:tblLayout w:type="fixed"/>
        <w:tblCellMar>
          <w:top w:w="-1" w:type="dxa"/>
          <w:bottom w:w="-1" w:type="dxa"/>
        </w:tblCellMar>
        <w:tblLook w:val="04A0" w:firstRow="1" w:lastRow="0" w:firstColumn="1" w:lastColumn="0" w:noHBand="0" w:noVBand="1"/>
      </w:tblPr>
      <w:tblGrid>
        <w:gridCol w:w="749"/>
        <w:gridCol w:w="3491"/>
        <w:gridCol w:w="2801"/>
        <w:gridCol w:w="1827"/>
      </w:tblGrid>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序号</w:t>
            </w:r>
          </w:p>
        </w:tc>
        <w:tc>
          <w:tcPr>
            <w:tcW w:w="3357"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项目</w:t>
            </w:r>
          </w:p>
        </w:tc>
        <w:tc>
          <w:tcPr>
            <w:tcW w:w="2694"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金额</w:t>
            </w:r>
            <w:r w:rsidR="006A1874" w:rsidRPr="00324C76">
              <w:rPr>
                <w:color w:val="000000"/>
                <w:sz w:val="24"/>
              </w:rPr>
              <w:t>（元）</w:t>
            </w:r>
          </w:p>
        </w:tc>
        <w:tc>
          <w:tcPr>
            <w:tcW w:w="1757"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占基金总资产的比例</w:t>
            </w:r>
            <w:r w:rsidR="006A1874"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1</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权益投资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1,068,715.55</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2.69</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其中：股票</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1,068,715.55</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2.69</w:t>
            </w:r>
          </w:p>
        </w:tc>
      </w:tr>
      <w:tr w:rsidR="00314308" w:rsidRPr="00324C76" w:rsidTr="008C550C">
        <w:trPr>
          <w:jc w:val="center"/>
        </w:trPr>
        <w:tc>
          <w:tcPr>
            <w:tcW w:w="720" w:type="dxa"/>
            <w:vAlign w:val="center"/>
          </w:tcPr>
          <w:p w:rsidR="00314308" w:rsidRPr="00324C76" w:rsidRDefault="00314308" w:rsidP="00B04217">
            <w:pPr>
              <w:spacing w:before="29" w:line="288" w:lineRule="auto"/>
              <w:ind w:left="17"/>
              <w:jc w:val="center"/>
              <w:rPr>
                <w:color w:val="000000"/>
                <w:sz w:val="24"/>
              </w:rPr>
            </w:pPr>
            <w:r w:rsidRPr="00324C76">
              <w:rPr>
                <w:color w:val="000000"/>
                <w:sz w:val="24"/>
              </w:rPr>
              <w:t>2</w:t>
            </w:r>
          </w:p>
        </w:tc>
        <w:tc>
          <w:tcPr>
            <w:tcW w:w="3357" w:type="dxa"/>
            <w:vAlign w:val="center"/>
          </w:tcPr>
          <w:p w:rsidR="00314308" w:rsidRPr="00324C76" w:rsidRDefault="00314308" w:rsidP="00B04217">
            <w:pPr>
              <w:spacing w:before="29" w:line="288" w:lineRule="auto"/>
              <w:ind w:left="17"/>
              <w:jc w:val="left"/>
              <w:rPr>
                <w:color w:val="000000"/>
                <w:sz w:val="24"/>
              </w:rPr>
            </w:pPr>
            <w:r w:rsidRPr="00324C76">
              <w:rPr>
                <w:color w:val="000000"/>
                <w:sz w:val="24"/>
              </w:rPr>
              <w:t>基金投资</w:t>
            </w:r>
          </w:p>
        </w:tc>
        <w:tc>
          <w:tcPr>
            <w:tcW w:w="2694" w:type="dxa"/>
            <w:vAlign w:val="center"/>
          </w:tcPr>
          <w:p w:rsidR="00314308" w:rsidRPr="00324C76" w:rsidRDefault="00314308" w:rsidP="00B04217">
            <w:pPr>
              <w:spacing w:before="29" w:line="288" w:lineRule="auto"/>
              <w:ind w:left="17"/>
              <w:jc w:val="right"/>
              <w:rPr>
                <w:color w:val="000000"/>
                <w:sz w:val="24"/>
              </w:rPr>
            </w:pPr>
            <w:r w:rsidRPr="00324C76">
              <w:rPr>
                <w:color w:val="000000"/>
                <w:sz w:val="24"/>
              </w:rPr>
              <w:t>36,040,550.00</w:t>
            </w:r>
          </w:p>
        </w:tc>
        <w:tc>
          <w:tcPr>
            <w:tcW w:w="1757" w:type="dxa"/>
            <w:vAlign w:val="center"/>
          </w:tcPr>
          <w:p w:rsidR="00314308" w:rsidRPr="00324C76" w:rsidRDefault="00314308" w:rsidP="00B04217">
            <w:pPr>
              <w:spacing w:before="29" w:line="288" w:lineRule="auto"/>
              <w:ind w:left="17"/>
              <w:jc w:val="right"/>
              <w:rPr>
                <w:color w:val="000000"/>
                <w:sz w:val="24"/>
              </w:rPr>
            </w:pPr>
            <w:r w:rsidRPr="00324C76">
              <w:rPr>
                <w:color w:val="000000"/>
                <w:sz w:val="24"/>
              </w:rPr>
              <w:t>90.56</w:t>
            </w:r>
          </w:p>
        </w:tc>
      </w:tr>
      <w:tr w:rsidR="00E27AF2" w:rsidRPr="00324C76" w:rsidTr="008C550C">
        <w:trPr>
          <w:jc w:val="center"/>
        </w:trPr>
        <w:tc>
          <w:tcPr>
            <w:tcW w:w="720" w:type="dxa"/>
            <w:vAlign w:val="center"/>
          </w:tcPr>
          <w:p w:rsidR="00E27AF2" w:rsidRPr="00324C76" w:rsidRDefault="00A9064E" w:rsidP="00B04217">
            <w:pPr>
              <w:spacing w:before="29" w:line="288" w:lineRule="auto"/>
              <w:ind w:left="17"/>
              <w:jc w:val="center"/>
              <w:rPr>
                <w:color w:val="000000"/>
                <w:sz w:val="24"/>
              </w:rPr>
            </w:pPr>
            <w:r w:rsidRPr="00324C76">
              <w:rPr>
                <w:color w:val="000000"/>
                <w:sz w:val="24"/>
              </w:rPr>
              <w:t>3</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固定收益投资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其中：债券</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autoSpaceDE w:val="0"/>
              <w:autoSpaceDN w:val="0"/>
              <w:adjustRightInd w:val="0"/>
              <w:spacing w:before="29" w:line="288" w:lineRule="auto"/>
              <w:ind w:left="17" w:firstLineChars="300" w:firstLine="720"/>
              <w:jc w:val="left"/>
              <w:rPr>
                <w:color w:val="000000"/>
                <w:sz w:val="24"/>
              </w:rPr>
            </w:pPr>
            <w:r w:rsidRPr="00324C76">
              <w:rPr>
                <w:color w:val="000000"/>
                <w:sz w:val="24"/>
              </w:rPr>
              <w:t>资产支持证券</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6B7F36" w:rsidRPr="00324C76" w:rsidTr="008C550C">
        <w:trPr>
          <w:jc w:val="center"/>
        </w:trPr>
        <w:tc>
          <w:tcPr>
            <w:tcW w:w="720" w:type="dxa"/>
            <w:vAlign w:val="center"/>
          </w:tcPr>
          <w:p w:rsidR="006B7F36" w:rsidRPr="00324C76" w:rsidRDefault="006B7F36" w:rsidP="00B04217">
            <w:pPr>
              <w:spacing w:before="29" w:line="288" w:lineRule="auto"/>
              <w:ind w:left="17"/>
              <w:jc w:val="center"/>
              <w:rPr>
                <w:color w:val="000000"/>
                <w:sz w:val="24"/>
              </w:rPr>
            </w:pPr>
            <w:r w:rsidRPr="00324C76">
              <w:rPr>
                <w:color w:val="000000"/>
                <w:sz w:val="24"/>
              </w:rPr>
              <w:t>4</w:t>
            </w:r>
          </w:p>
        </w:tc>
        <w:tc>
          <w:tcPr>
            <w:tcW w:w="3357" w:type="dxa"/>
            <w:vAlign w:val="center"/>
          </w:tcPr>
          <w:p w:rsidR="006B7F36" w:rsidRPr="00324C76" w:rsidRDefault="006B7F36" w:rsidP="00B04217">
            <w:pPr>
              <w:spacing w:before="29" w:line="288" w:lineRule="auto"/>
              <w:ind w:left="17"/>
              <w:jc w:val="left"/>
              <w:rPr>
                <w:color w:val="000000"/>
                <w:sz w:val="24"/>
              </w:rPr>
            </w:pPr>
            <w:r w:rsidRPr="00324C76">
              <w:rPr>
                <w:rFonts w:hAnsi="宋体"/>
                <w:color w:val="000000"/>
                <w:sz w:val="24"/>
              </w:rPr>
              <w:t>贵金属投资</w:t>
            </w:r>
          </w:p>
        </w:tc>
        <w:tc>
          <w:tcPr>
            <w:tcW w:w="2694" w:type="dxa"/>
            <w:vAlign w:val="center"/>
          </w:tcPr>
          <w:p w:rsidR="006B7F36" w:rsidRPr="00324C76" w:rsidRDefault="006B7F36" w:rsidP="00B04217">
            <w:pPr>
              <w:spacing w:before="29" w:line="288" w:lineRule="auto"/>
              <w:ind w:left="17"/>
              <w:jc w:val="right"/>
              <w:rPr>
                <w:color w:val="000000"/>
                <w:sz w:val="24"/>
              </w:rPr>
            </w:pPr>
            <w:r w:rsidRPr="00324C76">
              <w:rPr>
                <w:rFonts w:eastAsiaTheme="minorEastAsia"/>
                <w:color w:val="000000"/>
                <w:sz w:val="24"/>
              </w:rPr>
              <w:t>-</w:t>
            </w:r>
          </w:p>
        </w:tc>
        <w:tc>
          <w:tcPr>
            <w:tcW w:w="1757" w:type="dxa"/>
            <w:vAlign w:val="center"/>
          </w:tcPr>
          <w:p w:rsidR="006B7F36" w:rsidRPr="00324C76" w:rsidRDefault="006B7F36" w:rsidP="00B04217">
            <w:pPr>
              <w:spacing w:before="29" w:line="288" w:lineRule="auto"/>
              <w:ind w:left="17"/>
              <w:jc w:val="right"/>
              <w:rPr>
                <w:color w:val="000000"/>
                <w:sz w:val="24"/>
              </w:rPr>
            </w:pPr>
            <w:r w:rsidRPr="00324C76">
              <w:rPr>
                <w:rFonts w:eastAsiaTheme="minorEastAsia"/>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5</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金融衍生品投资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6</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买入返售金融资产</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其中：买断式回购的买入返售金融资产</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7</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银行存款和结算备付金合计</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2,589,356.32</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6.51</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8</w:t>
            </w:r>
          </w:p>
        </w:tc>
        <w:tc>
          <w:tcPr>
            <w:tcW w:w="3357" w:type="dxa"/>
            <w:vAlign w:val="center"/>
          </w:tcPr>
          <w:p w:rsidR="00E27AF2" w:rsidRPr="00324C76" w:rsidRDefault="00F21C76" w:rsidP="00B04217">
            <w:pPr>
              <w:spacing w:before="29" w:line="288" w:lineRule="auto"/>
              <w:jc w:val="left"/>
              <w:rPr>
                <w:sz w:val="24"/>
              </w:rPr>
            </w:pPr>
            <w:r w:rsidRPr="00324C76">
              <w:rPr>
                <w:color w:val="000000"/>
                <w:sz w:val="24"/>
              </w:rPr>
              <w:t>其他</w:t>
            </w:r>
            <w:r w:rsidR="00E27AF2" w:rsidRPr="00324C76">
              <w:rPr>
                <w:color w:val="000000"/>
                <w:sz w:val="24"/>
              </w:rPr>
              <w:t>资产</w:t>
            </w:r>
          </w:p>
        </w:tc>
        <w:tc>
          <w:tcPr>
            <w:tcW w:w="2694" w:type="dxa"/>
            <w:vAlign w:val="center"/>
          </w:tcPr>
          <w:p w:rsidR="00E27AF2" w:rsidRPr="00324C76" w:rsidRDefault="00E27AF2" w:rsidP="00B04217">
            <w:pPr>
              <w:spacing w:before="29" w:line="288" w:lineRule="auto"/>
              <w:jc w:val="right"/>
              <w:rPr>
                <w:color w:val="000000"/>
                <w:sz w:val="24"/>
              </w:rPr>
            </w:pPr>
            <w:r w:rsidRPr="00324C76">
              <w:rPr>
                <w:color w:val="000000"/>
                <w:sz w:val="24"/>
              </w:rPr>
              <w:t>99,747.26</w:t>
            </w:r>
          </w:p>
        </w:tc>
        <w:tc>
          <w:tcPr>
            <w:tcW w:w="1757" w:type="dxa"/>
            <w:vAlign w:val="center"/>
          </w:tcPr>
          <w:p w:rsidR="00E27AF2" w:rsidRPr="00324C76" w:rsidRDefault="00E27AF2" w:rsidP="00B04217">
            <w:pPr>
              <w:spacing w:before="29" w:line="288" w:lineRule="auto"/>
              <w:jc w:val="right"/>
              <w:rPr>
                <w:color w:val="000000"/>
                <w:sz w:val="24"/>
              </w:rPr>
            </w:pPr>
            <w:r w:rsidRPr="00324C76">
              <w:rPr>
                <w:color w:val="000000"/>
                <w:sz w:val="24"/>
              </w:rPr>
              <w:t>0.25</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9</w:t>
            </w:r>
          </w:p>
        </w:tc>
        <w:tc>
          <w:tcPr>
            <w:tcW w:w="3357" w:type="dxa"/>
            <w:vAlign w:val="center"/>
          </w:tcPr>
          <w:p w:rsidR="00E27AF2" w:rsidRPr="00324C76" w:rsidRDefault="00E27AF2" w:rsidP="00B04217">
            <w:pPr>
              <w:spacing w:before="29" w:line="288" w:lineRule="auto"/>
              <w:jc w:val="left"/>
              <w:rPr>
                <w:sz w:val="24"/>
              </w:rPr>
            </w:pPr>
            <w:r w:rsidRPr="00324C76">
              <w:rPr>
                <w:color w:val="000000"/>
                <w:sz w:val="24"/>
              </w:rPr>
              <w:t>合计</w:t>
            </w:r>
          </w:p>
        </w:tc>
        <w:tc>
          <w:tcPr>
            <w:tcW w:w="2694" w:type="dxa"/>
            <w:vAlign w:val="center"/>
          </w:tcPr>
          <w:p w:rsidR="00E27AF2" w:rsidRPr="00324C76" w:rsidRDefault="00E27AF2" w:rsidP="00B04217">
            <w:pPr>
              <w:spacing w:before="29" w:line="288" w:lineRule="auto"/>
              <w:jc w:val="right"/>
              <w:rPr>
                <w:color w:val="000000"/>
                <w:sz w:val="24"/>
              </w:rPr>
            </w:pPr>
            <w:r w:rsidRPr="00324C76">
              <w:rPr>
                <w:color w:val="000000"/>
                <w:sz w:val="24"/>
              </w:rPr>
              <w:t>39,798,369.13</w:t>
            </w:r>
          </w:p>
        </w:tc>
        <w:tc>
          <w:tcPr>
            <w:tcW w:w="1757" w:type="dxa"/>
            <w:vAlign w:val="center"/>
          </w:tcPr>
          <w:p w:rsidR="00E27AF2" w:rsidRPr="00324C76" w:rsidRDefault="00E27AF2" w:rsidP="00B04217">
            <w:pPr>
              <w:spacing w:before="29" w:line="288" w:lineRule="auto"/>
              <w:jc w:val="right"/>
              <w:rPr>
                <w:color w:val="000000"/>
                <w:sz w:val="24"/>
              </w:rPr>
            </w:pPr>
            <w:r w:rsidRPr="00324C76">
              <w:rPr>
                <w:color w:val="000000"/>
                <w:sz w:val="24"/>
              </w:rPr>
              <w:t>100.00</w:t>
            </w:r>
          </w:p>
        </w:tc>
      </w:tr>
    </w:tbl>
    <w:p w:rsidR="00D83335" w:rsidRPr="00324C76" w:rsidRDefault="00D83335" w:rsidP="00B04217">
      <w:pPr>
        <w:autoSpaceDE w:val="0"/>
        <w:autoSpaceDN w:val="0"/>
        <w:adjustRightInd w:val="0"/>
        <w:spacing w:before="29" w:line="288" w:lineRule="auto"/>
        <w:jc w:val="left"/>
        <w:rPr>
          <w:sz w:val="24"/>
        </w:rPr>
      </w:pPr>
    </w:p>
    <w:p w:rsidR="00D83335" w:rsidRPr="00324C76" w:rsidRDefault="00D83335" w:rsidP="00B04217">
      <w:pPr>
        <w:autoSpaceDE w:val="0"/>
        <w:autoSpaceDN w:val="0"/>
        <w:adjustRightInd w:val="0"/>
        <w:spacing w:before="29" w:line="288" w:lineRule="auto"/>
        <w:jc w:val="left"/>
        <w:rPr>
          <w:b/>
          <w:kern w:val="0"/>
          <w:sz w:val="24"/>
        </w:rPr>
      </w:pPr>
      <w:r w:rsidRPr="00324C76">
        <w:rPr>
          <w:b/>
          <w:kern w:val="0"/>
          <w:sz w:val="24"/>
        </w:rPr>
        <w:t>5.2</w:t>
      </w:r>
      <w:r w:rsidR="00991257" w:rsidRPr="00324C76">
        <w:rPr>
          <w:b/>
          <w:kern w:val="0"/>
          <w:sz w:val="24"/>
        </w:rPr>
        <w:t xml:space="preserve"> </w:t>
      </w:r>
      <w:r w:rsidRPr="00324C76">
        <w:rPr>
          <w:b/>
          <w:kern w:val="0"/>
          <w:sz w:val="24"/>
        </w:rPr>
        <w:t>期末投资目标基金明细</w:t>
      </w:r>
    </w:p>
    <w:tbl>
      <w:tblPr>
        <w:tblStyle w:val="af7"/>
        <w:tblW w:w="5000" w:type="pct"/>
        <w:jc w:val="center"/>
        <w:tblCellMar>
          <w:top w:w="57" w:type="dxa"/>
          <w:bottom w:w="57" w:type="dxa"/>
        </w:tblCellMar>
        <w:tblLook w:val="04A0" w:firstRow="1" w:lastRow="0" w:firstColumn="1" w:lastColumn="0" w:noHBand="0" w:noVBand="1"/>
      </w:tblPr>
      <w:tblGrid>
        <w:gridCol w:w="1272"/>
        <w:gridCol w:w="1274"/>
        <w:gridCol w:w="1274"/>
        <w:gridCol w:w="1274"/>
        <w:gridCol w:w="1275"/>
        <w:gridCol w:w="1596"/>
        <w:gridCol w:w="1277"/>
      </w:tblGrid>
      <w:tr w:rsidR="00AD036A" w:rsidRPr="00324C76" w:rsidTr="00BB7F14">
        <w:trPr>
          <w:jc w:val="center"/>
        </w:trPr>
        <w:tc>
          <w:tcPr>
            <w:tcW w:w="713" w:type="pct"/>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序号</w:t>
            </w:r>
          </w:p>
        </w:tc>
        <w:tc>
          <w:tcPr>
            <w:tcW w:w="714" w:type="pct"/>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基金名称</w:t>
            </w:r>
          </w:p>
        </w:tc>
        <w:tc>
          <w:tcPr>
            <w:tcW w:w="714" w:type="pct"/>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基金类型</w:t>
            </w:r>
          </w:p>
        </w:tc>
        <w:tc>
          <w:tcPr>
            <w:tcW w:w="714" w:type="pct"/>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运作方式</w:t>
            </w:r>
          </w:p>
        </w:tc>
        <w:tc>
          <w:tcPr>
            <w:tcW w:w="714" w:type="pct"/>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管理人</w:t>
            </w:r>
          </w:p>
        </w:tc>
        <w:tc>
          <w:tcPr>
            <w:tcW w:w="715" w:type="pct"/>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公允价值</w:t>
            </w:r>
            <w:r w:rsidR="008A6913" w:rsidRPr="00324C76">
              <w:rPr>
                <w:kern w:val="0"/>
                <w:sz w:val="24"/>
              </w:rPr>
              <w:t>（元）</w:t>
            </w:r>
          </w:p>
        </w:tc>
        <w:tc>
          <w:tcPr>
            <w:tcW w:w="715" w:type="pct"/>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占基金资产净值比例</w:t>
            </w:r>
            <w:r w:rsidR="008A6913" w:rsidRPr="00324C76">
              <w:rPr>
                <w:kern w:val="0"/>
                <w:sz w:val="24"/>
              </w:rPr>
              <w:t>（％）</w:t>
            </w:r>
          </w:p>
        </w:tc>
      </w:tr>
      <w:tr w:rsidR="00523456" w:rsidTr="00BB7F14">
        <w:trPr>
          <w:jc w:val="center"/>
        </w:trPr>
        <w:tc>
          <w:tcPr>
            <w:tcW w:w="713" w:type="pct"/>
            <w:vAlign w:val="center"/>
          </w:tcPr>
          <w:p w:rsidR="00523456" w:rsidRDefault="00A354D5">
            <w:pPr>
              <w:jc w:val="center"/>
            </w:pPr>
            <w:r>
              <w:rPr>
                <w:sz w:val="24"/>
              </w:rPr>
              <w:t>1</w:t>
            </w:r>
          </w:p>
        </w:tc>
        <w:tc>
          <w:tcPr>
            <w:tcW w:w="714" w:type="pct"/>
            <w:vAlign w:val="center"/>
          </w:tcPr>
          <w:p w:rsidR="00523456" w:rsidRDefault="00A354D5">
            <w:pPr>
              <w:jc w:val="center"/>
            </w:pPr>
            <w:r>
              <w:rPr>
                <w:sz w:val="24"/>
              </w:rPr>
              <w:t>深证</w:t>
            </w:r>
            <w:r>
              <w:rPr>
                <w:sz w:val="24"/>
              </w:rPr>
              <w:t>300</w:t>
            </w:r>
            <w:r>
              <w:rPr>
                <w:sz w:val="24"/>
              </w:rPr>
              <w:t>价值交易型开放式指数证券投资基金</w:t>
            </w:r>
          </w:p>
        </w:tc>
        <w:tc>
          <w:tcPr>
            <w:tcW w:w="714" w:type="pct"/>
            <w:vAlign w:val="center"/>
          </w:tcPr>
          <w:p w:rsidR="00523456" w:rsidRDefault="00A354D5">
            <w:pPr>
              <w:jc w:val="center"/>
            </w:pPr>
            <w:r>
              <w:rPr>
                <w:sz w:val="24"/>
              </w:rPr>
              <w:t>股票型</w:t>
            </w:r>
          </w:p>
        </w:tc>
        <w:tc>
          <w:tcPr>
            <w:tcW w:w="714" w:type="pct"/>
            <w:vAlign w:val="center"/>
          </w:tcPr>
          <w:p w:rsidR="00523456" w:rsidRDefault="00A354D5">
            <w:pPr>
              <w:jc w:val="center"/>
            </w:pPr>
            <w:r>
              <w:rPr>
                <w:sz w:val="24"/>
              </w:rPr>
              <w:t>交易型开放式</w:t>
            </w:r>
          </w:p>
        </w:tc>
        <w:tc>
          <w:tcPr>
            <w:tcW w:w="714" w:type="pct"/>
            <w:vAlign w:val="center"/>
          </w:tcPr>
          <w:p w:rsidR="00523456" w:rsidRDefault="00A354D5">
            <w:pPr>
              <w:jc w:val="center"/>
            </w:pPr>
            <w:r>
              <w:rPr>
                <w:sz w:val="24"/>
              </w:rPr>
              <w:t>交银施罗德基金管理有限公司</w:t>
            </w:r>
          </w:p>
        </w:tc>
        <w:tc>
          <w:tcPr>
            <w:tcW w:w="715" w:type="pct"/>
            <w:vAlign w:val="center"/>
          </w:tcPr>
          <w:p w:rsidR="00523456" w:rsidRDefault="00A354D5">
            <w:pPr>
              <w:jc w:val="right"/>
            </w:pPr>
            <w:r>
              <w:rPr>
                <w:sz w:val="24"/>
              </w:rPr>
              <w:t>36,040,550.00</w:t>
            </w:r>
          </w:p>
        </w:tc>
        <w:tc>
          <w:tcPr>
            <w:tcW w:w="715" w:type="pct"/>
            <w:vAlign w:val="center"/>
          </w:tcPr>
          <w:p w:rsidR="00523456" w:rsidRDefault="00A354D5">
            <w:pPr>
              <w:jc w:val="right"/>
            </w:pPr>
            <w:r>
              <w:rPr>
                <w:sz w:val="24"/>
              </w:rPr>
              <w:t>91.98</w:t>
            </w:r>
          </w:p>
        </w:tc>
      </w:tr>
    </w:tbl>
    <w:p w:rsidR="00C640D9" w:rsidRPr="00324C76" w:rsidRDefault="00C640D9"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3</w:t>
      </w:r>
      <w:r w:rsidR="00991257" w:rsidRPr="00324C76">
        <w:rPr>
          <w:b/>
          <w:kern w:val="0"/>
          <w:sz w:val="24"/>
        </w:rPr>
        <w:t xml:space="preserve"> </w:t>
      </w:r>
      <w:r w:rsidRPr="00324C76">
        <w:rPr>
          <w:b/>
          <w:kern w:val="0"/>
          <w:sz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bottom w:w="-1" w:type="dxa"/>
        </w:tblCellMar>
        <w:tblLook w:val="0000" w:firstRow="0" w:lastRow="0" w:firstColumn="0" w:lastColumn="0" w:noHBand="0" w:noVBand="0"/>
      </w:tblPr>
      <w:tblGrid>
        <w:gridCol w:w="845"/>
        <w:gridCol w:w="3453"/>
        <w:gridCol w:w="3115"/>
        <w:gridCol w:w="1455"/>
      </w:tblGrid>
      <w:tr w:rsidR="003634D5" w:rsidRPr="00324C76" w:rsidTr="00EF1D5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代码</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行业类别</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公允价值（元）</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占基金资产净值比例（％）</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A</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农、林、牧、渔业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B</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采矿业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74B0F">
            <w:pPr>
              <w:spacing w:before="29" w:line="288" w:lineRule="auto"/>
              <w:jc w:val="right"/>
              <w:rPr>
                <w:sz w:val="24"/>
              </w:rPr>
            </w:pPr>
            <w:r w:rsidRPr="00324C76">
              <w:rPr>
                <w:sz w:val="24"/>
              </w:rPr>
              <w:t>17,977.96</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74B0F">
            <w:pPr>
              <w:spacing w:before="29" w:line="288" w:lineRule="auto"/>
              <w:jc w:val="right"/>
              <w:rPr>
                <w:sz w:val="24"/>
              </w:rPr>
            </w:pPr>
            <w:r w:rsidRPr="00324C76">
              <w:rPr>
                <w:sz w:val="24"/>
              </w:rPr>
              <w:t>0.05</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C</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制造业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723,167.07</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1.85</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D</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电力、热力、燃气及水生产和供应业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43,370.64</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0.11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E</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建筑业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3,994.00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F</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批发和零售业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5,553.06</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G</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交通运输、仓储和邮政业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4,248.00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H</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住宿和餐饮业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02794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I</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027942">
            <w:pPr>
              <w:adjustRightInd w:val="0"/>
              <w:snapToGrid w:val="0"/>
              <w:spacing w:before="29" w:line="288" w:lineRule="auto"/>
              <w:rPr>
                <w:sz w:val="24"/>
              </w:rPr>
            </w:pPr>
            <w:r w:rsidRPr="00324C76">
              <w:rPr>
                <w:sz w:val="24"/>
              </w:rPr>
              <w:t>信息传输、软件和信息技术服务业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3,890.00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J</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金融业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72,578.95</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0.19</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K</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房地产业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103,110.53</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0.26</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L</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租赁和商务服务业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76,547.34</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0.20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M</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科学研究和技术服务业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N</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水利、环境和公共设施管理业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14,278.00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0.04</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O</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居民服务、修理和其他服务业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P</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教育</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Q</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卫生和社会工作</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R</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文化、体育和娱乐业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S</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综合</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合计</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1,068,715.55</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2.73</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4</w:t>
      </w:r>
      <w:r w:rsidR="00991257" w:rsidRPr="00324C76">
        <w:rPr>
          <w:b/>
          <w:kern w:val="0"/>
          <w:sz w:val="24"/>
        </w:rPr>
        <w:t xml:space="preserve"> </w:t>
      </w:r>
      <w:r w:rsidRPr="00324C76">
        <w:rPr>
          <w:b/>
          <w:kern w:val="0"/>
          <w:sz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49"/>
        <w:gridCol w:w="1327"/>
        <w:gridCol w:w="1621"/>
        <w:gridCol w:w="1769"/>
        <w:gridCol w:w="2211"/>
        <w:gridCol w:w="1091"/>
      </w:tblGrid>
      <w:tr w:rsidR="00BA574A" w:rsidRPr="00324C76" w:rsidTr="00E42623">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序号</w:t>
            </w:r>
          </w:p>
        </w:tc>
        <w:tc>
          <w:tcPr>
            <w:tcW w:w="1276"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股票代码</w:t>
            </w:r>
          </w:p>
        </w:tc>
        <w:tc>
          <w:tcPr>
            <w:tcW w:w="155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股票名称</w:t>
            </w:r>
          </w:p>
        </w:tc>
        <w:tc>
          <w:tcPr>
            <w:tcW w:w="1701"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数量</w:t>
            </w:r>
            <w:r w:rsidR="00CB6AC9" w:rsidRPr="00324C76">
              <w:rPr>
                <w:color w:val="000000"/>
                <w:sz w:val="24"/>
              </w:rPr>
              <w:t>（股）</w:t>
            </w:r>
          </w:p>
        </w:tc>
        <w:tc>
          <w:tcPr>
            <w:tcW w:w="2126" w:type="dxa"/>
            <w:vAlign w:val="center"/>
          </w:tcPr>
          <w:p w:rsidR="00BA574A" w:rsidRPr="00324C76" w:rsidRDefault="00BA574A" w:rsidP="00B04217">
            <w:pPr>
              <w:autoSpaceDE w:val="0"/>
              <w:autoSpaceDN w:val="0"/>
              <w:adjustRightInd w:val="0"/>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w="104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占基金资产净值比例</w:t>
            </w:r>
            <w:r w:rsidR="00CB6AC9" w:rsidRPr="00324C76">
              <w:rPr>
                <w:color w:val="000000"/>
                <w:sz w:val="24"/>
              </w:rPr>
              <w:t>（％）</w:t>
            </w:r>
          </w:p>
        </w:tc>
      </w:tr>
      <w:tr w:rsidR="00523456">
        <w:trPr>
          <w:jc w:val="center"/>
        </w:trPr>
        <w:tc>
          <w:tcPr>
            <w:tcW w:w="849" w:type="dxa"/>
            <w:vAlign w:val="center"/>
          </w:tcPr>
          <w:p w:rsidR="00523456" w:rsidRDefault="00A354D5">
            <w:pPr>
              <w:jc w:val="center"/>
            </w:pPr>
            <w:r>
              <w:rPr>
                <w:color w:val="000000"/>
                <w:sz w:val="24"/>
              </w:rPr>
              <w:t>1</w:t>
            </w:r>
          </w:p>
        </w:tc>
        <w:tc>
          <w:tcPr>
            <w:tcW w:w="1327" w:type="dxa"/>
            <w:vAlign w:val="center"/>
          </w:tcPr>
          <w:p w:rsidR="00523456" w:rsidRDefault="00A354D5">
            <w:pPr>
              <w:jc w:val="center"/>
            </w:pPr>
            <w:r>
              <w:rPr>
                <w:color w:val="000000"/>
                <w:sz w:val="24"/>
              </w:rPr>
              <w:t>000630</w:t>
            </w:r>
          </w:p>
        </w:tc>
        <w:tc>
          <w:tcPr>
            <w:tcW w:w="1621" w:type="dxa"/>
            <w:vAlign w:val="center"/>
          </w:tcPr>
          <w:p w:rsidR="00523456" w:rsidRDefault="00A354D5">
            <w:pPr>
              <w:jc w:val="center"/>
            </w:pPr>
            <w:r>
              <w:rPr>
                <w:color w:val="000000"/>
                <w:sz w:val="24"/>
              </w:rPr>
              <w:t>铜陵有色</w:t>
            </w:r>
          </w:p>
        </w:tc>
        <w:tc>
          <w:tcPr>
            <w:tcW w:w="1769" w:type="dxa"/>
            <w:vAlign w:val="center"/>
          </w:tcPr>
          <w:p w:rsidR="00523456" w:rsidRDefault="00A354D5">
            <w:pPr>
              <w:jc w:val="right"/>
            </w:pPr>
            <w:r>
              <w:rPr>
                <w:color w:val="000000"/>
                <w:sz w:val="24"/>
              </w:rPr>
              <w:t>11,460</w:t>
            </w:r>
          </w:p>
        </w:tc>
        <w:tc>
          <w:tcPr>
            <w:tcW w:w="2211" w:type="dxa"/>
            <w:vAlign w:val="center"/>
          </w:tcPr>
          <w:p w:rsidR="00523456" w:rsidRDefault="00A354D5">
            <w:pPr>
              <w:jc w:val="right"/>
            </w:pPr>
            <w:r>
              <w:rPr>
                <w:color w:val="000000"/>
                <w:sz w:val="24"/>
              </w:rPr>
              <w:t>118,267.20</w:t>
            </w:r>
          </w:p>
        </w:tc>
        <w:tc>
          <w:tcPr>
            <w:tcW w:w="1091" w:type="dxa"/>
            <w:vAlign w:val="center"/>
          </w:tcPr>
          <w:p w:rsidR="00523456" w:rsidRDefault="00A354D5">
            <w:pPr>
              <w:jc w:val="right"/>
            </w:pPr>
            <w:r>
              <w:rPr>
                <w:color w:val="000000"/>
                <w:sz w:val="24"/>
              </w:rPr>
              <w:t>0.30</w:t>
            </w:r>
          </w:p>
        </w:tc>
      </w:tr>
      <w:tr w:rsidR="00523456">
        <w:trPr>
          <w:jc w:val="center"/>
        </w:trPr>
        <w:tc>
          <w:tcPr>
            <w:tcW w:w="849" w:type="dxa"/>
            <w:vAlign w:val="center"/>
          </w:tcPr>
          <w:p w:rsidR="00523456" w:rsidRDefault="00A354D5">
            <w:pPr>
              <w:jc w:val="center"/>
            </w:pPr>
            <w:r>
              <w:rPr>
                <w:color w:val="000000"/>
                <w:sz w:val="24"/>
              </w:rPr>
              <w:t>2</w:t>
            </w:r>
          </w:p>
        </w:tc>
        <w:tc>
          <w:tcPr>
            <w:tcW w:w="1327" w:type="dxa"/>
            <w:vAlign w:val="center"/>
          </w:tcPr>
          <w:p w:rsidR="00523456" w:rsidRDefault="00A354D5">
            <w:pPr>
              <w:jc w:val="center"/>
            </w:pPr>
            <w:r>
              <w:rPr>
                <w:color w:val="000000"/>
                <w:sz w:val="24"/>
              </w:rPr>
              <w:t>000062</w:t>
            </w:r>
          </w:p>
        </w:tc>
        <w:tc>
          <w:tcPr>
            <w:tcW w:w="1621" w:type="dxa"/>
            <w:vAlign w:val="center"/>
          </w:tcPr>
          <w:p w:rsidR="00523456" w:rsidRDefault="00A354D5">
            <w:pPr>
              <w:jc w:val="center"/>
            </w:pPr>
            <w:r>
              <w:rPr>
                <w:color w:val="000000"/>
                <w:sz w:val="24"/>
              </w:rPr>
              <w:t>深圳华强</w:t>
            </w:r>
          </w:p>
        </w:tc>
        <w:tc>
          <w:tcPr>
            <w:tcW w:w="1769" w:type="dxa"/>
            <w:vAlign w:val="center"/>
          </w:tcPr>
          <w:p w:rsidR="00523456" w:rsidRDefault="00A354D5">
            <w:pPr>
              <w:jc w:val="right"/>
            </w:pPr>
            <w:r>
              <w:rPr>
                <w:color w:val="000000"/>
                <w:sz w:val="24"/>
              </w:rPr>
              <w:t>1,200</w:t>
            </w:r>
          </w:p>
        </w:tc>
        <w:tc>
          <w:tcPr>
            <w:tcW w:w="2211" w:type="dxa"/>
            <w:vAlign w:val="center"/>
          </w:tcPr>
          <w:p w:rsidR="00523456" w:rsidRDefault="00A354D5">
            <w:pPr>
              <w:jc w:val="right"/>
            </w:pPr>
            <w:r>
              <w:rPr>
                <w:color w:val="000000"/>
                <w:sz w:val="24"/>
              </w:rPr>
              <w:t>68,484.00</w:t>
            </w:r>
          </w:p>
        </w:tc>
        <w:tc>
          <w:tcPr>
            <w:tcW w:w="1091" w:type="dxa"/>
            <w:vAlign w:val="center"/>
          </w:tcPr>
          <w:p w:rsidR="00523456" w:rsidRDefault="00A354D5">
            <w:pPr>
              <w:jc w:val="right"/>
            </w:pPr>
            <w:r>
              <w:rPr>
                <w:color w:val="000000"/>
                <w:sz w:val="24"/>
              </w:rPr>
              <w:t>0.17</w:t>
            </w:r>
          </w:p>
        </w:tc>
      </w:tr>
      <w:tr w:rsidR="00523456">
        <w:trPr>
          <w:jc w:val="center"/>
        </w:trPr>
        <w:tc>
          <w:tcPr>
            <w:tcW w:w="849" w:type="dxa"/>
            <w:vAlign w:val="center"/>
          </w:tcPr>
          <w:p w:rsidR="00523456" w:rsidRDefault="00A354D5">
            <w:pPr>
              <w:jc w:val="center"/>
            </w:pPr>
            <w:r>
              <w:rPr>
                <w:color w:val="000000"/>
                <w:sz w:val="24"/>
              </w:rPr>
              <w:t>3</w:t>
            </w:r>
          </w:p>
        </w:tc>
        <w:tc>
          <w:tcPr>
            <w:tcW w:w="1327" w:type="dxa"/>
            <w:vAlign w:val="center"/>
          </w:tcPr>
          <w:p w:rsidR="00523456" w:rsidRDefault="00A354D5">
            <w:pPr>
              <w:jc w:val="center"/>
            </w:pPr>
            <w:r>
              <w:rPr>
                <w:color w:val="000000"/>
                <w:sz w:val="24"/>
              </w:rPr>
              <w:t>000786</w:t>
            </w:r>
          </w:p>
        </w:tc>
        <w:tc>
          <w:tcPr>
            <w:tcW w:w="1621" w:type="dxa"/>
            <w:vAlign w:val="center"/>
          </w:tcPr>
          <w:p w:rsidR="00523456" w:rsidRDefault="00A354D5">
            <w:pPr>
              <w:jc w:val="center"/>
            </w:pPr>
            <w:r>
              <w:rPr>
                <w:color w:val="000000"/>
                <w:sz w:val="24"/>
              </w:rPr>
              <w:t>北新建材</w:t>
            </w:r>
          </w:p>
        </w:tc>
        <w:tc>
          <w:tcPr>
            <w:tcW w:w="1769" w:type="dxa"/>
            <w:vAlign w:val="center"/>
          </w:tcPr>
          <w:p w:rsidR="00523456" w:rsidRDefault="00A354D5">
            <w:pPr>
              <w:jc w:val="right"/>
            </w:pPr>
            <w:r>
              <w:rPr>
                <w:color w:val="000000"/>
                <w:sz w:val="24"/>
              </w:rPr>
              <w:t>3,272</w:t>
            </w:r>
          </w:p>
        </w:tc>
        <w:tc>
          <w:tcPr>
            <w:tcW w:w="2211" w:type="dxa"/>
            <w:vAlign w:val="center"/>
          </w:tcPr>
          <w:p w:rsidR="00523456" w:rsidRDefault="00A354D5">
            <w:pPr>
              <w:jc w:val="right"/>
            </w:pPr>
            <w:r>
              <w:rPr>
                <w:color w:val="000000"/>
                <w:sz w:val="24"/>
              </w:rPr>
              <w:t>60,793.76</w:t>
            </w:r>
          </w:p>
        </w:tc>
        <w:tc>
          <w:tcPr>
            <w:tcW w:w="1091" w:type="dxa"/>
            <w:vAlign w:val="center"/>
          </w:tcPr>
          <w:p w:rsidR="00523456" w:rsidRDefault="00A354D5">
            <w:pPr>
              <w:jc w:val="right"/>
            </w:pPr>
            <w:r>
              <w:rPr>
                <w:color w:val="000000"/>
                <w:sz w:val="24"/>
              </w:rPr>
              <w:t>0.16</w:t>
            </w:r>
          </w:p>
        </w:tc>
      </w:tr>
      <w:tr w:rsidR="00523456">
        <w:trPr>
          <w:jc w:val="center"/>
        </w:trPr>
        <w:tc>
          <w:tcPr>
            <w:tcW w:w="849" w:type="dxa"/>
            <w:vAlign w:val="center"/>
          </w:tcPr>
          <w:p w:rsidR="00523456" w:rsidRDefault="00A354D5">
            <w:pPr>
              <w:jc w:val="center"/>
            </w:pPr>
            <w:r>
              <w:rPr>
                <w:color w:val="000000"/>
                <w:sz w:val="24"/>
              </w:rPr>
              <w:t>4</w:t>
            </w:r>
          </w:p>
        </w:tc>
        <w:tc>
          <w:tcPr>
            <w:tcW w:w="1327" w:type="dxa"/>
            <w:vAlign w:val="center"/>
          </w:tcPr>
          <w:p w:rsidR="00523456" w:rsidRDefault="00A354D5">
            <w:pPr>
              <w:jc w:val="center"/>
            </w:pPr>
            <w:r>
              <w:rPr>
                <w:color w:val="000000"/>
                <w:sz w:val="24"/>
              </w:rPr>
              <w:t>000651</w:t>
            </w:r>
          </w:p>
        </w:tc>
        <w:tc>
          <w:tcPr>
            <w:tcW w:w="1621" w:type="dxa"/>
            <w:vAlign w:val="center"/>
          </w:tcPr>
          <w:p w:rsidR="00523456" w:rsidRDefault="00A354D5">
            <w:pPr>
              <w:jc w:val="center"/>
            </w:pPr>
            <w:r>
              <w:rPr>
                <w:color w:val="000000"/>
                <w:sz w:val="24"/>
              </w:rPr>
              <w:t>格力电器</w:t>
            </w:r>
          </w:p>
        </w:tc>
        <w:tc>
          <w:tcPr>
            <w:tcW w:w="1769" w:type="dxa"/>
            <w:vAlign w:val="center"/>
          </w:tcPr>
          <w:p w:rsidR="00523456" w:rsidRDefault="00A354D5">
            <w:pPr>
              <w:jc w:val="right"/>
            </w:pPr>
            <w:r>
              <w:rPr>
                <w:color w:val="000000"/>
                <w:sz w:val="24"/>
              </w:rPr>
              <w:t>772</w:t>
            </w:r>
          </w:p>
        </w:tc>
        <w:tc>
          <w:tcPr>
            <w:tcW w:w="2211" w:type="dxa"/>
            <w:vAlign w:val="center"/>
          </w:tcPr>
          <w:p w:rsidR="00523456" w:rsidRDefault="00A354D5">
            <w:pPr>
              <w:jc w:val="right"/>
            </w:pPr>
            <w:r>
              <w:rPr>
                <w:color w:val="000000"/>
                <w:sz w:val="24"/>
              </w:rPr>
              <w:t>49,330.80</w:t>
            </w:r>
          </w:p>
        </w:tc>
        <w:tc>
          <w:tcPr>
            <w:tcW w:w="1091" w:type="dxa"/>
            <w:vAlign w:val="center"/>
          </w:tcPr>
          <w:p w:rsidR="00523456" w:rsidRDefault="00A354D5">
            <w:pPr>
              <w:jc w:val="right"/>
            </w:pPr>
            <w:r>
              <w:rPr>
                <w:color w:val="000000"/>
                <w:sz w:val="24"/>
              </w:rPr>
              <w:t>0.13</w:t>
            </w:r>
          </w:p>
        </w:tc>
      </w:tr>
      <w:tr w:rsidR="00523456">
        <w:trPr>
          <w:jc w:val="center"/>
        </w:trPr>
        <w:tc>
          <w:tcPr>
            <w:tcW w:w="849" w:type="dxa"/>
            <w:vAlign w:val="center"/>
          </w:tcPr>
          <w:p w:rsidR="00523456" w:rsidRDefault="00A354D5">
            <w:pPr>
              <w:jc w:val="center"/>
            </w:pPr>
            <w:r>
              <w:rPr>
                <w:color w:val="000000"/>
                <w:sz w:val="24"/>
              </w:rPr>
              <w:t>5</w:t>
            </w:r>
          </w:p>
        </w:tc>
        <w:tc>
          <w:tcPr>
            <w:tcW w:w="1327" w:type="dxa"/>
            <w:vAlign w:val="center"/>
          </w:tcPr>
          <w:p w:rsidR="00523456" w:rsidRDefault="00A354D5">
            <w:pPr>
              <w:jc w:val="center"/>
            </w:pPr>
            <w:r>
              <w:rPr>
                <w:color w:val="000000"/>
                <w:sz w:val="24"/>
              </w:rPr>
              <w:t>000725</w:t>
            </w:r>
          </w:p>
        </w:tc>
        <w:tc>
          <w:tcPr>
            <w:tcW w:w="1621" w:type="dxa"/>
            <w:vAlign w:val="center"/>
          </w:tcPr>
          <w:p w:rsidR="00523456" w:rsidRDefault="00A354D5">
            <w:pPr>
              <w:jc w:val="center"/>
            </w:pPr>
            <w:r>
              <w:rPr>
                <w:color w:val="000000"/>
                <w:sz w:val="24"/>
              </w:rPr>
              <w:t>京东方Ａ</w:t>
            </w:r>
          </w:p>
        </w:tc>
        <w:tc>
          <w:tcPr>
            <w:tcW w:w="1769" w:type="dxa"/>
            <w:vAlign w:val="center"/>
          </w:tcPr>
          <w:p w:rsidR="00523456" w:rsidRDefault="00A354D5">
            <w:pPr>
              <w:jc w:val="right"/>
            </w:pPr>
            <w:r>
              <w:rPr>
                <w:color w:val="000000"/>
                <w:sz w:val="24"/>
              </w:rPr>
              <w:t>8,685</w:t>
            </w:r>
          </w:p>
        </w:tc>
        <w:tc>
          <w:tcPr>
            <w:tcW w:w="2211" w:type="dxa"/>
            <w:vAlign w:val="center"/>
          </w:tcPr>
          <w:p w:rsidR="00523456" w:rsidRDefault="00A354D5">
            <w:pPr>
              <w:jc w:val="right"/>
            </w:pPr>
            <w:r>
              <w:rPr>
                <w:color w:val="000000"/>
                <w:sz w:val="24"/>
              </w:rPr>
              <w:t>45,075.15</w:t>
            </w:r>
          </w:p>
        </w:tc>
        <w:tc>
          <w:tcPr>
            <w:tcW w:w="1091" w:type="dxa"/>
            <w:vAlign w:val="center"/>
          </w:tcPr>
          <w:p w:rsidR="00523456" w:rsidRDefault="00A354D5">
            <w:pPr>
              <w:jc w:val="right"/>
            </w:pPr>
            <w:r>
              <w:rPr>
                <w:color w:val="000000"/>
                <w:sz w:val="24"/>
              </w:rPr>
              <w:t>0.12</w:t>
            </w:r>
          </w:p>
        </w:tc>
      </w:tr>
      <w:tr w:rsidR="00523456">
        <w:trPr>
          <w:jc w:val="center"/>
        </w:trPr>
        <w:tc>
          <w:tcPr>
            <w:tcW w:w="849" w:type="dxa"/>
            <w:vAlign w:val="center"/>
          </w:tcPr>
          <w:p w:rsidR="00523456" w:rsidRDefault="00A354D5">
            <w:pPr>
              <w:jc w:val="center"/>
            </w:pPr>
            <w:r>
              <w:rPr>
                <w:color w:val="000000"/>
                <w:sz w:val="24"/>
              </w:rPr>
              <w:t>6</w:t>
            </w:r>
          </w:p>
        </w:tc>
        <w:tc>
          <w:tcPr>
            <w:tcW w:w="1327" w:type="dxa"/>
            <w:vAlign w:val="center"/>
          </w:tcPr>
          <w:p w:rsidR="00523456" w:rsidRDefault="00A354D5">
            <w:pPr>
              <w:jc w:val="center"/>
            </w:pPr>
            <w:r>
              <w:rPr>
                <w:color w:val="000000"/>
                <w:sz w:val="24"/>
              </w:rPr>
              <w:t>000002</w:t>
            </w:r>
          </w:p>
        </w:tc>
        <w:tc>
          <w:tcPr>
            <w:tcW w:w="1621" w:type="dxa"/>
            <w:vAlign w:val="center"/>
          </w:tcPr>
          <w:p w:rsidR="00523456" w:rsidRDefault="00A354D5">
            <w:pPr>
              <w:jc w:val="center"/>
            </w:pPr>
            <w:r>
              <w:rPr>
                <w:color w:val="000000"/>
                <w:sz w:val="24"/>
              </w:rPr>
              <w:t>万</w:t>
            </w:r>
            <w:r>
              <w:rPr>
                <w:color w:val="000000"/>
                <w:sz w:val="24"/>
              </w:rPr>
              <w:t xml:space="preserve">  </w:t>
            </w:r>
            <w:r>
              <w:rPr>
                <w:color w:val="000000"/>
                <w:sz w:val="24"/>
              </w:rPr>
              <w:t>科Ａ</w:t>
            </w:r>
          </w:p>
        </w:tc>
        <w:tc>
          <w:tcPr>
            <w:tcW w:w="1769" w:type="dxa"/>
            <w:vAlign w:val="center"/>
          </w:tcPr>
          <w:p w:rsidR="00523456" w:rsidRDefault="00A354D5">
            <w:pPr>
              <w:jc w:val="right"/>
            </w:pPr>
            <w:r>
              <w:rPr>
                <w:color w:val="000000"/>
                <w:sz w:val="24"/>
              </w:rPr>
              <w:t>2,700</w:t>
            </w:r>
          </w:p>
        </w:tc>
        <w:tc>
          <w:tcPr>
            <w:tcW w:w="2211" w:type="dxa"/>
            <w:vAlign w:val="center"/>
          </w:tcPr>
          <w:p w:rsidR="00523456" w:rsidRDefault="00A354D5">
            <w:pPr>
              <w:jc w:val="right"/>
            </w:pPr>
            <w:r>
              <w:rPr>
                <w:color w:val="000000"/>
                <w:sz w:val="24"/>
              </w:rPr>
              <w:t>39,204.00</w:t>
            </w:r>
          </w:p>
        </w:tc>
        <w:tc>
          <w:tcPr>
            <w:tcW w:w="1091" w:type="dxa"/>
            <w:vAlign w:val="center"/>
          </w:tcPr>
          <w:p w:rsidR="00523456" w:rsidRDefault="00A354D5">
            <w:pPr>
              <w:jc w:val="right"/>
            </w:pPr>
            <w:r>
              <w:rPr>
                <w:color w:val="000000"/>
                <w:sz w:val="24"/>
              </w:rPr>
              <w:t>0.10</w:t>
            </w:r>
          </w:p>
        </w:tc>
      </w:tr>
      <w:tr w:rsidR="00523456">
        <w:trPr>
          <w:jc w:val="center"/>
        </w:trPr>
        <w:tc>
          <w:tcPr>
            <w:tcW w:w="849" w:type="dxa"/>
            <w:vAlign w:val="center"/>
          </w:tcPr>
          <w:p w:rsidR="00523456" w:rsidRDefault="00A354D5">
            <w:pPr>
              <w:jc w:val="center"/>
            </w:pPr>
            <w:r>
              <w:rPr>
                <w:color w:val="000000"/>
                <w:sz w:val="24"/>
              </w:rPr>
              <w:t>7</w:t>
            </w:r>
          </w:p>
        </w:tc>
        <w:tc>
          <w:tcPr>
            <w:tcW w:w="1327" w:type="dxa"/>
            <w:vAlign w:val="center"/>
          </w:tcPr>
          <w:p w:rsidR="00523456" w:rsidRDefault="00A354D5">
            <w:pPr>
              <w:jc w:val="center"/>
            </w:pPr>
            <w:r>
              <w:rPr>
                <w:color w:val="000000"/>
                <w:sz w:val="24"/>
              </w:rPr>
              <w:t>000612</w:t>
            </w:r>
          </w:p>
        </w:tc>
        <w:tc>
          <w:tcPr>
            <w:tcW w:w="1621" w:type="dxa"/>
            <w:vAlign w:val="center"/>
          </w:tcPr>
          <w:p w:rsidR="00523456" w:rsidRDefault="00A354D5">
            <w:pPr>
              <w:jc w:val="center"/>
            </w:pPr>
            <w:r>
              <w:rPr>
                <w:color w:val="000000"/>
                <w:sz w:val="24"/>
              </w:rPr>
              <w:t>焦作万方</w:t>
            </w:r>
          </w:p>
        </w:tc>
        <w:tc>
          <w:tcPr>
            <w:tcW w:w="1769" w:type="dxa"/>
            <w:vAlign w:val="center"/>
          </w:tcPr>
          <w:p w:rsidR="00523456" w:rsidRDefault="00A354D5">
            <w:pPr>
              <w:jc w:val="right"/>
            </w:pPr>
            <w:r>
              <w:rPr>
                <w:color w:val="000000"/>
                <w:sz w:val="24"/>
              </w:rPr>
              <w:t>3,230</w:t>
            </w:r>
          </w:p>
        </w:tc>
        <w:tc>
          <w:tcPr>
            <w:tcW w:w="2211" w:type="dxa"/>
            <w:vAlign w:val="center"/>
          </w:tcPr>
          <w:p w:rsidR="00523456" w:rsidRDefault="00A354D5">
            <w:pPr>
              <w:jc w:val="right"/>
            </w:pPr>
            <w:r>
              <w:rPr>
                <w:color w:val="000000"/>
                <w:sz w:val="24"/>
              </w:rPr>
              <w:t>35,271.60</w:t>
            </w:r>
          </w:p>
        </w:tc>
        <w:tc>
          <w:tcPr>
            <w:tcW w:w="1091" w:type="dxa"/>
            <w:vAlign w:val="center"/>
          </w:tcPr>
          <w:p w:rsidR="00523456" w:rsidRDefault="00A354D5">
            <w:pPr>
              <w:jc w:val="right"/>
            </w:pPr>
            <w:r>
              <w:rPr>
                <w:color w:val="000000"/>
                <w:sz w:val="24"/>
              </w:rPr>
              <w:t>0.09</w:t>
            </w:r>
          </w:p>
        </w:tc>
      </w:tr>
      <w:tr w:rsidR="00523456">
        <w:trPr>
          <w:jc w:val="center"/>
        </w:trPr>
        <w:tc>
          <w:tcPr>
            <w:tcW w:w="849" w:type="dxa"/>
            <w:vAlign w:val="center"/>
          </w:tcPr>
          <w:p w:rsidR="00523456" w:rsidRDefault="00A354D5">
            <w:pPr>
              <w:jc w:val="center"/>
            </w:pPr>
            <w:r>
              <w:rPr>
                <w:color w:val="000000"/>
                <w:sz w:val="24"/>
              </w:rPr>
              <w:t>8</w:t>
            </w:r>
          </w:p>
        </w:tc>
        <w:tc>
          <w:tcPr>
            <w:tcW w:w="1327" w:type="dxa"/>
            <w:vAlign w:val="center"/>
          </w:tcPr>
          <w:p w:rsidR="00523456" w:rsidRDefault="00A354D5">
            <w:pPr>
              <w:jc w:val="center"/>
            </w:pPr>
            <w:r>
              <w:rPr>
                <w:color w:val="000000"/>
                <w:sz w:val="24"/>
              </w:rPr>
              <w:t>000001</w:t>
            </w:r>
          </w:p>
        </w:tc>
        <w:tc>
          <w:tcPr>
            <w:tcW w:w="1621" w:type="dxa"/>
            <w:vAlign w:val="center"/>
          </w:tcPr>
          <w:p w:rsidR="00523456" w:rsidRDefault="00A354D5">
            <w:pPr>
              <w:jc w:val="center"/>
            </w:pPr>
            <w:r>
              <w:rPr>
                <w:color w:val="000000"/>
                <w:sz w:val="24"/>
              </w:rPr>
              <w:t>平安银行</w:t>
            </w:r>
          </w:p>
        </w:tc>
        <w:tc>
          <w:tcPr>
            <w:tcW w:w="1769" w:type="dxa"/>
            <w:vAlign w:val="center"/>
          </w:tcPr>
          <w:p w:rsidR="00523456" w:rsidRDefault="00A354D5">
            <w:pPr>
              <w:jc w:val="right"/>
            </w:pPr>
            <w:r>
              <w:rPr>
                <w:color w:val="000000"/>
                <w:sz w:val="24"/>
              </w:rPr>
              <w:t>1,980</w:t>
            </w:r>
          </w:p>
        </w:tc>
        <w:tc>
          <w:tcPr>
            <w:tcW w:w="2211" w:type="dxa"/>
            <w:vAlign w:val="center"/>
          </w:tcPr>
          <w:p w:rsidR="00523456" w:rsidRDefault="00A354D5">
            <w:pPr>
              <w:jc w:val="right"/>
            </w:pPr>
            <w:r>
              <w:rPr>
                <w:color w:val="000000"/>
                <w:sz w:val="24"/>
              </w:rPr>
              <w:t>28,789.20</w:t>
            </w:r>
          </w:p>
        </w:tc>
        <w:tc>
          <w:tcPr>
            <w:tcW w:w="1091" w:type="dxa"/>
            <w:vAlign w:val="center"/>
          </w:tcPr>
          <w:p w:rsidR="00523456" w:rsidRDefault="00A354D5">
            <w:pPr>
              <w:jc w:val="right"/>
            </w:pPr>
            <w:r>
              <w:rPr>
                <w:color w:val="000000"/>
                <w:sz w:val="24"/>
              </w:rPr>
              <w:t>0.07</w:t>
            </w:r>
          </w:p>
        </w:tc>
      </w:tr>
      <w:tr w:rsidR="00523456">
        <w:trPr>
          <w:jc w:val="center"/>
        </w:trPr>
        <w:tc>
          <w:tcPr>
            <w:tcW w:w="849" w:type="dxa"/>
            <w:vAlign w:val="center"/>
          </w:tcPr>
          <w:p w:rsidR="00523456" w:rsidRDefault="00A354D5">
            <w:pPr>
              <w:jc w:val="center"/>
            </w:pPr>
            <w:r>
              <w:rPr>
                <w:color w:val="000000"/>
                <w:sz w:val="24"/>
              </w:rPr>
              <w:t>9</w:t>
            </w:r>
          </w:p>
        </w:tc>
        <w:tc>
          <w:tcPr>
            <w:tcW w:w="1327" w:type="dxa"/>
            <w:vAlign w:val="center"/>
          </w:tcPr>
          <w:p w:rsidR="00523456" w:rsidRDefault="00A354D5">
            <w:pPr>
              <w:jc w:val="center"/>
            </w:pPr>
            <w:r>
              <w:rPr>
                <w:color w:val="000000"/>
                <w:sz w:val="24"/>
              </w:rPr>
              <w:t>000778</w:t>
            </w:r>
          </w:p>
        </w:tc>
        <w:tc>
          <w:tcPr>
            <w:tcW w:w="1621" w:type="dxa"/>
            <w:vAlign w:val="center"/>
          </w:tcPr>
          <w:p w:rsidR="00523456" w:rsidRDefault="00A354D5">
            <w:pPr>
              <w:jc w:val="center"/>
            </w:pPr>
            <w:r>
              <w:rPr>
                <w:color w:val="000000"/>
                <w:sz w:val="24"/>
              </w:rPr>
              <w:t>新兴铸管</w:t>
            </w:r>
          </w:p>
        </w:tc>
        <w:tc>
          <w:tcPr>
            <w:tcW w:w="1769" w:type="dxa"/>
            <w:vAlign w:val="center"/>
          </w:tcPr>
          <w:p w:rsidR="00523456" w:rsidRDefault="00A354D5">
            <w:pPr>
              <w:jc w:val="right"/>
            </w:pPr>
            <w:r>
              <w:rPr>
                <w:color w:val="000000"/>
                <w:sz w:val="24"/>
              </w:rPr>
              <w:t>1,985</w:t>
            </w:r>
          </w:p>
        </w:tc>
        <w:tc>
          <w:tcPr>
            <w:tcW w:w="2211" w:type="dxa"/>
            <w:vAlign w:val="center"/>
          </w:tcPr>
          <w:p w:rsidR="00523456" w:rsidRDefault="00A354D5">
            <w:pPr>
              <w:jc w:val="right"/>
            </w:pPr>
            <w:r>
              <w:rPr>
                <w:color w:val="000000"/>
                <w:sz w:val="24"/>
              </w:rPr>
              <w:t>25,725.60</w:t>
            </w:r>
          </w:p>
        </w:tc>
        <w:tc>
          <w:tcPr>
            <w:tcW w:w="1091" w:type="dxa"/>
            <w:vAlign w:val="center"/>
          </w:tcPr>
          <w:p w:rsidR="00523456" w:rsidRDefault="00A354D5">
            <w:pPr>
              <w:jc w:val="right"/>
            </w:pPr>
            <w:r>
              <w:rPr>
                <w:color w:val="000000"/>
                <w:sz w:val="24"/>
              </w:rPr>
              <w:t>0.07</w:t>
            </w:r>
          </w:p>
        </w:tc>
      </w:tr>
      <w:tr w:rsidR="00523456">
        <w:trPr>
          <w:jc w:val="center"/>
        </w:trPr>
        <w:tc>
          <w:tcPr>
            <w:tcW w:w="849" w:type="dxa"/>
            <w:vAlign w:val="center"/>
          </w:tcPr>
          <w:p w:rsidR="00523456" w:rsidRDefault="00A354D5">
            <w:pPr>
              <w:jc w:val="center"/>
            </w:pPr>
            <w:r>
              <w:rPr>
                <w:color w:val="000000"/>
                <w:sz w:val="24"/>
              </w:rPr>
              <w:t>10</w:t>
            </w:r>
          </w:p>
        </w:tc>
        <w:tc>
          <w:tcPr>
            <w:tcW w:w="1327" w:type="dxa"/>
            <w:vAlign w:val="center"/>
          </w:tcPr>
          <w:p w:rsidR="00523456" w:rsidRDefault="00A354D5">
            <w:pPr>
              <w:jc w:val="center"/>
            </w:pPr>
            <w:r>
              <w:rPr>
                <w:color w:val="000000"/>
                <w:sz w:val="24"/>
              </w:rPr>
              <w:t>000333</w:t>
            </w:r>
          </w:p>
        </w:tc>
        <w:tc>
          <w:tcPr>
            <w:tcW w:w="1621" w:type="dxa"/>
            <w:vAlign w:val="center"/>
          </w:tcPr>
          <w:p w:rsidR="00523456" w:rsidRDefault="00A354D5">
            <w:pPr>
              <w:jc w:val="center"/>
            </w:pPr>
            <w:r>
              <w:rPr>
                <w:color w:val="000000"/>
                <w:sz w:val="24"/>
              </w:rPr>
              <w:t>美的集团</w:t>
            </w:r>
          </w:p>
        </w:tc>
        <w:tc>
          <w:tcPr>
            <w:tcW w:w="1769" w:type="dxa"/>
            <w:vAlign w:val="center"/>
          </w:tcPr>
          <w:p w:rsidR="00523456" w:rsidRDefault="00A354D5">
            <w:pPr>
              <w:jc w:val="right"/>
            </w:pPr>
            <w:r>
              <w:rPr>
                <w:color w:val="000000"/>
                <w:sz w:val="24"/>
              </w:rPr>
              <w:t>658</w:t>
            </w:r>
          </w:p>
        </w:tc>
        <w:tc>
          <w:tcPr>
            <w:tcW w:w="2211" w:type="dxa"/>
            <w:vAlign w:val="center"/>
          </w:tcPr>
          <w:p w:rsidR="00523456" w:rsidRDefault="00A354D5">
            <w:pPr>
              <w:jc w:val="right"/>
            </w:pPr>
            <w:r>
              <w:rPr>
                <w:color w:val="000000"/>
                <w:sz w:val="24"/>
              </w:rPr>
              <w:t>24,530.24</w:t>
            </w:r>
          </w:p>
        </w:tc>
        <w:tc>
          <w:tcPr>
            <w:tcW w:w="1091" w:type="dxa"/>
            <w:vAlign w:val="center"/>
          </w:tcPr>
          <w:p w:rsidR="00523456" w:rsidRDefault="00A354D5">
            <w:pPr>
              <w:jc w:val="right"/>
            </w:pPr>
            <w:r>
              <w:rPr>
                <w:color w:val="000000"/>
                <w:sz w:val="24"/>
              </w:rPr>
              <w:t>0.06</w:t>
            </w:r>
          </w:p>
        </w:tc>
      </w:tr>
    </w:tbl>
    <w:p w:rsidR="00BA574A" w:rsidRPr="00324C76" w:rsidRDefault="00BA574A"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5 </w:t>
      </w:r>
      <w:r w:rsidR="00991257" w:rsidRPr="00324C76">
        <w:rPr>
          <w:b/>
          <w:kern w:val="0"/>
          <w:sz w:val="24"/>
        </w:rPr>
        <w:t xml:space="preserve"> </w:t>
      </w:r>
      <w:r w:rsidRPr="00324C76">
        <w:rPr>
          <w:b/>
          <w:kern w:val="0"/>
          <w:sz w:val="24"/>
        </w:rPr>
        <w:t>报告期末按债券品种分类的债券投资组合</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本基金本报告期末未持有债券。</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6 </w:t>
      </w:r>
      <w:r w:rsidRPr="00324C76">
        <w:rPr>
          <w:b/>
          <w:kern w:val="0"/>
          <w:sz w:val="24"/>
        </w:rPr>
        <w:t>报告期末按公允价值占基金资产净值比例大小排</w:t>
      </w:r>
      <w:r w:rsidR="00E34648" w:rsidRPr="00324C76">
        <w:rPr>
          <w:b/>
          <w:kern w:val="0"/>
          <w:sz w:val="24"/>
        </w:rPr>
        <w:t>序</w:t>
      </w:r>
      <w:r w:rsidRPr="00324C76">
        <w:rPr>
          <w:b/>
          <w:kern w:val="0"/>
          <w:sz w:val="24"/>
        </w:rPr>
        <w:t>的前五名债券投资明细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本基金本报告期末未持有债券。</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7</w:t>
      </w:r>
      <w:r w:rsidR="006F5B9A" w:rsidRPr="00324C76">
        <w:rPr>
          <w:b/>
          <w:kern w:val="0"/>
          <w:sz w:val="24"/>
        </w:rPr>
        <w:t xml:space="preserve"> </w:t>
      </w:r>
      <w:r w:rsidRPr="00324C76">
        <w:rPr>
          <w:b/>
          <w:kern w:val="0"/>
          <w:sz w:val="24"/>
        </w:rPr>
        <w:t>报告期末按公允价值占基金资产净值比例大小排</w:t>
      </w:r>
      <w:r w:rsidR="002A089C" w:rsidRPr="00324C76">
        <w:rPr>
          <w:b/>
          <w:kern w:val="0"/>
          <w:sz w:val="24"/>
        </w:rPr>
        <w:t>序</w:t>
      </w:r>
      <w:r w:rsidRPr="00324C76">
        <w:rPr>
          <w:b/>
          <w:kern w:val="0"/>
          <w:sz w:val="24"/>
        </w:rPr>
        <w:t>的前十名资产支持证券投资明细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本基金本报告期末未持有资产支持证券。</w:t>
      </w:r>
    </w:p>
    <w:p w:rsidR="00220542" w:rsidRPr="00324C76" w:rsidRDefault="00220542" w:rsidP="00B04217">
      <w:pPr>
        <w:autoSpaceDE w:val="0"/>
        <w:autoSpaceDN w:val="0"/>
        <w:adjustRightInd w:val="0"/>
        <w:spacing w:before="29" w:line="288" w:lineRule="auto"/>
        <w:jc w:val="left"/>
        <w:rPr>
          <w:kern w:val="0"/>
          <w:sz w:val="24"/>
        </w:rPr>
      </w:pPr>
    </w:p>
    <w:p w:rsidR="002A089C" w:rsidRPr="00324C76" w:rsidRDefault="002A089C" w:rsidP="00B04217">
      <w:pPr>
        <w:autoSpaceDE w:val="0"/>
        <w:autoSpaceDN w:val="0"/>
        <w:adjustRightInd w:val="0"/>
        <w:spacing w:before="29" w:line="288" w:lineRule="auto"/>
        <w:jc w:val="left"/>
        <w:rPr>
          <w:kern w:val="0"/>
          <w:sz w:val="24"/>
        </w:rPr>
      </w:pPr>
      <w:r w:rsidRPr="00324C76">
        <w:rPr>
          <w:rFonts w:eastAsiaTheme="minorEastAsia"/>
          <w:b/>
          <w:bCs/>
          <w:color w:val="000000"/>
          <w:kern w:val="0"/>
          <w:sz w:val="24"/>
        </w:rPr>
        <w:t xml:space="preserve">5.8 </w:t>
      </w:r>
      <w:r w:rsidRPr="00324C76">
        <w:rPr>
          <w:rFonts w:hAnsi="宋体"/>
          <w:b/>
          <w:bCs/>
          <w:color w:val="000000"/>
          <w:kern w:val="0"/>
          <w:sz w:val="24"/>
        </w:rPr>
        <w:t>报告期末按公允价值占基金资产净值比例大小排序的前五名贵金属投资明细</w:t>
      </w:r>
    </w:p>
    <w:p w:rsidR="002A089C" w:rsidRPr="002124AD" w:rsidRDefault="002A089C" w:rsidP="00B04217">
      <w:pPr>
        <w:autoSpaceDE w:val="0"/>
        <w:autoSpaceDN w:val="0"/>
        <w:adjustRightInd w:val="0"/>
        <w:spacing w:before="29" w:line="288" w:lineRule="auto"/>
        <w:jc w:val="left"/>
        <w:rPr>
          <w:sz w:val="24"/>
        </w:rPr>
      </w:pPr>
      <w:r w:rsidRPr="002124AD">
        <w:rPr>
          <w:sz w:val="24"/>
        </w:rPr>
        <w:t>本基金本报告期末未持有贵金属。</w:t>
      </w:r>
    </w:p>
    <w:p w:rsidR="002A089C" w:rsidRPr="00324C76" w:rsidRDefault="002A089C" w:rsidP="00B04217">
      <w:pPr>
        <w:autoSpaceDE w:val="0"/>
        <w:autoSpaceDN w:val="0"/>
        <w:adjustRightInd w:val="0"/>
        <w:spacing w:before="29" w:line="288" w:lineRule="auto"/>
        <w:jc w:val="left"/>
        <w:rPr>
          <w:kern w:val="0"/>
          <w:sz w:val="24"/>
        </w:rPr>
      </w:pPr>
    </w:p>
    <w:p w:rsidR="008D6BC7" w:rsidRPr="00324C76" w:rsidRDefault="008D6BC7" w:rsidP="00B04217">
      <w:pPr>
        <w:autoSpaceDE w:val="0"/>
        <w:autoSpaceDN w:val="0"/>
        <w:adjustRightInd w:val="0"/>
        <w:spacing w:before="29" w:line="288" w:lineRule="auto"/>
        <w:jc w:val="left"/>
        <w:rPr>
          <w:b/>
          <w:kern w:val="0"/>
          <w:sz w:val="24"/>
        </w:rPr>
      </w:pPr>
      <w:r w:rsidRPr="00324C76">
        <w:rPr>
          <w:b/>
          <w:kern w:val="0"/>
          <w:sz w:val="24"/>
        </w:rPr>
        <w:t xml:space="preserve">5.9 </w:t>
      </w:r>
      <w:r w:rsidRPr="00324C76">
        <w:rPr>
          <w:b/>
          <w:bCs/>
          <w:sz w:val="24"/>
        </w:rPr>
        <w:t>报告期末按公允价值占基金资产净值比例大小排</w:t>
      </w:r>
      <w:r w:rsidR="002A089C" w:rsidRPr="00324C76">
        <w:rPr>
          <w:b/>
          <w:kern w:val="0"/>
          <w:sz w:val="24"/>
        </w:rPr>
        <w:t>序</w:t>
      </w:r>
      <w:r w:rsidRPr="00324C76">
        <w:rPr>
          <w:b/>
          <w:bCs/>
          <w:sz w:val="24"/>
        </w:rPr>
        <w:t>的前五名权证投资明细</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本基金本报告期末未持有权证。</w:t>
      </w:r>
    </w:p>
    <w:p w:rsidR="008D6BC7" w:rsidRPr="00324C76" w:rsidRDefault="008D6BC7" w:rsidP="00B04217">
      <w:pPr>
        <w:autoSpaceDE w:val="0"/>
        <w:autoSpaceDN w:val="0"/>
        <w:adjustRightInd w:val="0"/>
        <w:spacing w:before="29" w:line="288" w:lineRule="auto"/>
        <w:jc w:val="left"/>
        <w:rPr>
          <w:kern w:val="0"/>
          <w:sz w:val="24"/>
        </w:rPr>
      </w:pPr>
    </w:p>
    <w:p w:rsidR="00C73818" w:rsidRPr="00324C76" w:rsidRDefault="006003EC" w:rsidP="00B04217">
      <w:pPr>
        <w:adjustRightInd w:val="0"/>
        <w:snapToGrid w:val="0"/>
        <w:spacing w:before="29" w:line="288" w:lineRule="auto"/>
        <w:rPr>
          <w:b/>
          <w:sz w:val="24"/>
        </w:rPr>
      </w:pPr>
      <w:r w:rsidRPr="00324C76">
        <w:rPr>
          <w:b/>
          <w:sz w:val="24"/>
        </w:rPr>
        <w:t>5.</w:t>
      </w:r>
      <w:r w:rsidR="007D10B0" w:rsidRPr="00324C76">
        <w:rPr>
          <w:b/>
          <w:sz w:val="24"/>
        </w:rPr>
        <w:t>10</w:t>
      </w:r>
      <w:r w:rsidR="00C73818" w:rsidRPr="00324C76">
        <w:rPr>
          <w:b/>
          <w:sz w:val="24"/>
        </w:rPr>
        <w:t xml:space="preserve"> </w:t>
      </w:r>
      <w:r w:rsidR="00C73818" w:rsidRPr="00324C76">
        <w:rPr>
          <w:b/>
          <w:sz w:val="24"/>
        </w:rPr>
        <w:t>报告期末本基金投资的股指期货交易情况说明</w:t>
      </w:r>
    </w:p>
    <w:p w:rsidR="00C73818" w:rsidRPr="00324C76" w:rsidRDefault="00046A8E" w:rsidP="00B04217">
      <w:pPr>
        <w:autoSpaceDE w:val="0"/>
        <w:autoSpaceDN w:val="0"/>
        <w:adjustRightInd w:val="0"/>
        <w:spacing w:before="29" w:line="288" w:lineRule="auto"/>
        <w:jc w:val="left"/>
        <w:rPr>
          <w:sz w:val="24"/>
        </w:rPr>
      </w:pPr>
      <w:r w:rsidRPr="00324C76">
        <w:rPr>
          <w:sz w:val="24"/>
        </w:rPr>
        <w:t>本基金本报告期末未持有股指期货。</w:t>
      </w:r>
    </w:p>
    <w:p w:rsidR="00046A8E" w:rsidRPr="00324C76" w:rsidRDefault="00046A8E" w:rsidP="00B04217">
      <w:pPr>
        <w:autoSpaceDE w:val="0"/>
        <w:autoSpaceDN w:val="0"/>
        <w:adjustRightInd w:val="0"/>
        <w:spacing w:before="29" w:line="288" w:lineRule="auto"/>
        <w:jc w:val="left"/>
        <w:rPr>
          <w:sz w:val="24"/>
        </w:rPr>
      </w:pPr>
    </w:p>
    <w:p w:rsidR="008D6BC7" w:rsidRPr="00324C76" w:rsidRDefault="008D6BC7" w:rsidP="00B04217">
      <w:pPr>
        <w:adjustRightInd w:val="0"/>
        <w:snapToGrid w:val="0"/>
        <w:spacing w:before="29" w:line="288" w:lineRule="auto"/>
        <w:rPr>
          <w:b/>
          <w:sz w:val="24"/>
        </w:rPr>
      </w:pPr>
      <w:r w:rsidRPr="00324C76">
        <w:rPr>
          <w:b/>
          <w:sz w:val="24"/>
        </w:rPr>
        <w:t>5.11</w:t>
      </w:r>
      <w:r w:rsidR="00486365" w:rsidRPr="00324C76">
        <w:rPr>
          <w:b/>
          <w:sz w:val="24"/>
        </w:rPr>
        <w:t xml:space="preserve"> </w:t>
      </w:r>
      <w:r w:rsidRPr="00324C76">
        <w:rPr>
          <w:b/>
          <w:sz w:val="24"/>
        </w:rPr>
        <w:t>报告期末本基金投资的国债期货交易情况说明</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本基金本报告期末未持有国债期货。</w:t>
      </w:r>
    </w:p>
    <w:p w:rsidR="000A7493" w:rsidRPr="00324C76" w:rsidRDefault="000A7493"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
          <w:kern w:val="0"/>
          <w:sz w:val="24"/>
        </w:rPr>
      </w:pPr>
      <w:r w:rsidRPr="00324C76">
        <w:rPr>
          <w:b/>
          <w:kern w:val="0"/>
          <w:sz w:val="24"/>
        </w:rPr>
        <w:t>5</w:t>
      </w:r>
      <w:r w:rsidR="00220542" w:rsidRPr="00324C76">
        <w:rPr>
          <w:b/>
          <w:kern w:val="0"/>
          <w:sz w:val="24"/>
        </w:rPr>
        <w:t>.</w:t>
      </w:r>
      <w:r w:rsidRPr="00324C76">
        <w:rPr>
          <w:b/>
          <w:kern w:val="0"/>
          <w:sz w:val="24"/>
        </w:rPr>
        <w:t>12</w:t>
      </w:r>
      <w:r w:rsidR="001378A4" w:rsidRPr="00324C76">
        <w:rPr>
          <w:b/>
          <w:kern w:val="0"/>
          <w:sz w:val="24"/>
        </w:rPr>
        <w:t xml:space="preserve"> </w:t>
      </w:r>
      <w:r w:rsidR="00220542" w:rsidRPr="00324C76">
        <w:rPr>
          <w:b/>
          <w:kern w:val="0"/>
          <w:sz w:val="24"/>
        </w:rPr>
        <w:t>投资组合报告附注</w:t>
      </w:r>
    </w:p>
    <w:p w:rsidR="00786656" w:rsidRPr="00120EC8" w:rsidRDefault="00786656" w:rsidP="00BD6051">
      <w:pPr>
        <w:autoSpaceDE w:val="0"/>
        <w:autoSpaceDN w:val="0"/>
        <w:adjustRightInd w:val="0"/>
        <w:spacing w:before="29" w:line="288" w:lineRule="auto"/>
        <w:rPr>
          <w:kern w:val="0"/>
          <w:sz w:val="24"/>
        </w:rPr>
      </w:pPr>
      <w:r w:rsidRPr="00120EC8">
        <w:rPr>
          <w:kern w:val="0"/>
          <w:sz w:val="24"/>
        </w:rPr>
        <w:t>5.12.1</w:t>
      </w:r>
      <w:r w:rsidRPr="00120EC8">
        <w:rPr>
          <w:kern w:val="0"/>
          <w:sz w:val="24"/>
        </w:rPr>
        <w:t>报告期内本基金投资的前十名证券的发行主体未被监管部门立案调查，在本报告编制日前一年内本基金投资的前十名证券的发行主体未受到公开谴责和处罚。</w:t>
      </w:r>
    </w:p>
    <w:p w:rsidR="00786656" w:rsidRPr="00120EC8" w:rsidRDefault="00786656" w:rsidP="00BD6051">
      <w:pPr>
        <w:autoSpaceDE w:val="0"/>
        <w:autoSpaceDN w:val="0"/>
        <w:adjustRightInd w:val="0"/>
        <w:spacing w:before="29" w:line="288" w:lineRule="auto"/>
        <w:rPr>
          <w:kern w:val="0"/>
          <w:sz w:val="24"/>
        </w:rPr>
      </w:pPr>
      <w:r w:rsidRPr="00120EC8">
        <w:rPr>
          <w:kern w:val="0"/>
          <w:sz w:val="24"/>
        </w:rPr>
        <w:t>5.12.2</w:t>
      </w:r>
      <w:r w:rsidRPr="00120EC8">
        <w:rPr>
          <w:kern w:val="0"/>
          <w:sz w:val="24"/>
        </w:rPr>
        <w:t>本基金投资的前十名股票中，没有超出基金合同规定的备选股票库之外的股票。</w:t>
      </w:r>
    </w:p>
    <w:p w:rsidR="00220542" w:rsidRPr="00120EC8" w:rsidRDefault="007D10B0" w:rsidP="00B04217">
      <w:pPr>
        <w:autoSpaceDE w:val="0"/>
        <w:autoSpaceDN w:val="0"/>
        <w:adjustRightInd w:val="0"/>
        <w:spacing w:before="29" w:line="288" w:lineRule="auto"/>
        <w:rPr>
          <w:kern w:val="0"/>
          <w:sz w:val="24"/>
        </w:rPr>
      </w:pPr>
      <w:r w:rsidRPr="00120EC8">
        <w:rPr>
          <w:kern w:val="0"/>
          <w:sz w:val="24"/>
        </w:rPr>
        <w:t>5</w:t>
      </w:r>
      <w:r w:rsidR="00220542" w:rsidRPr="00120EC8">
        <w:rPr>
          <w:kern w:val="0"/>
          <w:sz w:val="24"/>
        </w:rPr>
        <w:t>.</w:t>
      </w:r>
      <w:r w:rsidRPr="00120EC8">
        <w:rPr>
          <w:kern w:val="0"/>
          <w:sz w:val="24"/>
        </w:rPr>
        <w:t>12.3</w:t>
      </w:r>
      <w:r w:rsidR="00486365" w:rsidRPr="00120EC8">
        <w:rPr>
          <w:kern w:val="0"/>
          <w:sz w:val="24"/>
        </w:rPr>
        <w:t xml:space="preserve"> </w:t>
      </w:r>
      <w:r w:rsidR="00220542" w:rsidRPr="00120EC8">
        <w:rPr>
          <w:kern w:val="0"/>
          <w:sz w:val="24"/>
        </w:rPr>
        <w:t>其他资产构成</w:t>
      </w:r>
    </w:p>
    <w:tbl>
      <w:tblPr>
        <w:tblStyle w:val="af7"/>
        <w:tblW w:w="8868" w:type="dxa"/>
        <w:jc w:val="center"/>
        <w:tblLook w:val="04A0" w:firstRow="1" w:lastRow="0" w:firstColumn="1" w:lastColumn="0" w:noHBand="0" w:noVBand="1"/>
      </w:tblPr>
      <w:tblGrid>
        <w:gridCol w:w="984"/>
        <w:gridCol w:w="2876"/>
        <w:gridCol w:w="5008"/>
      </w:tblGrid>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序号</w:t>
            </w:r>
          </w:p>
        </w:tc>
        <w:tc>
          <w:tcPr>
            <w:tcW w:w="2761"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名称</w:t>
            </w:r>
          </w:p>
        </w:tc>
        <w:tc>
          <w:tcPr>
            <w:tcW w:w="4808"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金额</w:t>
            </w:r>
            <w:r w:rsidR="00527176" w:rsidRPr="00324C76">
              <w:rPr>
                <w:color w:val="000000"/>
                <w:kern w:val="0"/>
                <w:sz w:val="24"/>
              </w:rPr>
              <w:t>（元）</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kern w:val="0"/>
                <w:sz w:val="24"/>
              </w:rPr>
            </w:pPr>
            <w:r w:rsidRPr="00324C76">
              <w:rPr>
                <w:color w:val="000000"/>
                <w:sz w:val="24"/>
              </w:rPr>
              <w:t>1</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存出保证金</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25,066.67</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2</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应收证券清算款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3</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应收股利</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4</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应收利息</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504.55</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5</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应收申购款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74,176.04</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6</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其他应收款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7</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sz w:val="24"/>
              </w:rPr>
            </w:pPr>
            <w:r w:rsidRPr="00324C76">
              <w:rPr>
                <w:color w:val="000000"/>
                <w:sz w:val="24"/>
              </w:rPr>
              <w:t>待摊费用</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sz w:val="24"/>
              </w:rPr>
            </w:pPr>
            <w:r w:rsidRPr="00324C76">
              <w:rPr>
                <w:color w:val="00000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8</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9</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合计</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99,747.26</w:t>
            </w:r>
          </w:p>
        </w:tc>
      </w:tr>
    </w:tbl>
    <w:p w:rsidR="006B4B1E" w:rsidRPr="00324C76" w:rsidRDefault="006B4B1E"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kern w:val="0"/>
          <w:sz w:val="24"/>
        </w:rPr>
      </w:pPr>
      <w:r w:rsidRPr="00324C76">
        <w:rPr>
          <w:kern w:val="0"/>
          <w:sz w:val="24"/>
        </w:rPr>
        <w:t>5</w:t>
      </w:r>
      <w:r w:rsidR="00220542" w:rsidRPr="00324C76">
        <w:rPr>
          <w:kern w:val="0"/>
          <w:sz w:val="24"/>
        </w:rPr>
        <w:t>.</w:t>
      </w:r>
      <w:r w:rsidRPr="00324C76">
        <w:rPr>
          <w:kern w:val="0"/>
          <w:sz w:val="24"/>
        </w:rPr>
        <w:t>12.4</w:t>
      </w:r>
      <w:r w:rsidR="0084595F" w:rsidRPr="00324C76">
        <w:rPr>
          <w:kern w:val="0"/>
          <w:sz w:val="24"/>
        </w:rPr>
        <w:t xml:space="preserve"> </w:t>
      </w:r>
      <w:r w:rsidR="00220542" w:rsidRPr="00324C76">
        <w:rPr>
          <w:kern w:val="0"/>
          <w:sz w:val="24"/>
        </w:rPr>
        <w:t>报告期末持有的处于转股期的可转换债券明细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本基金本报告期末未持有处于转股期的可转换债券。</w:t>
      </w:r>
    </w:p>
    <w:p w:rsidR="006B4B1E" w:rsidRPr="00324C76" w:rsidRDefault="006B4B1E"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Cs/>
          <w:sz w:val="24"/>
        </w:rPr>
      </w:pPr>
      <w:r w:rsidRPr="00324C76">
        <w:rPr>
          <w:kern w:val="0"/>
          <w:sz w:val="24"/>
        </w:rPr>
        <w:t>5.12.5</w:t>
      </w:r>
      <w:r w:rsidR="00B34FD9" w:rsidRPr="00324C76">
        <w:rPr>
          <w:kern w:val="0"/>
          <w:sz w:val="24"/>
        </w:rPr>
        <w:t xml:space="preserve"> </w:t>
      </w:r>
      <w:r w:rsidR="00220542" w:rsidRPr="00324C76">
        <w:rPr>
          <w:bCs/>
          <w:sz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925563" w:rsidRPr="00324C76" w:rsidTr="00E42623">
        <w:trPr>
          <w:jc w:val="center"/>
        </w:trPr>
        <w:tc>
          <w:tcPr>
            <w:tcW w:w="1083"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序号</w:t>
            </w:r>
          </w:p>
        </w:tc>
        <w:tc>
          <w:tcPr>
            <w:tcW w:w="1302"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股票代码</w:t>
            </w:r>
          </w:p>
        </w:tc>
        <w:tc>
          <w:tcPr>
            <w:tcW w:w="1301"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股票名称</w:t>
            </w:r>
          </w:p>
        </w:tc>
        <w:tc>
          <w:tcPr>
            <w:tcW w:w="1805"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流通受限部分的公允价值</w:t>
            </w:r>
            <w:r w:rsidRPr="00324C76">
              <w:rPr>
                <w:color w:val="000000"/>
                <w:sz w:val="24"/>
              </w:rPr>
              <w:t>(</w:t>
            </w:r>
            <w:r w:rsidRPr="00324C76">
              <w:rPr>
                <w:color w:val="000000"/>
                <w:sz w:val="24"/>
              </w:rPr>
              <w:t>元</w:t>
            </w:r>
            <w:r w:rsidRPr="00324C76">
              <w:rPr>
                <w:color w:val="000000"/>
                <w:sz w:val="24"/>
              </w:rPr>
              <w:t>)</w:t>
            </w:r>
          </w:p>
        </w:tc>
        <w:tc>
          <w:tcPr>
            <w:tcW w:w="1655"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占基金资产净值比例</w:t>
            </w:r>
            <w:r w:rsidRPr="00324C76">
              <w:rPr>
                <w:color w:val="000000"/>
                <w:sz w:val="24"/>
              </w:rPr>
              <w:t>(%)</w:t>
            </w:r>
          </w:p>
        </w:tc>
        <w:tc>
          <w:tcPr>
            <w:tcW w:w="1367"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流通受限情况说明</w:t>
            </w:r>
          </w:p>
        </w:tc>
      </w:tr>
      <w:tr w:rsidR="00523456">
        <w:trPr>
          <w:jc w:val="center"/>
        </w:trPr>
        <w:tc>
          <w:tcPr>
            <w:tcW w:w="1129" w:type="dxa"/>
            <w:vAlign w:val="center"/>
          </w:tcPr>
          <w:p w:rsidR="00523456" w:rsidRDefault="00A354D5">
            <w:pPr>
              <w:jc w:val="center"/>
            </w:pPr>
            <w:r>
              <w:rPr>
                <w:color w:val="000000"/>
                <w:sz w:val="24"/>
              </w:rPr>
              <w:t>1</w:t>
            </w:r>
          </w:p>
        </w:tc>
        <w:tc>
          <w:tcPr>
            <w:tcW w:w="1356" w:type="dxa"/>
            <w:vAlign w:val="center"/>
          </w:tcPr>
          <w:p w:rsidR="00523456" w:rsidRDefault="00A354D5">
            <w:pPr>
              <w:jc w:val="center"/>
            </w:pPr>
            <w:r>
              <w:rPr>
                <w:color w:val="000000"/>
                <w:sz w:val="24"/>
              </w:rPr>
              <w:t>000630</w:t>
            </w:r>
          </w:p>
        </w:tc>
        <w:tc>
          <w:tcPr>
            <w:tcW w:w="1355" w:type="dxa"/>
            <w:vAlign w:val="center"/>
          </w:tcPr>
          <w:p w:rsidR="00523456" w:rsidRDefault="00A354D5">
            <w:pPr>
              <w:jc w:val="center"/>
            </w:pPr>
            <w:r>
              <w:rPr>
                <w:color w:val="000000"/>
                <w:sz w:val="24"/>
              </w:rPr>
              <w:t>铜陵有色</w:t>
            </w:r>
          </w:p>
        </w:tc>
        <w:tc>
          <w:tcPr>
            <w:tcW w:w="1880" w:type="dxa"/>
            <w:vAlign w:val="center"/>
          </w:tcPr>
          <w:p w:rsidR="00523456" w:rsidRDefault="00A354D5">
            <w:pPr>
              <w:jc w:val="right"/>
            </w:pPr>
            <w:r>
              <w:rPr>
                <w:color w:val="000000"/>
                <w:sz w:val="24"/>
              </w:rPr>
              <w:t>118,267.20</w:t>
            </w:r>
          </w:p>
        </w:tc>
        <w:tc>
          <w:tcPr>
            <w:tcW w:w="1724" w:type="dxa"/>
            <w:vAlign w:val="center"/>
          </w:tcPr>
          <w:p w:rsidR="00523456" w:rsidRDefault="00A354D5">
            <w:pPr>
              <w:jc w:val="right"/>
            </w:pPr>
            <w:r>
              <w:rPr>
                <w:color w:val="000000"/>
                <w:sz w:val="24"/>
              </w:rPr>
              <w:t>0.30</w:t>
            </w:r>
          </w:p>
        </w:tc>
        <w:tc>
          <w:tcPr>
            <w:tcW w:w="1424" w:type="dxa"/>
            <w:vAlign w:val="center"/>
          </w:tcPr>
          <w:p w:rsidR="00523456" w:rsidRDefault="00A354D5">
            <w:pPr>
              <w:jc w:val="right"/>
            </w:pPr>
            <w:r>
              <w:rPr>
                <w:color w:val="000000"/>
                <w:sz w:val="24"/>
              </w:rPr>
              <w:t>重大事项</w:t>
            </w:r>
          </w:p>
        </w:tc>
      </w:tr>
      <w:tr w:rsidR="00523456">
        <w:trPr>
          <w:jc w:val="center"/>
        </w:trPr>
        <w:tc>
          <w:tcPr>
            <w:tcW w:w="1129" w:type="dxa"/>
            <w:vAlign w:val="center"/>
          </w:tcPr>
          <w:p w:rsidR="00523456" w:rsidRDefault="00A354D5">
            <w:pPr>
              <w:jc w:val="center"/>
            </w:pPr>
            <w:r>
              <w:rPr>
                <w:color w:val="000000"/>
                <w:sz w:val="24"/>
              </w:rPr>
              <w:t>2</w:t>
            </w:r>
          </w:p>
        </w:tc>
        <w:tc>
          <w:tcPr>
            <w:tcW w:w="1356" w:type="dxa"/>
            <w:vAlign w:val="center"/>
          </w:tcPr>
          <w:p w:rsidR="00523456" w:rsidRDefault="00A354D5">
            <w:pPr>
              <w:jc w:val="center"/>
            </w:pPr>
            <w:r>
              <w:rPr>
                <w:color w:val="000000"/>
                <w:sz w:val="24"/>
              </w:rPr>
              <w:t>000786</w:t>
            </w:r>
          </w:p>
        </w:tc>
        <w:tc>
          <w:tcPr>
            <w:tcW w:w="1355" w:type="dxa"/>
            <w:vAlign w:val="center"/>
          </w:tcPr>
          <w:p w:rsidR="00523456" w:rsidRDefault="00A354D5">
            <w:pPr>
              <w:jc w:val="center"/>
            </w:pPr>
            <w:r>
              <w:rPr>
                <w:color w:val="000000"/>
                <w:sz w:val="24"/>
              </w:rPr>
              <w:t>北新建材</w:t>
            </w:r>
          </w:p>
        </w:tc>
        <w:tc>
          <w:tcPr>
            <w:tcW w:w="1880" w:type="dxa"/>
            <w:vAlign w:val="center"/>
          </w:tcPr>
          <w:p w:rsidR="00523456" w:rsidRDefault="00A354D5">
            <w:pPr>
              <w:jc w:val="right"/>
            </w:pPr>
            <w:r>
              <w:rPr>
                <w:color w:val="000000"/>
                <w:sz w:val="24"/>
              </w:rPr>
              <w:t>60,793.76</w:t>
            </w:r>
          </w:p>
        </w:tc>
        <w:tc>
          <w:tcPr>
            <w:tcW w:w="1724" w:type="dxa"/>
            <w:vAlign w:val="center"/>
          </w:tcPr>
          <w:p w:rsidR="00523456" w:rsidRDefault="00A354D5">
            <w:pPr>
              <w:jc w:val="right"/>
            </w:pPr>
            <w:r>
              <w:rPr>
                <w:color w:val="000000"/>
                <w:sz w:val="24"/>
              </w:rPr>
              <w:t>0.16</w:t>
            </w:r>
          </w:p>
        </w:tc>
        <w:tc>
          <w:tcPr>
            <w:tcW w:w="1424" w:type="dxa"/>
            <w:vAlign w:val="center"/>
          </w:tcPr>
          <w:p w:rsidR="00523456" w:rsidRDefault="00A354D5">
            <w:pPr>
              <w:jc w:val="right"/>
            </w:pPr>
            <w:r>
              <w:rPr>
                <w:color w:val="000000"/>
                <w:sz w:val="24"/>
              </w:rPr>
              <w:t>重大事项</w:t>
            </w:r>
          </w:p>
        </w:tc>
      </w:tr>
      <w:tr w:rsidR="00523456">
        <w:trPr>
          <w:jc w:val="center"/>
        </w:trPr>
        <w:tc>
          <w:tcPr>
            <w:tcW w:w="1129" w:type="dxa"/>
            <w:vAlign w:val="center"/>
          </w:tcPr>
          <w:p w:rsidR="00523456" w:rsidRDefault="00A354D5">
            <w:pPr>
              <w:jc w:val="center"/>
            </w:pPr>
            <w:r>
              <w:rPr>
                <w:color w:val="000000"/>
                <w:sz w:val="24"/>
              </w:rPr>
              <w:t>3</w:t>
            </w:r>
          </w:p>
        </w:tc>
        <w:tc>
          <w:tcPr>
            <w:tcW w:w="1356" w:type="dxa"/>
            <w:vAlign w:val="center"/>
          </w:tcPr>
          <w:p w:rsidR="00523456" w:rsidRDefault="00A354D5">
            <w:pPr>
              <w:jc w:val="center"/>
            </w:pPr>
            <w:r>
              <w:rPr>
                <w:color w:val="000000"/>
                <w:sz w:val="24"/>
              </w:rPr>
              <w:t>000778</w:t>
            </w:r>
          </w:p>
        </w:tc>
        <w:tc>
          <w:tcPr>
            <w:tcW w:w="1355" w:type="dxa"/>
            <w:vAlign w:val="center"/>
          </w:tcPr>
          <w:p w:rsidR="00523456" w:rsidRDefault="00A354D5">
            <w:pPr>
              <w:jc w:val="center"/>
            </w:pPr>
            <w:r>
              <w:rPr>
                <w:color w:val="000000"/>
                <w:sz w:val="24"/>
              </w:rPr>
              <w:t>新兴铸管</w:t>
            </w:r>
          </w:p>
        </w:tc>
        <w:tc>
          <w:tcPr>
            <w:tcW w:w="1880" w:type="dxa"/>
            <w:vAlign w:val="center"/>
          </w:tcPr>
          <w:p w:rsidR="00523456" w:rsidRDefault="00A354D5">
            <w:pPr>
              <w:jc w:val="right"/>
            </w:pPr>
            <w:r>
              <w:rPr>
                <w:color w:val="000000"/>
                <w:sz w:val="24"/>
              </w:rPr>
              <w:t>25,725.60</w:t>
            </w:r>
          </w:p>
        </w:tc>
        <w:tc>
          <w:tcPr>
            <w:tcW w:w="1724" w:type="dxa"/>
            <w:vAlign w:val="center"/>
          </w:tcPr>
          <w:p w:rsidR="00523456" w:rsidRDefault="00A354D5">
            <w:pPr>
              <w:jc w:val="right"/>
            </w:pPr>
            <w:r>
              <w:rPr>
                <w:color w:val="000000"/>
                <w:sz w:val="24"/>
              </w:rPr>
              <w:t>0.07</w:t>
            </w:r>
          </w:p>
        </w:tc>
        <w:tc>
          <w:tcPr>
            <w:tcW w:w="1424" w:type="dxa"/>
            <w:vAlign w:val="center"/>
          </w:tcPr>
          <w:p w:rsidR="00523456" w:rsidRDefault="00A354D5">
            <w:pPr>
              <w:jc w:val="right"/>
            </w:pPr>
            <w:r>
              <w:rPr>
                <w:color w:val="000000"/>
                <w:sz w:val="24"/>
              </w:rPr>
              <w:t>重大事项</w:t>
            </w:r>
          </w:p>
        </w:tc>
      </w:tr>
    </w:tbl>
    <w:p w:rsidR="00163AE8" w:rsidRPr="00324C76" w:rsidRDefault="00163AE8" w:rsidP="00B04217">
      <w:pPr>
        <w:spacing w:before="29" w:line="288" w:lineRule="auto"/>
        <w:rPr>
          <w:sz w:val="24"/>
        </w:rPr>
      </w:pPr>
    </w:p>
    <w:p w:rsidR="00A40C1C" w:rsidRPr="00324C76" w:rsidRDefault="007D10B0" w:rsidP="00B04217">
      <w:pPr>
        <w:spacing w:before="29" w:line="288" w:lineRule="auto"/>
        <w:rPr>
          <w:color w:val="000000"/>
          <w:kern w:val="0"/>
          <w:sz w:val="24"/>
        </w:rPr>
      </w:pPr>
      <w:r w:rsidRPr="00324C76">
        <w:rPr>
          <w:kern w:val="0"/>
          <w:sz w:val="24"/>
        </w:rPr>
        <w:t>5.12.6</w:t>
      </w:r>
      <w:r w:rsidR="0084595F" w:rsidRPr="00324C76">
        <w:rPr>
          <w:kern w:val="0"/>
          <w:sz w:val="24"/>
        </w:rPr>
        <w:t xml:space="preserve"> </w:t>
      </w:r>
      <w:r w:rsidR="00A40C1C" w:rsidRPr="00324C76">
        <w:rPr>
          <w:color w:val="000000"/>
          <w:kern w:val="0"/>
          <w:sz w:val="24"/>
        </w:rPr>
        <w:t>投资组合报告附注的其他文字描述部分</w:t>
      </w:r>
    </w:p>
    <w:p w:rsidR="002620C9" w:rsidRPr="00324C76" w:rsidRDefault="00A40C1C" w:rsidP="00B04217">
      <w:pPr>
        <w:spacing w:before="29" w:line="288" w:lineRule="auto"/>
        <w:rPr>
          <w:color w:val="000000"/>
          <w:sz w:val="24"/>
        </w:rPr>
      </w:pPr>
      <w:r w:rsidRPr="00324C76">
        <w:rPr>
          <w:color w:val="000000"/>
          <w:sz w:val="24"/>
        </w:rPr>
        <w:t>由于四舍五入的原因，分项之和与合计项之间可能存在尾差。</w:t>
      </w:r>
    </w:p>
    <w:p w:rsidR="00232D92" w:rsidRPr="00324C76" w:rsidRDefault="00232D92" w:rsidP="00B04217">
      <w:pPr>
        <w:spacing w:before="29" w:line="288" w:lineRule="auto"/>
        <w:rPr>
          <w:color w:val="000000"/>
          <w:sz w:val="24"/>
        </w:rPr>
      </w:pPr>
    </w:p>
    <w:p w:rsidR="00220542" w:rsidRPr="00324C76" w:rsidRDefault="00220542" w:rsidP="002124AD">
      <w:pPr>
        <w:pStyle w:val="1"/>
        <w:spacing w:beforeLines="100" w:before="312" w:afterLines="100" w:after="312" w:line="288" w:lineRule="auto"/>
        <w:jc w:val="center"/>
        <w:rPr>
          <w:kern w:val="0"/>
          <w:sz w:val="24"/>
          <w:szCs w:val="24"/>
        </w:rPr>
      </w:pPr>
      <w:r w:rsidRPr="00324C76">
        <w:rPr>
          <w:kern w:val="0"/>
          <w:sz w:val="24"/>
          <w:szCs w:val="24"/>
        </w:rPr>
        <w:t>§6</w:t>
      </w:r>
      <w:r w:rsidR="006F2F56" w:rsidRPr="00324C76">
        <w:rPr>
          <w:kern w:val="0"/>
          <w:sz w:val="24"/>
          <w:szCs w:val="24"/>
        </w:rPr>
        <w:t xml:space="preserve"> </w:t>
      </w:r>
      <w:r w:rsidRPr="00324C76">
        <w:rPr>
          <w:kern w:val="0"/>
          <w:sz w:val="24"/>
          <w:szCs w:val="24"/>
        </w:rPr>
        <w:t>开放式基金份额变动</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单位：份</w:t>
      </w:r>
    </w:p>
    <w:tbl>
      <w:tblPr>
        <w:tblW w:w="8868" w:type="dxa"/>
        <w:jc w:val="center"/>
        <w:tblLayout w:type="fixed"/>
        <w:tblLook w:val="0000" w:firstRow="0" w:lastRow="0" w:firstColumn="0" w:lastColumn="0" w:noHBand="0" w:noVBand="0"/>
      </w:tblPr>
      <w:tblGrid>
        <w:gridCol w:w="4734"/>
        <w:gridCol w:w="4134"/>
      </w:tblGrid>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34,585,147.38</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6,293,340.13</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减：</w:t>
            </w:r>
            <w:r w:rsidR="006973EC" w:rsidRPr="00324C76">
              <w:rPr>
                <w:color w:val="000000"/>
                <w:kern w:val="0"/>
                <w:sz w:val="24"/>
              </w:rPr>
              <w:t>本报告期</w:t>
            </w:r>
            <w:r w:rsidR="00D621B5">
              <w:rPr>
                <w:rFonts w:hint="eastAsia"/>
                <w:color w:val="000000"/>
                <w:kern w:val="0"/>
                <w:sz w:val="24"/>
              </w:rPr>
              <w:t>期间</w:t>
            </w:r>
            <w:r w:rsidRPr="00324C76">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18,498,694.14</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0F11CB">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基金拆分变动份额</w:t>
            </w:r>
            <w:r w:rsidR="00D621B5" w:rsidRPr="006664D2">
              <w:rPr>
                <w:rFonts w:hint="eastAsia"/>
                <w:color w:val="000000"/>
                <w:kern w:val="0"/>
                <w:sz w:val="24"/>
              </w:rPr>
              <w:t>（份额减少以</w:t>
            </w:r>
            <w:r w:rsidR="00D621B5" w:rsidRPr="004D5D71">
              <w:rPr>
                <w:color w:val="000000"/>
              </w:rPr>
              <w:t>“-”</w:t>
            </w:r>
            <w:r w:rsidR="00D621B5"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22,379,793.37</w:t>
            </w:r>
          </w:p>
        </w:tc>
      </w:tr>
    </w:tbl>
    <w:p w:rsidR="00523456" w:rsidRDefault="00A354D5">
      <w:pPr>
        <w:autoSpaceDE w:val="0"/>
        <w:autoSpaceDN w:val="0"/>
        <w:adjustRightInd w:val="0"/>
        <w:spacing w:before="29" w:line="288" w:lineRule="auto"/>
        <w:jc w:val="left"/>
        <w:rPr>
          <w:sz w:val="24"/>
        </w:rPr>
      </w:pPr>
      <w:r>
        <w:rPr>
          <w:sz w:val="24"/>
        </w:rPr>
        <w:t>注：</w:t>
      </w:r>
      <w:r>
        <w:rPr>
          <w:sz w:val="24"/>
        </w:rPr>
        <w:t>1</w:t>
      </w:r>
      <w:r>
        <w:rPr>
          <w:sz w:val="24"/>
        </w:rPr>
        <w:t>、如果本报告期间发生转换入、红利再投业务，则总申购份额中包含该业务；</w:t>
      </w:r>
    </w:p>
    <w:p w:rsidR="00220542" w:rsidRPr="00324C76" w:rsidRDefault="00A40C1C" w:rsidP="00B04217">
      <w:pPr>
        <w:autoSpaceDE w:val="0"/>
        <w:autoSpaceDN w:val="0"/>
        <w:adjustRightInd w:val="0"/>
        <w:spacing w:before="29" w:line="288" w:lineRule="auto"/>
        <w:jc w:val="left"/>
        <w:rPr>
          <w:sz w:val="24"/>
        </w:rPr>
      </w:pPr>
      <w:r w:rsidRPr="00324C76">
        <w:rPr>
          <w:sz w:val="24"/>
        </w:rPr>
        <w:t xml:space="preserve">    2</w:t>
      </w:r>
      <w:r w:rsidRPr="00324C76">
        <w:rPr>
          <w:sz w:val="24"/>
        </w:rPr>
        <w:t>、如果本报告期间发生转换出业务，则总赎回份额中包含该业务。</w:t>
      </w:r>
    </w:p>
    <w:p w:rsidR="00035465" w:rsidRDefault="00035465" w:rsidP="00B04217">
      <w:pPr>
        <w:autoSpaceDE w:val="0"/>
        <w:autoSpaceDN w:val="0"/>
        <w:adjustRightInd w:val="0"/>
        <w:spacing w:before="29" w:line="288" w:lineRule="auto"/>
        <w:jc w:val="left"/>
        <w:rPr>
          <w:sz w:val="24"/>
        </w:rPr>
      </w:pPr>
    </w:p>
    <w:p w:rsidR="00F229B7" w:rsidRPr="00F229B7" w:rsidRDefault="00F229B7" w:rsidP="002124AD">
      <w:pPr>
        <w:pStyle w:val="1"/>
        <w:tabs>
          <w:tab w:val="center" w:pos="4156"/>
          <w:tab w:val="right" w:pos="8312"/>
        </w:tabs>
        <w:spacing w:beforeLines="100" w:before="312" w:afterLines="100" w:after="312" w:line="288" w:lineRule="auto"/>
        <w:jc w:val="center"/>
        <w:rPr>
          <w:sz w:val="24"/>
          <w:szCs w:val="24"/>
        </w:rPr>
      </w:pPr>
      <w:r w:rsidRPr="00F229B7">
        <w:rPr>
          <w:rFonts w:eastAsiaTheme="minorEastAsia"/>
          <w:color w:val="000000"/>
          <w:kern w:val="0"/>
          <w:sz w:val="24"/>
          <w:szCs w:val="24"/>
        </w:rPr>
        <w:t xml:space="preserve">§7  </w:t>
      </w:r>
      <w:r w:rsidRPr="00F229B7">
        <w:rPr>
          <w:sz w:val="24"/>
          <w:szCs w:val="24"/>
        </w:rPr>
        <w:t>基金管理人运用固有资金投资本基金情况</w:t>
      </w:r>
    </w:p>
    <w:p w:rsidR="00F229B7" w:rsidRPr="00F229B7" w:rsidRDefault="00F229B7" w:rsidP="00B04217">
      <w:pPr>
        <w:spacing w:line="288" w:lineRule="auto"/>
        <w:jc w:val="left"/>
        <w:rPr>
          <w:sz w:val="24"/>
        </w:rPr>
      </w:pPr>
      <w:r w:rsidRPr="00F229B7">
        <w:rPr>
          <w:b/>
          <w:sz w:val="24"/>
        </w:rPr>
        <w:t xml:space="preserve">7.1 </w:t>
      </w:r>
      <w:r w:rsidRPr="00F229B7">
        <w:rPr>
          <w:b/>
          <w:sz w:val="24"/>
        </w:rPr>
        <w:t>基金管理人持有本基金份额变动情况</w:t>
      </w:r>
    </w:p>
    <w:p w:rsidR="00F20F7C" w:rsidRDefault="00F229B7" w:rsidP="00B04217">
      <w:pPr>
        <w:autoSpaceDE w:val="0"/>
        <w:autoSpaceDN w:val="0"/>
        <w:adjustRightInd w:val="0"/>
        <w:spacing w:before="29" w:line="288" w:lineRule="auto"/>
        <w:jc w:val="left"/>
        <w:rPr>
          <w:rFonts w:eastAsiaTheme="minorEastAsia"/>
          <w:color w:val="000000"/>
          <w:sz w:val="24"/>
        </w:rPr>
      </w:pPr>
      <w:r w:rsidRPr="00F229B7">
        <w:rPr>
          <w:rFonts w:eastAsiaTheme="minorEastAsia"/>
          <w:color w:val="000000"/>
          <w:sz w:val="24"/>
        </w:rPr>
        <w:t>本报告期内未发生基金管理人运用固有资金投资本基金的情况。</w:t>
      </w:r>
    </w:p>
    <w:p w:rsidR="00F20F7C" w:rsidRDefault="00F20F7C" w:rsidP="00B04217">
      <w:pPr>
        <w:autoSpaceDE w:val="0"/>
        <w:autoSpaceDN w:val="0"/>
        <w:adjustRightInd w:val="0"/>
        <w:spacing w:before="29" w:line="288" w:lineRule="auto"/>
        <w:jc w:val="left"/>
        <w:rPr>
          <w:rFonts w:eastAsiaTheme="minorEastAsia"/>
          <w:color w:val="000000"/>
          <w:sz w:val="24"/>
        </w:rPr>
      </w:pPr>
    </w:p>
    <w:p w:rsidR="00F20F7C" w:rsidRPr="00F20F7C" w:rsidRDefault="00F229B7" w:rsidP="009744C4">
      <w:pPr>
        <w:spacing w:line="288" w:lineRule="auto"/>
        <w:jc w:val="left"/>
        <w:rPr>
          <w:rFonts w:eastAsiaTheme="minorEastAsia"/>
          <w:b/>
          <w:color w:val="000000"/>
          <w:sz w:val="24"/>
        </w:rPr>
      </w:pPr>
      <w:r w:rsidRPr="00F20F7C">
        <w:rPr>
          <w:b/>
          <w:sz w:val="24"/>
        </w:rPr>
        <w:t xml:space="preserve">7.2 </w:t>
      </w:r>
      <w:r w:rsidRPr="00F20F7C">
        <w:rPr>
          <w:rFonts w:hint="eastAsia"/>
          <w:b/>
          <w:sz w:val="24"/>
        </w:rPr>
        <w:t>基金管理人运用固有资金投资本基金交易明细</w:t>
      </w:r>
    </w:p>
    <w:p w:rsidR="00EF07DC" w:rsidRPr="00324C76" w:rsidRDefault="00EF07DC" w:rsidP="00B04217">
      <w:pPr>
        <w:autoSpaceDE w:val="0"/>
        <w:autoSpaceDN w:val="0"/>
        <w:adjustRightInd w:val="0"/>
        <w:spacing w:before="29" w:line="288" w:lineRule="auto"/>
        <w:jc w:val="left"/>
        <w:rPr>
          <w:color w:val="000000"/>
          <w:sz w:val="24"/>
        </w:rPr>
      </w:pPr>
      <w:r w:rsidRPr="00324C76">
        <w:rPr>
          <w:color w:val="000000"/>
          <w:sz w:val="24"/>
        </w:rPr>
        <w:t>本基金管理人本报告期内未进行本基金的申购、赎回、红利再投等。</w:t>
      </w:r>
    </w:p>
    <w:p w:rsidR="00016A56" w:rsidRPr="00324C76" w:rsidRDefault="00016A56" w:rsidP="00B04217">
      <w:pPr>
        <w:autoSpaceDE w:val="0"/>
        <w:autoSpaceDN w:val="0"/>
        <w:adjustRightInd w:val="0"/>
        <w:spacing w:before="29" w:line="288" w:lineRule="auto"/>
        <w:jc w:val="left"/>
        <w:rPr>
          <w:color w:val="000000"/>
          <w:sz w:val="24"/>
        </w:rPr>
      </w:pPr>
    </w:p>
    <w:p w:rsidR="006A0A24" w:rsidRPr="00495FAB" w:rsidRDefault="00220542" w:rsidP="002124AD">
      <w:pPr>
        <w:pStyle w:val="1"/>
        <w:spacing w:beforeLines="100" w:before="312" w:afterLines="100" w:after="312" w:line="288" w:lineRule="auto"/>
        <w:jc w:val="center"/>
        <w:rPr>
          <w:kern w:val="0"/>
          <w:sz w:val="24"/>
          <w:szCs w:val="24"/>
        </w:rPr>
      </w:pPr>
      <w:r w:rsidRPr="00324C76">
        <w:rPr>
          <w:kern w:val="0"/>
          <w:sz w:val="24"/>
          <w:szCs w:val="24"/>
        </w:rPr>
        <w:t>§</w:t>
      </w:r>
      <w:r w:rsidR="00B31ADE" w:rsidRPr="00324C76">
        <w:rPr>
          <w:kern w:val="0"/>
          <w:sz w:val="24"/>
          <w:szCs w:val="24"/>
        </w:rPr>
        <w:t>8</w:t>
      </w:r>
      <w:r w:rsidR="005348C7" w:rsidRPr="00324C76">
        <w:rPr>
          <w:kern w:val="0"/>
          <w:sz w:val="24"/>
          <w:szCs w:val="24"/>
        </w:rPr>
        <w:t xml:space="preserve"> </w:t>
      </w:r>
      <w:r w:rsidRPr="00324C76">
        <w:rPr>
          <w:kern w:val="0"/>
          <w:sz w:val="24"/>
          <w:szCs w:val="24"/>
        </w:rPr>
        <w:t>备查文件目录</w:t>
      </w:r>
    </w:p>
    <w:p w:rsidR="00220542" w:rsidRPr="00324C76" w:rsidRDefault="00B31ADE" w:rsidP="00B04217">
      <w:pPr>
        <w:spacing w:before="29" w:line="288" w:lineRule="auto"/>
        <w:rPr>
          <w:b/>
          <w:sz w:val="24"/>
        </w:rPr>
      </w:pPr>
      <w:r w:rsidRPr="00324C76">
        <w:rPr>
          <w:b/>
          <w:sz w:val="24"/>
        </w:rPr>
        <w:t>8</w:t>
      </w:r>
      <w:r w:rsidR="00220542" w:rsidRPr="00324C76">
        <w:rPr>
          <w:b/>
          <w:sz w:val="24"/>
        </w:rPr>
        <w:t>.</w:t>
      </w:r>
      <w:r w:rsidR="0083066D" w:rsidRPr="00324C76">
        <w:rPr>
          <w:b/>
          <w:sz w:val="24"/>
        </w:rPr>
        <w:t>1</w:t>
      </w:r>
      <w:r w:rsidR="00446862" w:rsidRPr="00324C76">
        <w:rPr>
          <w:b/>
          <w:sz w:val="24"/>
        </w:rPr>
        <w:t xml:space="preserve"> </w:t>
      </w:r>
      <w:r w:rsidR="00220542" w:rsidRPr="00324C76">
        <w:rPr>
          <w:b/>
          <w:sz w:val="24"/>
        </w:rPr>
        <w:t>备查文件目录</w:t>
      </w:r>
    </w:p>
    <w:p w:rsidR="00523456" w:rsidRDefault="00A354D5">
      <w:pPr>
        <w:spacing w:before="29" w:line="288" w:lineRule="auto"/>
        <w:ind w:firstLineChars="200" w:firstLine="480"/>
        <w:rPr>
          <w:color w:val="000000"/>
          <w:sz w:val="24"/>
        </w:rPr>
      </w:pPr>
      <w:r>
        <w:rPr>
          <w:color w:val="000000"/>
          <w:sz w:val="24"/>
        </w:rPr>
        <w:t>1</w:t>
      </w:r>
      <w:r>
        <w:rPr>
          <w:color w:val="000000"/>
          <w:sz w:val="24"/>
        </w:rPr>
        <w:t>、中国证监会核准交银施罗德深证</w:t>
      </w:r>
      <w:r>
        <w:rPr>
          <w:color w:val="000000"/>
          <w:sz w:val="24"/>
        </w:rPr>
        <w:t>300</w:t>
      </w:r>
      <w:r>
        <w:rPr>
          <w:color w:val="000000"/>
          <w:sz w:val="24"/>
        </w:rPr>
        <w:t>价值交易型开放式指数证券投资基金联接基金募集的文件；</w:t>
      </w:r>
    </w:p>
    <w:p w:rsidR="00523456" w:rsidRDefault="00A354D5">
      <w:pPr>
        <w:spacing w:before="29" w:line="288" w:lineRule="auto"/>
        <w:ind w:firstLineChars="200" w:firstLine="480"/>
        <w:rPr>
          <w:color w:val="000000"/>
          <w:sz w:val="24"/>
        </w:rPr>
      </w:pPr>
      <w:r>
        <w:rPr>
          <w:color w:val="000000"/>
          <w:sz w:val="24"/>
        </w:rPr>
        <w:t>2</w:t>
      </w:r>
      <w:r>
        <w:rPr>
          <w:color w:val="000000"/>
          <w:sz w:val="24"/>
        </w:rPr>
        <w:t>、《交银施罗德深证</w:t>
      </w:r>
      <w:r>
        <w:rPr>
          <w:color w:val="000000"/>
          <w:sz w:val="24"/>
        </w:rPr>
        <w:t>300</w:t>
      </w:r>
      <w:r>
        <w:rPr>
          <w:color w:val="000000"/>
          <w:sz w:val="24"/>
        </w:rPr>
        <w:t>价值交易型开放式指数证券投资基金联接基金基金合同》；</w:t>
      </w:r>
      <w:r>
        <w:rPr>
          <w:color w:val="000000"/>
          <w:sz w:val="24"/>
        </w:rPr>
        <w:t xml:space="preserve"> </w:t>
      </w:r>
    </w:p>
    <w:p w:rsidR="00523456" w:rsidRDefault="00A354D5">
      <w:pPr>
        <w:spacing w:before="29" w:line="288" w:lineRule="auto"/>
        <w:ind w:firstLineChars="200" w:firstLine="480"/>
        <w:rPr>
          <w:color w:val="000000"/>
          <w:sz w:val="24"/>
        </w:rPr>
      </w:pPr>
      <w:r>
        <w:rPr>
          <w:color w:val="000000"/>
          <w:sz w:val="24"/>
        </w:rPr>
        <w:t>3</w:t>
      </w:r>
      <w:r>
        <w:rPr>
          <w:color w:val="000000"/>
          <w:sz w:val="24"/>
        </w:rPr>
        <w:t>、《交银施罗德深证</w:t>
      </w:r>
      <w:r>
        <w:rPr>
          <w:color w:val="000000"/>
          <w:sz w:val="24"/>
        </w:rPr>
        <w:t>300</w:t>
      </w:r>
      <w:r>
        <w:rPr>
          <w:color w:val="000000"/>
          <w:sz w:val="24"/>
        </w:rPr>
        <w:t>价值交易型开放式指数证券投资基金联接基金招募说明书》；</w:t>
      </w:r>
    </w:p>
    <w:p w:rsidR="00523456" w:rsidRDefault="00A354D5">
      <w:pPr>
        <w:spacing w:before="29" w:line="288" w:lineRule="auto"/>
        <w:ind w:firstLineChars="200" w:firstLine="480"/>
        <w:rPr>
          <w:color w:val="000000"/>
          <w:sz w:val="24"/>
        </w:rPr>
      </w:pPr>
      <w:r>
        <w:rPr>
          <w:color w:val="000000"/>
          <w:sz w:val="24"/>
        </w:rPr>
        <w:t>4</w:t>
      </w:r>
      <w:r>
        <w:rPr>
          <w:color w:val="000000"/>
          <w:sz w:val="24"/>
        </w:rPr>
        <w:t>、《交银施罗德深证</w:t>
      </w:r>
      <w:r>
        <w:rPr>
          <w:color w:val="000000"/>
          <w:sz w:val="24"/>
        </w:rPr>
        <w:t>300</w:t>
      </w:r>
      <w:r>
        <w:rPr>
          <w:color w:val="000000"/>
          <w:sz w:val="24"/>
        </w:rPr>
        <w:t>价值交易型开放式指数证券投资基金联接基金托管协议》；</w:t>
      </w:r>
    </w:p>
    <w:p w:rsidR="00523456" w:rsidRDefault="00A354D5">
      <w:pPr>
        <w:spacing w:before="29" w:line="288" w:lineRule="auto"/>
        <w:ind w:firstLineChars="200" w:firstLine="480"/>
        <w:rPr>
          <w:color w:val="000000"/>
          <w:sz w:val="24"/>
        </w:rPr>
      </w:pPr>
      <w:r>
        <w:rPr>
          <w:color w:val="000000"/>
          <w:sz w:val="24"/>
        </w:rPr>
        <w:t>5</w:t>
      </w:r>
      <w:r>
        <w:rPr>
          <w:color w:val="000000"/>
          <w:sz w:val="24"/>
        </w:rPr>
        <w:t>、关于申请募集交银施罗德深证</w:t>
      </w:r>
      <w:r>
        <w:rPr>
          <w:color w:val="000000"/>
          <w:sz w:val="24"/>
        </w:rPr>
        <w:t>300</w:t>
      </w:r>
      <w:r>
        <w:rPr>
          <w:color w:val="000000"/>
          <w:sz w:val="24"/>
        </w:rPr>
        <w:t>价值交易型开放式指数证券投资基金联接基金之法律意见书；</w:t>
      </w:r>
    </w:p>
    <w:p w:rsidR="00523456" w:rsidRDefault="00A354D5">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523456" w:rsidRDefault="00A354D5">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24C76" w:rsidRDefault="00A40C1C" w:rsidP="00B04217">
      <w:pPr>
        <w:spacing w:before="29" w:line="288" w:lineRule="auto"/>
        <w:ind w:firstLineChars="200" w:firstLine="480"/>
        <w:rPr>
          <w:color w:val="000000"/>
          <w:sz w:val="24"/>
        </w:rPr>
      </w:pPr>
      <w:r w:rsidRPr="00324C76">
        <w:rPr>
          <w:color w:val="000000"/>
          <w:sz w:val="24"/>
        </w:rPr>
        <w:t>8</w:t>
      </w:r>
      <w:r w:rsidRPr="00324C76">
        <w:rPr>
          <w:color w:val="000000"/>
          <w:sz w:val="24"/>
        </w:rPr>
        <w:t>、报告期内交银施罗德深证</w:t>
      </w:r>
      <w:r w:rsidRPr="00324C76">
        <w:rPr>
          <w:color w:val="000000"/>
          <w:sz w:val="24"/>
        </w:rPr>
        <w:t>300</w:t>
      </w:r>
      <w:r w:rsidRPr="00324C76">
        <w:rPr>
          <w:color w:val="000000"/>
          <w:sz w:val="24"/>
        </w:rPr>
        <w:t>价值交易型开放式指数证券投资基金联接基金在指定报刊上各项公告的原稿。</w:t>
      </w:r>
    </w:p>
    <w:p w:rsidR="001E7CAE" w:rsidRPr="00324C76" w:rsidRDefault="001E7CAE" w:rsidP="00B04217">
      <w:pPr>
        <w:spacing w:before="29" w:line="288" w:lineRule="auto"/>
        <w:ind w:firstLineChars="200" w:firstLine="480"/>
        <w:rPr>
          <w:color w:val="000000"/>
          <w:sz w:val="24"/>
        </w:rPr>
      </w:pPr>
    </w:p>
    <w:p w:rsidR="00220542" w:rsidRPr="00324C76" w:rsidRDefault="0083066D" w:rsidP="00B04217">
      <w:pPr>
        <w:spacing w:before="29" w:line="288" w:lineRule="auto"/>
        <w:rPr>
          <w:b/>
          <w:sz w:val="24"/>
        </w:rPr>
      </w:pPr>
      <w:r w:rsidRPr="00324C76">
        <w:rPr>
          <w:b/>
          <w:sz w:val="24"/>
        </w:rPr>
        <w:t>8.2</w:t>
      </w:r>
      <w:r w:rsidR="00446862" w:rsidRPr="00324C76">
        <w:rPr>
          <w:b/>
          <w:sz w:val="24"/>
        </w:rPr>
        <w:t xml:space="preserve"> </w:t>
      </w:r>
      <w:r w:rsidR="00220542" w:rsidRPr="00324C76">
        <w:rPr>
          <w:b/>
          <w:sz w:val="24"/>
        </w:rPr>
        <w:t>存放地点</w:t>
      </w:r>
    </w:p>
    <w:p w:rsidR="00220542" w:rsidRPr="00324C76" w:rsidRDefault="00A40C1C" w:rsidP="00B04217">
      <w:pPr>
        <w:spacing w:before="29" w:line="288" w:lineRule="auto"/>
        <w:ind w:firstLineChars="200" w:firstLine="480"/>
        <w:rPr>
          <w:color w:val="000000"/>
          <w:sz w:val="24"/>
        </w:rPr>
      </w:pPr>
      <w:r w:rsidRPr="00324C76">
        <w:rPr>
          <w:color w:val="000000"/>
          <w:sz w:val="24"/>
        </w:rPr>
        <w:t>备查文件存放于基金管理人的办公场所。</w:t>
      </w:r>
    </w:p>
    <w:p w:rsidR="001E7CAE" w:rsidRPr="00324C76" w:rsidRDefault="001E7CAE" w:rsidP="00B04217">
      <w:pPr>
        <w:spacing w:before="29" w:line="288" w:lineRule="auto"/>
        <w:ind w:firstLineChars="200" w:firstLine="480"/>
        <w:rPr>
          <w:color w:val="000000"/>
          <w:sz w:val="24"/>
        </w:rPr>
      </w:pPr>
    </w:p>
    <w:p w:rsidR="00220542" w:rsidRPr="00324C76" w:rsidRDefault="0083066D" w:rsidP="00B04217">
      <w:pPr>
        <w:spacing w:before="29" w:line="288" w:lineRule="auto"/>
        <w:rPr>
          <w:b/>
          <w:sz w:val="24"/>
        </w:rPr>
      </w:pPr>
      <w:r w:rsidRPr="00324C76">
        <w:rPr>
          <w:b/>
          <w:sz w:val="24"/>
        </w:rPr>
        <w:t>8.3</w:t>
      </w:r>
      <w:r w:rsidR="00446862" w:rsidRPr="00324C76">
        <w:rPr>
          <w:b/>
          <w:sz w:val="24"/>
        </w:rPr>
        <w:t xml:space="preserve"> </w:t>
      </w:r>
      <w:r w:rsidR="00220542" w:rsidRPr="00324C76">
        <w:rPr>
          <w:b/>
          <w:sz w:val="24"/>
        </w:rPr>
        <w:t>查阅方式</w:t>
      </w:r>
    </w:p>
    <w:p w:rsidR="00523456" w:rsidRDefault="00A354D5">
      <w:pPr>
        <w:spacing w:before="29" w:line="288" w:lineRule="auto"/>
        <w:ind w:firstLineChars="200" w:firstLine="480"/>
        <w:rPr>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E33DCE" w:rsidRPr="00324C76" w:rsidRDefault="00A40C1C" w:rsidP="00B04217">
      <w:pPr>
        <w:spacing w:before="29" w:line="288" w:lineRule="auto"/>
        <w:ind w:firstLineChars="200" w:firstLine="480"/>
        <w:rPr>
          <w:sz w:val="24"/>
        </w:rPr>
      </w:pPr>
      <w:r w:rsidRPr="00324C76">
        <w:rPr>
          <w:color w:val="000000"/>
          <w:sz w:val="24"/>
        </w:rPr>
        <w:t>投资者对本报告书如有疑问，可咨询本基金管理人交银施罗德基金管理有限公司。本公司客户服务中心电话：</w:t>
      </w:r>
      <w:r w:rsidRPr="00324C76">
        <w:rPr>
          <w:color w:val="000000"/>
          <w:sz w:val="24"/>
        </w:rPr>
        <w:t>400-700-5000</w:t>
      </w:r>
      <w:r w:rsidRPr="00324C76">
        <w:rPr>
          <w:color w:val="000000"/>
          <w:sz w:val="24"/>
        </w:rPr>
        <w:t>（免长途话费），</w:t>
      </w:r>
      <w:r w:rsidRPr="00324C76">
        <w:rPr>
          <w:color w:val="000000"/>
          <w:sz w:val="24"/>
        </w:rPr>
        <w:t>021-61055000</w:t>
      </w:r>
      <w:r w:rsidRPr="00324C76">
        <w:rPr>
          <w:color w:val="000000"/>
          <w:sz w:val="24"/>
        </w:rPr>
        <w:t>，电子邮件：</w:t>
      </w:r>
      <w:r w:rsidRPr="00324C76">
        <w:rPr>
          <w:color w:val="000000"/>
          <w:sz w:val="24"/>
        </w:rPr>
        <w:t>services@jysld.com</w:t>
      </w:r>
      <w:r w:rsidRPr="00324C76">
        <w:rPr>
          <w:color w:val="000000"/>
          <w:sz w:val="24"/>
        </w:rPr>
        <w:t>。</w:t>
      </w:r>
    </w:p>
    <w:p w:rsidR="00897EC2" w:rsidRPr="00324C76" w:rsidRDefault="00897EC2" w:rsidP="00B04217">
      <w:pPr>
        <w:spacing w:before="29" w:line="288" w:lineRule="auto"/>
        <w:ind w:firstLineChars="200" w:firstLine="480"/>
        <w:rPr>
          <w:sz w:val="24"/>
        </w:rPr>
      </w:pPr>
      <w:bookmarkStart w:id="1" w:name="_GoBack"/>
      <w:bookmarkEnd w:id="1"/>
    </w:p>
    <w:sectPr w:rsidR="00897EC2" w:rsidRPr="00324C76" w:rsidSect="00412E7F">
      <w:footerReference w:type="even" r:id="rId11"/>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6BC" w:rsidRDefault="005946BC">
      <w:r>
        <w:separator/>
      </w:r>
    </w:p>
  </w:endnote>
  <w:endnote w:type="continuationSeparator" w:id="0">
    <w:p w:rsidR="005946BC" w:rsidRDefault="00594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1D0DB0" w:rsidRDefault="00FC3631" w:rsidP="00DB4EE7">
    <w:pPr>
      <w:pStyle w:val="a6"/>
      <w:jc w:val="center"/>
    </w:pPr>
    <w:r>
      <w:rPr>
        <w:rFonts w:hint="eastAsia"/>
        <w:kern w:val="0"/>
        <w:szCs w:val="21"/>
      </w:rPr>
      <w:t>第</w:t>
    </w:r>
    <w:r w:rsidR="00D46057">
      <w:rPr>
        <w:rFonts w:hint="eastAsia"/>
        <w:kern w:val="0"/>
        <w:szCs w:val="21"/>
      </w:rPr>
      <w:t xml:space="preserve"> </w:t>
    </w:r>
    <w:r w:rsidR="007B0C35">
      <w:rPr>
        <w:kern w:val="0"/>
        <w:szCs w:val="21"/>
      </w:rPr>
      <w:fldChar w:fldCharType="begin"/>
    </w:r>
    <w:r>
      <w:rPr>
        <w:kern w:val="0"/>
        <w:szCs w:val="21"/>
      </w:rPr>
      <w:instrText xml:space="preserve"> PAGE </w:instrText>
    </w:r>
    <w:r w:rsidR="007B0C35">
      <w:rPr>
        <w:kern w:val="0"/>
        <w:szCs w:val="21"/>
      </w:rPr>
      <w:fldChar w:fldCharType="separate"/>
    </w:r>
    <w:r w:rsidR="008A1141">
      <w:rPr>
        <w:noProof/>
        <w:kern w:val="0"/>
        <w:szCs w:val="21"/>
      </w:rPr>
      <w:t>13</w:t>
    </w:r>
    <w:r w:rsidR="007B0C35">
      <w:rPr>
        <w:kern w:val="0"/>
        <w:szCs w:val="21"/>
      </w:rPr>
      <w:fldChar w:fldCharType="end"/>
    </w:r>
    <w:r w:rsidR="00D46057">
      <w:rPr>
        <w:rFonts w:hint="eastAsia"/>
        <w:kern w:val="0"/>
        <w:szCs w:val="21"/>
      </w:rPr>
      <w:t xml:space="preserve"> </w:t>
    </w:r>
    <w:r>
      <w:rPr>
        <w:rFonts w:hint="eastAsia"/>
        <w:kern w:val="0"/>
        <w:szCs w:val="21"/>
      </w:rPr>
      <w:t>页</w:t>
    </w:r>
    <w:r w:rsidR="00D46057">
      <w:rPr>
        <w:rFonts w:hint="eastAsia"/>
        <w:kern w:val="0"/>
        <w:szCs w:val="21"/>
      </w:rPr>
      <w:t xml:space="preserve"> </w:t>
    </w:r>
    <w:r>
      <w:rPr>
        <w:rFonts w:hint="eastAsia"/>
        <w:kern w:val="0"/>
        <w:szCs w:val="21"/>
      </w:rPr>
      <w:t>共</w:t>
    </w:r>
    <w:r w:rsidR="00D46057">
      <w:rPr>
        <w:rFonts w:hint="eastAsia"/>
        <w:kern w:val="0"/>
        <w:szCs w:val="21"/>
      </w:rPr>
      <w:t xml:space="preserve"> </w:t>
    </w:r>
    <w:r w:rsidR="007B0C35">
      <w:rPr>
        <w:kern w:val="0"/>
        <w:szCs w:val="21"/>
      </w:rPr>
      <w:fldChar w:fldCharType="begin"/>
    </w:r>
    <w:r>
      <w:rPr>
        <w:kern w:val="0"/>
        <w:szCs w:val="21"/>
      </w:rPr>
      <w:instrText xml:space="preserve"> NUMPAGES </w:instrText>
    </w:r>
    <w:r w:rsidR="007B0C35">
      <w:rPr>
        <w:kern w:val="0"/>
        <w:szCs w:val="21"/>
      </w:rPr>
      <w:fldChar w:fldCharType="separate"/>
    </w:r>
    <w:r w:rsidR="008A1141">
      <w:rPr>
        <w:noProof/>
        <w:kern w:val="0"/>
        <w:szCs w:val="21"/>
      </w:rPr>
      <w:t>13</w:t>
    </w:r>
    <w:r w:rsidR="007B0C35">
      <w:rPr>
        <w:kern w:val="0"/>
        <w:szCs w:val="21"/>
      </w:rPr>
      <w:fldChar w:fldCharType="end"/>
    </w:r>
    <w:r w:rsidR="00D46057">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Default="007B0C35">
    <w:pPr>
      <w:pStyle w:val="a6"/>
      <w:framePr w:wrap="around" w:vAnchor="text" w:hAnchor="margin" w:xAlign="center" w:y="1"/>
      <w:rPr>
        <w:rStyle w:val="a7"/>
      </w:rPr>
    </w:pPr>
    <w:r>
      <w:rPr>
        <w:rStyle w:val="a7"/>
      </w:rPr>
      <w:fldChar w:fldCharType="begin"/>
    </w:r>
    <w:r w:rsidR="00FC3631">
      <w:rPr>
        <w:rStyle w:val="a7"/>
      </w:rPr>
      <w:instrText xml:space="preserve">PAGE  </w:instrText>
    </w:r>
    <w:r>
      <w:rPr>
        <w:rStyle w:val="a7"/>
      </w:rPr>
      <w:fldChar w:fldCharType="end"/>
    </w:r>
  </w:p>
  <w:p w:rsidR="00FC3631" w:rsidRDefault="00FC36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6BC" w:rsidRDefault="005946BC">
      <w:r>
        <w:separator/>
      </w:r>
    </w:p>
  </w:footnote>
  <w:footnote w:type="continuationSeparator" w:id="0">
    <w:p w:rsidR="005946BC" w:rsidRDefault="005946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6B198C" w:rsidRDefault="00A54580" w:rsidP="00C6357C">
    <w:pPr>
      <w:pStyle w:val="a9"/>
      <w:pBdr>
        <w:bottom w:val="single" w:sz="6" w:space="0" w:color="auto"/>
      </w:pBdr>
      <w:ind w:right="90"/>
      <w:jc w:val="right"/>
    </w:pPr>
    <w:r>
      <w:rPr>
        <w:noProof/>
      </w:rPr>
      <w:drawing>
        <wp:anchor distT="0" distB="0" distL="114300" distR="114300" simplePos="0" relativeHeight="251658240" behindDoc="0" locked="0" layoutInCell="1" allowOverlap="1">
          <wp:simplePos x="0" y="0"/>
          <wp:positionH relativeFrom="column">
            <wp:posOffset>-52705</wp:posOffset>
          </wp:positionH>
          <wp:positionV relativeFrom="paragraph">
            <wp:posOffset>-330835</wp:posOffset>
          </wp:positionV>
          <wp:extent cx="2085975" cy="457200"/>
          <wp:effectExtent l="1905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BC330C7"/>
    <w:multiLevelType w:val="multilevel"/>
    <w:tmpl w:val="0E80B9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nsid w:val="491157F5"/>
    <w:multiLevelType w:val="multilevel"/>
    <w:tmpl w:val="4E30F4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6302"/>
    <w:rsid w:val="0000403B"/>
    <w:rsid w:val="00005911"/>
    <w:rsid w:val="00006B68"/>
    <w:rsid w:val="00010A83"/>
    <w:rsid w:val="00010A8E"/>
    <w:rsid w:val="00010AC3"/>
    <w:rsid w:val="00011250"/>
    <w:rsid w:val="00011EB5"/>
    <w:rsid w:val="0001280C"/>
    <w:rsid w:val="00016A56"/>
    <w:rsid w:val="00017581"/>
    <w:rsid w:val="00020583"/>
    <w:rsid w:val="00021C28"/>
    <w:rsid w:val="00021DD4"/>
    <w:rsid w:val="00023BE7"/>
    <w:rsid w:val="00027942"/>
    <w:rsid w:val="00027D15"/>
    <w:rsid w:val="00035465"/>
    <w:rsid w:val="00037FCF"/>
    <w:rsid w:val="000421B8"/>
    <w:rsid w:val="00043ABF"/>
    <w:rsid w:val="000445E4"/>
    <w:rsid w:val="00045A7E"/>
    <w:rsid w:val="00046A8E"/>
    <w:rsid w:val="000510AB"/>
    <w:rsid w:val="00052864"/>
    <w:rsid w:val="00052921"/>
    <w:rsid w:val="0005338E"/>
    <w:rsid w:val="00053B07"/>
    <w:rsid w:val="00055AF1"/>
    <w:rsid w:val="00064AE3"/>
    <w:rsid w:val="00066524"/>
    <w:rsid w:val="00070CD1"/>
    <w:rsid w:val="0007171B"/>
    <w:rsid w:val="00076821"/>
    <w:rsid w:val="00081D05"/>
    <w:rsid w:val="0008252F"/>
    <w:rsid w:val="00087CF7"/>
    <w:rsid w:val="0009414A"/>
    <w:rsid w:val="00094876"/>
    <w:rsid w:val="00095912"/>
    <w:rsid w:val="00095CE0"/>
    <w:rsid w:val="00096933"/>
    <w:rsid w:val="00097230"/>
    <w:rsid w:val="000A056F"/>
    <w:rsid w:val="000A06A0"/>
    <w:rsid w:val="000A457E"/>
    <w:rsid w:val="000A53FD"/>
    <w:rsid w:val="000A549A"/>
    <w:rsid w:val="000A72F2"/>
    <w:rsid w:val="000A7493"/>
    <w:rsid w:val="000B0C56"/>
    <w:rsid w:val="000B3E43"/>
    <w:rsid w:val="000B5CC0"/>
    <w:rsid w:val="000B666F"/>
    <w:rsid w:val="000C027D"/>
    <w:rsid w:val="000C0871"/>
    <w:rsid w:val="000C14B1"/>
    <w:rsid w:val="000C1723"/>
    <w:rsid w:val="000C1B20"/>
    <w:rsid w:val="000C4107"/>
    <w:rsid w:val="000C45E7"/>
    <w:rsid w:val="000C6634"/>
    <w:rsid w:val="000D01F4"/>
    <w:rsid w:val="000D1519"/>
    <w:rsid w:val="000D1C1A"/>
    <w:rsid w:val="000D1E9C"/>
    <w:rsid w:val="000E0611"/>
    <w:rsid w:val="000E186B"/>
    <w:rsid w:val="000E4456"/>
    <w:rsid w:val="000F11CB"/>
    <w:rsid w:val="000F175F"/>
    <w:rsid w:val="000F17D1"/>
    <w:rsid w:val="000F5C95"/>
    <w:rsid w:val="000F60FF"/>
    <w:rsid w:val="000F635F"/>
    <w:rsid w:val="000F6C61"/>
    <w:rsid w:val="00100C12"/>
    <w:rsid w:val="001049B6"/>
    <w:rsid w:val="00104BDD"/>
    <w:rsid w:val="001051C6"/>
    <w:rsid w:val="0011177A"/>
    <w:rsid w:val="00116E31"/>
    <w:rsid w:val="00120EC8"/>
    <w:rsid w:val="0012304E"/>
    <w:rsid w:val="001248EF"/>
    <w:rsid w:val="001257C7"/>
    <w:rsid w:val="00125830"/>
    <w:rsid w:val="0012658D"/>
    <w:rsid w:val="00126DDF"/>
    <w:rsid w:val="001270BF"/>
    <w:rsid w:val="00127A39"/>
    <w:rsid w:val="00127BAC"/>
    <w:rsid w:val="001378A4"/>
    <w:rsid w:val="00140A14"/>
    <w:rsid w:val="00142A56"/>
    <w:rsid w:val="00144DF5"/>
    <w:rsid w:val="00145A97"/>
    <w:rsid w:val="00146485"/>
    <w:rsid w:val="00150AD6"/>
    <w:rsid w:val="00153B40"/>
    <w:rsid w:val="00154ADA"/>
    <w:rsid w:val="0015531A"/>
    <w:rsid w:val="00156E40"/>
    <w:rsid w:val="001631F8"/>
    <w:rsid w:val="00163AE8"/>
    <w:rsid w:val="00163B27"/>
    <w:rsid w:val="00165317"/>
    <w:rsid w:val="00165E22"/>
    <w:rsid w:val="00171067"/>
    <w:rsid w:val="00171BAD"/>
    <w:rsid w:val="00174121"/>
    <w:rsid w:val="001744B4"/>
    <w:rsid w:val="001756A1"/>
    <w:rsid w:val="001761EE"/>
    <w:rsid w:val="00176EAA"/>
    <w:rsid w:val="0017725A"/>
    <w:rsid w:val="00177C4B"/>
    <w:rsid w:val="00180BE7"/>
    <w:rsid w:val="0018325A"/>
    <w:rsid w:val="00186199"/>
    <w:rsid w:val="001928F7"/>
    <w:rsid w:val="00192EC8"/>
    <w:rsid w:val="00194537"/>
    <w:rsid w:val="0019563C"/>
    <w:rsid w:val="00197779"/>
    <w:rsid w:val="001A21A9"/>
    <w:rsid w:val="001A2984"/>
    <w:rsid w:val="001A59D8"/>
    <w:rsid w:val="001A5FA6"/>
    <w:rsid w:val="001A6E56"/>
    <w:rsid w:val="001A78A4"/>
    <w:rsid w:val="001B2F0C"/>
    <w:rsid w:val="001B3F9C"/>
    <w:rsid w:val="001C078E"/>
    <w:rsid w:val="001C2E42"/>
    <w:rsid w:val="001C37F6"/>
    <w:rsid w:val="001C4587"/>
    <w:rsid w:val="001C6288"/>
    <w:rsid w:val="001D0F6A"/>
    <w:rsid w:val="001D1D94"/>
    <w:rsid w:val="001D20D5"/>
    <w:rsid w:val="001D21BC"/>
    <w:rsid w:val="001D2FA5"/>
    <w:rsid w:val="001D35E0"/>
    <w:rsid w:val="001D5045"/>
    <w:rsid w:val="001D5A44"/>
    <w:rsid w:val="001D5A49"/>
    <w:rsid w:val="001D724B"/>
    <w:rsid w:val="001E11D3"/>
    <w:rsid w:val="001E2A6A"/>
    <w:rsid w:val="001E3DC2"/>
    <w:rsid w:val="001E429A"/>
    <w:rsid w:val="001E5689"/>
    <w:rsid w:val="001E56FF"/>
    <w:rsid w:val="001E5C6B"/>
    <w:rsid w:val="001E7CAE"/>
    <w:rsid w:val="001F03E1"/>
    <w:rsid w:val="001F0853"/>
    <w:rsid w:val="001F38BB"/>
    <w:rsid w:val="001F3CC6"/>
    <w:rsid w:val="001F4530"/>
    <w:rsid w:val="002005FD"/>
    <w:rsid w:val="00200C9F"/>
    <w:rsid w:val="002010DE"/>
    <w:rsid w:val="00202968"/>
    <w:rsid w:val="00202C32"/>
    <w:rsid w:val="00203AEF"/>
    <w:rsid w:val="002070DE"/>
    <w:rsid w:val="0021023C"/>
    <w:rsid w:val="00211A26"/>
    <w:rsid w:val="002124AD"/>
    <w:rsid w:val="002125F7"/>
    <w:rsid w:val="00214463"/>
    <w:rsid w:val="00214756"/>
    <w:rsid w:val="00215CF2"/>
    <w:rsid w:val="00220542"/>
    <w:rsid w:val="00221174"/>
    <w:rsid w:val="00221233"/>
    <w:rsid w:val="00221540"/>
    <w:rsid w:val="00225ADC"/>
    <w:rsid w:val="00232D92"/>
    <w:rsid w:val="00234D01"/>
    <w:rsid w:val="002359EB"/>
    <w:rsid w:val="002363AB"/>
    <w:rsid w:val="00237963"/>
    <w:rsid w:val="002404C7"/>
    <w:rsid w:val="00240E66"/>
    <w:rsid w:val="0024260D"/>
    <w:rsid w:val="00245012"/>
    <w:rsid w:val="0024504E"/>
    <w:rsid w:val="0024651F"/>
    <w:rsid w:val="0024740E"/>
    <w:rsid w:val="0025007E"/>
    <w:rsid w:val="00250970"/>
    <w:rsid w:val="00251392"/>
    <w:rsid w:val="0025158D"/>
    <w:rsid w:val="0025281A"/>
    <w:rsid w:val="00253D3C"/>
    <w:rsid w:val="00255292"/>
    <w:rsid w:val="00260200"/>
    <w:rsid w:val="00261468"/>
    <w:rsid w:val="002620C9"/>
    <w:rsid w:val="00263E8D"/>
    <w:rsid w:val="002648D8"/>
    <w:rsid w:val="00273F86"/>
    <w:rsid w:val="002774F0"/>
    <w:rsid w:val="00282506"/>
    <w:rsid w:val="0028459B"/>
    <w:rsid w:val="00284C5F"/>
    <w:rsid w:val="00284CBC"/>
    <w:rsid w:val="002873F0"/>
    <w:rsid w:val="0029290C"/>
    <w:rsid w:val="00294DD0"/>
    <w:rsid w:val="002964F9"/>
    <w:rsid w:val="002A089C"/>
    <w:rsid w:val="002A1F14"/>
    <w:rsid w:val="002A24FD"/>
    <w:rsid w:val="002A2678"/>
    <w:rsid w:val="002A2E01"/>
    <w:rsid w:val="002A398F"/>
    <w:rsid w:val="002A5C6B"/>
    <w:rsid w:val="002A5D31"/>
    <w:rsid w:val="002A5D65"/>
    <w:rsid w:val="002A714F"/>
    <w:rsid w:val="002A7558"/>
    <w:rsid w:val="002B1851"/>
    <w:rsid w:val="002B27FF"/>
    <w:rsid w:val="002B6793"/>
    <w:rsid w:val="002B6FAE"/>
    <w:rsid w:val="002C0867"/>
    <w:rsid w:val="002C1726"/>
    <w:rsid w:val="002C21A6"/>
    <w:rsid w:val="002C26D5"/>
    <w:rsid w:val="002C42F9"/>
    <w:rsid w:val="002C5777"/>
    <w:rsid w:val="002C5D69"/>
    <w:rsid w:val="002D32E3"/>
    <w:rsid w:val="002D4360"/>
    <w:rsid w:val="002E0FEB"/>
    <w:rsid w:val="002E27D4"/>
    <w:rsid w:val="002F0F79"/>
    <w:rsid w:val="002F280E"/>
    <w:rsid w:val="002F3709"/>
    <w:rsid w:val="002F3A6C"/>
    <w:rsid w:val="002F4296"/>
    <w:rsid w:val="002F46DA"/>
    <w:rsid w:val="00300951"/>
    <w:rsid w:val="00300FD7"/>
    <w:rsid w:val="003019BF"/>
    <w:rsid w:val="003023C9"/>
    <w:rsid w:val="00302CA8"/>
    <w:rsid w:val="00302DE9"/>
    <w:rsid w:val="003030C2"/>
    <w:rsid w:val="00304ADD"/>
    <w:rsid w:val="00304C05"/>
    <w:rsid w:val="00305084"/>
    <w:rsid w:val="0031189A"/>
    <w:rsid w:val="00314308"/>
    <w:rsid w:val="003204E9"/>
    <w:rsid w:val="00321E8C"/>
    <w:rsid w:val="003225A9"/>
    <w:rsid w:val="00322A86"/>
    <w:rsid w:val="00323AE8"/>
    <w:rsid w:val="00324548"/>
    <w:rsid w:val="00324C5F"/>
    <w:rsid w:val="00324C76"/>
    <w:rsid w:val="003251EE"/>
    <w:rsid w:val="003251F4"/>
    <w:rsid w:val="003303E3"/>
    <w:rsid w:val="003329EA"/>
    <w:rsid w:val="00333E4E"/>
    <w:rsid w:val="003404B6"/>
    <w:rsid w:val="003407A5"/>
    <w:rsid w:val="00341188"/>
    <w:rsid w:val="0034147B"/>
    <w:rsid w:val="00343D0F"/>
    <w:rsid w:val="00350238"/>
    <w:rsid w:val="0035109C"/>
    <w:rsid w:val="00351F0A"/>
    <w:rsid w:val="0035432B"/>
    <w:rsid w:val="003567DA"/>
    <w:rsid w:val="00357F6A"/>
    <w:rsid w:val="003603E3"/>
    <w:rsid w:val="00360A1E"/>
    <w:rsid w:val="00361E7E"/>
    <w:rsid w:val="003634D5"/>
    <w:rsid w:val="00370748"/>
    <w:rsid w:val="00370AA4"/>
    <w:rsid w:val="00371FF4"/>
    <w:rsid w:val="00372D64"/>
    <w:rsid w:val="00377520"/>
    <w:rsid w:val="00380D36"/>
    <w:rsid w:val="003822D3"/>
    <w:rsid w:val="00386630"/>
    <w:rsid w:val="00390B25"/>
    <w:rsid w:val="00397156"/>
    <w:rsid w:val="0039770F"/>
    <w:rsid w:val="00397960"/>
    <w:rsid w:val="003A3BC4"/>
    <w:rsid w:val="003A458A"/>
    <w:rsid w:val="003A7129"/>
    <w:rsid w:val="003B1FB8"/>
    <w:rsid w:val="003B2F13"/>
    <w:rsid w:val="003B3278"/>
    <w:rsid w:val="003B405E"/>
    <w:rsid w:val="003B460A"/>
    <w:rsid w:val="003B57D3"/>
    <w:rsid w:val="003C044A"/>
    <w:rsid w:val="003C1F58"/>
    <w:rsid w:val="003C6409"/>
    <w:rsid w:val="003C792F"/>
    <w:rsid w:val="003D124B"/>
    <w:rsid w:val="003D1893"/>
    <w:rsid w:val="003D18F3"/>
    <w:rsid w:val="003D3D37"/>
    <w:rsid w:val="003D754A"/>
    <w:rsid w:val="003D78B5"/>
    <w:rsid w:val="003E10F5"/>
    <w:rsid w:val="003E244F"/>
    <w:rsid w:val="003E62A6"/>
    <w:rsid w:val="003E695F"/>
    <w:rsid w:val="003E6C9B"/>
    <w:rsid w:val="003E709C"/>
    <w:rsid w:val="003E7B89"/>
    <w:rsid w:val="003F2324"/>
    <w:rsid w:val="003F4241"/>
    <w:rsid w:val="003F48E7"/>
    <w:rsid w:val="003F5DE1"/>
    <w:rsid w:val="003F780A"/>
    <w:rsid w:val="003F7C45"/>
    <w:rsid w:val="004011B3"/>
    <w:rsid w:val="0040132C"/>
    <w:rsid w:val="00402A3A"/>
    <w:rsid w:val="00402ED1"/>
    <w:rsid w:val="00405085"/>
    <w:rsid w:val="004066FC"/>
    <w:rsid w:val="00407C10"/>
    <w:rsid w:val="004113B4"/>
    <w:rsid w:val="00411C09"/>
    <w:rsid w:val="00412E7F"/>
    <w:rsid w:val="00414827"/>
    <w:rsid w:val="00416C10"/>
    <w:rsid w:val="00417017"/>
    <w:rsid w:val="00422543"/>
    <w:rsid w:val="00424EF3"/>
    <w:rsid w:val="004253A2"/>
    <w:rsid w:val="004268BB"/>
    <w:rsid w:val="00427037"/>
    <w:rsid w:val="00431047"/>
    <w:rsid w:val="004318D9"/>
    <w:rsid w:val="00431B86"/>
    <w:rsid w:val="004408EC"/>
    <w:rsid w:val="00441E6A"/>
    <w:rsid w:val="0044240C"/>
    <w:rsid w:val="00442EB8"/>
    <w:rsid w:val="00443810"/>
    <w:rsid w:val="00443C8F"/>
    <w:rsid w:val="004445C7"/>
    <w:rsid w:val="00446302"/>
    <w:rsid w:val="00446862"/>
    <w:rsid w:val="00452481"/>
    <w:rsid w:val="00456BE4"/>
    <w:rsid w:val="00456CEF"/>
    <w:rsid w:val="00457804"/>
    <w:rsid w:val="004646BF"/>
    <w:rsid w:val="00464744"/>
    <w:rsid w:val="004665E3"/>
    <w:rsid w:val="004721FE"/>
    <w:rsid w:val="004731F1"/>
    <w:rsid w:val="004739A8"/>
    <w:rsid w:val="00475E6D"/>
    <w:rsid w:val="00480BC8"/>
    <w:rsid w:val="00481265"/>
    <w:rsid w:val="004814BF"/>
    <w:rsid w:val="00481E6C"/>
    <w:rsid w:val="00483508"/>
    <w:rsid w:val="0048587E"/>
    <w:rsid w:val="00486365"/>
    <w:rsid w:val="00486D56"/>
    <w:rsid w:val="00487C2B"/>
    <w:rsid w:val="00487E29"/>
    <w:rsid w:val="004909BF"/>
    <w:rsid w:val="00490A9D"/>
    <w:rsid w:val="00491158"/>
    <w:rsid w:val="00491506"/>
    <w:rsid w:val="0049297D"/>
    <w:rsid w:val="004929F2"/>
    <w:rsid w:val="00494289"/>
    <w:rsid w:val="00495A03"/>
    <w:rsid w:val="00495FAB"/>
    <w:rsid w:val="00497079"/>
    <w:rsid w:val="004A15F0"/>
    <w:rsid w:val="004A1BBA"/>
    <w:rsid w:val="004A3E3C"/>
    <w:rsid w:val="004A5F76"/>
    <w:rsid w:val="004A6C88"/>
    <w:rsid w:val="004A6ECD"/>
    <w:rsid w:val="004B0E6D"/>
    <w:rsid w:val="004B16E8"/>
    <w:rsid w:val="004B6250"/>
    <w:rsid w:val="004B6F8A"/>
    <w:rsid w:val="004B76B1"/>
    <w:rsid w:val="004C0057"/>
    <w:rsid w:val="004C0541"/>
    <w:rsid w:val="004C2C46"/>
    <w:rsid w:val="004C4CF1"/>
    <w:rsid w:val="004C575D"/>
    <w:rsid w:val="004C7235"/>
    <w:rsid w:val="004C7955"/>
    <w:rsid w:val="004D047F"/>
    <w:rsid w:val="004D3D96"/>
    <w:rsid w:val="004D55B2"/>
    <w:rsid w:val="004D650F"/>
    <w:rsid w:val="004D6E34"/>
    <w:rsid w:val="004D6F1D"/>
    <w:rsid w:val="004E2133"/>
    <w:rsid w:val="004E386C"/>
    <w:rsid w:val="004E60FB"/>
    <w:rsid w:val="004F779C"/>
    <w:rsid w:val="004F7846"/>
    <w:rsid w:val="005000D4"/>
    <w:rsid w:val="00504850"/>
    <w:rsid w:val="00510CAF"/>
    <w:rsid w:val="005128C5"/>
    <w:rsid w:val="0051357F"/>
    <w:rsid w:val="0051478B"/>
    <w:rsid w:val="0051566A"/>
    <w:rsid w:val="00515D7B"/>
    <w:rsid w:val="005166E9"/>
    <w:rsid w:val="0052009E"/>
    <w:rsid w:val="00523456"/>
    <w:rsid w:val="00525E59"/>
    <w:rsid w:val="00526BBC"/>
    <w:rsid w:val="00527176"/>
    <w:rsid w:val="005318CC"/>
    <w:rsid w:val="005348C7"/>
    <w:rsid w:val="005349B1"/>
    <w:rsid w:val="00535766"/>
    <w:rsid w:val="0053592B"/>
    <w:rsid w:val="005374BC"/>
    <w:rsid w:val="00542355"/>
    <w:rsid w:val="00542CC1"/>
    <w:rsid w:val="00543188"/>
    <w:rsid w:val="00543367"/>
    <w:rsid w:val="00543BFA"/>
    <w:rsid w:val="00547D9C"/>
    <w:rsid w:val="00547DA1"/>
    <w:rsid w:val="0055513C"/>
    <w:rsid w:val="0055753F"/>
    <w:rsid w:val="00560C94"/>
    <w:rsid w:val="0056291C"/>
    <w:rsid w:val="005629AF"/>
    <w:rsid w:val="00563A3F"/>
    <w:rsid w:val="00565A63"/>
    <w:rsid w:val="00566588"/>
    <w:rsid w:val="0057275D"/>
    <w:rsid w:val="005742B7"/>
    <w:rsid w:val="00575252"/>
    <w:rsid w:val="005800A9"/>
    <w:rsid w:val="00580488"/>
    <w:rsid w:val="0058074D"/>
    <w:rsid w:val="00580FD1"/>
    <w:rsid w:val="00582FAD"/>
    <w:rsid w:val="00583489"/>
    <w:rsid w:val="00583771"/>
    <w:rsid w:val="00590FE4"/>
    <w:rsid w:val="00591D9C"/>
    <w:rsid w:val="00593440"/>
    <w:rsid w:val="005946BC"/>
    <w:rsid w:val="005960E5"/>
    <w:rsid w:val="00597057"/>
    <w:rsid w:val="00597D8B"/>
    <w:rsid w:val="005A1C30"/>
    <w:rsid w:val="005A3295"/>
    <w:rsid w:val="005A44A3"/>
    <w:rsid w:val="005A46FF"/>
    <w:rsid w:val="005B011E"/>
    <w:rsid w:val="005B1C89"/>
    <w:rsid w:val="005B2E84"/>
    <w:rsid w:val="005B323C"/>
    <w:rsid w:val="005B7B0E"/>
    <w:rsid w:val="005B7DCD"/>
    <w:rsid w:val="005C0751"/>
    <w:rsid w:val="005C2C2B"/>
    <w:rsid w:val="005C5409"/>
    <w:rsid w:val="005C69AC"/>
    <w:rsid w:val="005C722E"/>
    <w:rsid w:val="005D01A4"/>
    <w:rsid w:val="005D259B"/>
    <w:rsid w:val="005D278A"/>
    <w:rsid w:val="005D45B3"/>
    <w:rsid w:val="005D4CEB"/>
    <w:rsid w:val="005D5E5B"/>
    <w:rsid w:val="005D6496"/>
    <w:rsid w:val="005E004D"/>
    <w:rsid w:val="005E43A2"/>
    <w:rsid w:val="005F04E6"/>
    <w:rsid w:val="005F43B9"/>
    <w:rsid w:val="005F68CB"/>
    <w:rsid w:val="006003EC"/>
    <w:rsid w:val="006033E3"/>
    <w:rsid w:val="00606088"/>
    <w:rsid w:val="00607134"/>
    <w:rsid w:val="0061321C"/>
    <w:rsid w:val="0062317C"/>
    <w:rsid w:val="0062386E"/>
    <w:rsid w:val="00623D9A"/>
    <w:rsid w:val="00623F01"/>
    <w:rsid w:val="006242FB"/>
    <w:rsid w:val="006243DC"/>
    <w:rsid w:val="00626E2D"/>
    <w:rsid w:val="006272BD"/>
    <w:rsid w:val="0062756F"/>
    <w:rsid w:val="00627D94"/>
    <w:rsid w:val="00630B42"/>
    <w:rsid w:val="006344D2"/>
    <w:rsid w:val="00641808"/>
    <w:rsid w:val="00642072"/>
    <w:rsid w:val="0064350E"/>
    <w:rsid w:val="006440ED"/>
    <w:rsid w:val="00645293"/>
    <w:rsid w:val="00651B78"/>
    <w:rsid w:val="00652263"/>
    <w:rsid w:val="00652881"/>
    <w:rsid w:val="00656F35"/>
    <w:rsid w:val="00660146"/>
    <w:rsid w:val="00661974"/>
    <w:rsid w:val="0066200A"/>
    <w:rsid w:val="0066232F"/>
    <w:rsid w:val="00664551"/>
    <w:rsid w:val="006676A0"/>
    <w:rsid w:val="00670857"/>
    <w:rsid w:val="00671124"/>
    <w:rsid w:val="00671F44"/>
    <w:rsid w:val="00671F51"/>
    <w:rsid w:val="006727B0"/>
    <w:rsid w:val="0067307E"/>
    <w:rsid w:val="00676126"/>
    <w:rsid w:val="0068082B"/>
    <w:rsid w:val="0068640F"/>
    <w:rsid w:val="00687AD5"/>
    <w:rsid w:val="00691921"/>
    <w:rsid w:val="00695251"/>
    <w:rsid w:val="00695ADE"/>
    <w:rsid w:val="00695C0D"/>
    <w:rsid w:val="00696356"/>
    <w:rsid w:val="006973EC"/>
    <w:rsid w:val="006A0A24"/>
    <w:rsid w:val="006A1874"/>
    <w:rsid w:val="006A72C6"/>
    <w:rsid w:val="006A7FC4"/>
    <w:rsid w:val="006B02DA"/>
    <w:rsid w:val="006B198C"/>
    <w:rsid w:val="006B2065"/>
    <w:rsid w:val="006B207C"/>
    <w:rsid w:val="006B3940"/>
    <w:rsid w:val="006B4145"/>
    <w:rsid w:val="006B4B1E"/>
    <w:rsid w:val="006B7F36"/>
    <w:rsid w:val="006C168D"/>
    <w:rsid w:val="006C615F"/>
    <w:rsid w:val="006C642C"/>
    <w:rsid w:val="006C6FC6"/>
    <w:rsid w:val="006E2F89"/>
    <w:rsid w:val="006E34B7"/>
    <w:rsid w:val="006F2F56"/>
    <w:rsid w:val="006F4CD8"/>
    <w:rsid w:val="006F53D9"/>
    <w:rsid w:val="006F5B9A"/>
    <w:rsid w:val="00700422"/>
    <w:rsid w:val="007004DC"/>
    <w:rsid w:val="00703E8A"/>
    <w:rsid w:val="00711522"/>
    <w:rsid w:val="007124FE"/>
    <w:rsid w:val="00713186"/>
    <w:rsid w:val="00713757"/>
    <w:rsid w:val="00714C63"/>
    <w:rsid w:val="00714DCA"/>
    <w:rsid w:val="00717772"/>
    <w:rsid w:val="00721AF1"/>
    <w:rsid w:val="00721C61"/>
    <w:rsid w:val="0072280F"/>
    <w:rsid w:val="00722B5E"/>
    <w:rsid w:val="0072708F"/>
    <w:rsid w:val="00732D1D"/>
    <w:rsid w:val="00733D9B"/>
    <w:rsid w:val="00733FB9"/>
    <w:rsid w:val="00736034"/>
    <w:rsid w:val="0073681C"/>
    <w:rsid w:val="00736C89"/>
    <w:rsid w:val="0073709A"/>
    <w:rsid w:val="00741EBE"/>
    <w:rsid w:val="00746130"/>
    <w:rsid w:val="00746A40"/>
    <w:rsid w:val="00750358"/>
    <w:rsid w:val="00750E0C"/>
    <w:rsid w:val="0075424A"/>
    <w:rsid w:val="00755CDF"/>
    <w:rsid w:val="00756731"/>
    <w:rsid w:val="00757A4C"/>
    <w:rsid w:val="00764A94"/>
    <w:rsid w:val="007651E5"/>
    <w:rsid w:val="007670DC"/>
    <w:rsid w:val="00771003"/>
    <w:rsid w:val="0077111A"/>
    <w:rsid w:val="00772272"/>
    <w:rsid w:val="0077542F"/>
    <w:rsid w:val="007756ED"/>
    <w:rsid w:val="0078047B"/>
    <w:rsid w:val="00784955"/>
    <w:rsid w:val="00786656"/>
    <w:rsid w:val="007870FC"/>
    <w:rsid w:val="00787CD0"/>
    <w:rsid w:val="00790B94"/>
    <w:rsid w:val="00791053"/>
    <w:rsid w:val="00791A3A"/>
    <w:rsid w:val="00792F67"/>
    <w:rsid w:val="00794196"/>
    <w:rsid w:val="00797637"/>
    <w:rsid w:val="00797CBF"/>
    <w:rsid w:val="007A0B2A"/>
    <w:rsid w:val="007A3680"/>
    <w:rsid w:val="007A59B8"/>
    <w:rsid w:val="007B0C35"/>
    <w:rsid w:val="007B0E0E"/>
    <w:rsid w:val="007B1A39"/>
    <w:rsid w:val="007B2862"/>
    <w:rsid w:val="007B2A4A"/>
    <w:rsid w:val="007B662A"/>
    <w:rsid w:val="007C099F"/>
    <w:rsid w:val="007C57FC"/>
    <w:rsid w:val="007C67DA"/>
    <w:rsid w:val="007D10B0"/>
    <w:rsid w:val="007D23E1"/>
    <w:rsid w:val="007D28C9"/>
    <w:rsid w:val="007D3CC8"/>
    <w:rsid w:val="007D62F9"/>
    <w:rsid w:val="007D63A4"/>
    <w:rsid w:val="007E1AA2"/>
    <w:rsid w:val="007E4C1F"/>
    <w:rsid w:val="007E5469"/>
    <w:rsid w:val="007F0759"/>
    <w:rsid w:val="007F156E"/>
    <w:rsid w:val="007F25C0"/>
    <w:rsid w:val="007F5F52"/>
    <w:rsid w:val="007F77C6"/>
    <w:rsid w:val="008003A1"/>
    <w:rsid w:val="008006B7"/>
    <w:rsid w:val="00800FDB"/>
    <w:rsid w:val="00802081"/>
    <w:rsid w:val="00802299"/>
    <w:rsid w:val="00806461"/>
    <w:rsid w:val="00807278"/>
    <w:rsid w:val="0080742F"/>
    <w:rsid w:val="0081096D"/>
    <w:rsid w:val="00810EAD"/>
    <w:rsid w:val="00811833"/>
    <w:rsid w:val="00814DCE"/>
    <w:rsid w:val="0081515B"/>
    <w:rsid w:val="008174D4"/>
    <w:rsid w:val="00820FE6"/>
    <w:rsid w:val="00821545"/>
    <w:rsid w:val="00821A66"/>
    <w:rsid w:val="00822476"/>
    <w:rsid w:val="00822882"/>
    <w:rsid w:val="00822A0F"/>
    <w:rsid w:val="00825F68"/>
    <w:rsid w:val="0083066D"/>
    <w:rsid w:val="0083349B"/>
    <w:rsid w:val="00834467"/>
    <w:rsid w:val="00834F45"/>
    <w:rsid w:val="00835408"/>
    <w:rsid w:val="008359DA"/>
    <w:rsid w:val="00836321"/>
    <w:rsid w:val="00837CEF"/>
    <w:rsid w:val="00840035"/>
    <w:rsid w:val="00841E37"/>
    <w:rsid w:val="008428A9"/>
    <w:rsid w:val="00844112"/>
    <w:rsid w:val="008456C9"/>
    <w:rsid w:val="0084595F"/>
    <w:rsid w:val="0084611D"/>
    <w:rsid w:val="00850C62"/>
    <w:rsid w:val="00857C90"/>
    <w:rsid w:val="00863011"/>
    <w:rsid w:val="00865075"/>
    <w:rsid w:val="0086748F"/>
    <w:rsid w:val="008726BA"/>
    <w:rsid w:val="00872CE4"/>
    <w:rsid w:val="00877B62"/>
    <w:rsid w:val="00881015"/>
    <w:rsid w:val="008810B0"/>
    <w:rsid w:val="008819B6"/>
    <w:rsid w:val="00881AAC"/>
    <w:rsid w:val="008836B7"/>
    <w:rsid w:val="008841D3"/>
    <w:rsid w:val="00886CF9"/>
    <w:rsid w:val="00887DE6"/>
    <w:rsid w:val="00894C2A"/>
    <w:rsid w:val="00896BE4"/>
    <w:rsid w:val="00897708"/>
    <w:rsid w:val="00897C60"/>
    <w:rsid w:val="00897D88"/>
    <w:rsid w:val="00897EC2"/>
    <w:rsid w:val="008A1141"/>
    <w:rsid w:val="008A17AF"/>
    <w:rsid w:val="008A1B66"/>
    <w:rsid w:val="008A22A5"/>
    <w:rsid w:val="008A2F16"/>
    <w:rsid w:val="008A6913"/>
    <w:rsid w:val="008B1823"/>
    <w:rsid w:val="008B6E16"/>
    <w:rsid w:val="008B7110"/>
    <w:rsid w:val="008C1E76"/>
    <w:rsid w:val="008C2029"/>
    <w:rsid w:val="008C4A0E"/>
    <w:rsid w:val="008C550C"/>
    <w:rsid w:val="008C61D6"/>
    <w:rsid w:val="008C64F1"/>
    <w:rsid w:val="008D1BB0"/>
    <w:rsid w:val="008D20FF"/>
    <w:rsid w:val="008D3DE6"/>
    <w:rsid w:val="008D4223"/>
    <w:rsid w:val="008D44CC"/>
    <w:rsid w:val="008D46E3"/>
    <w:rsid w:val="008D6709"/>
    <w:rsid w:val="008D6BC7"/>
    <w:rsid w:val="008E083A"/>
    <w:rsid w:val="008E2450"/>
    <w:rsid w:val="008E7896"/>
    <w:rsid w:val="008F2477"/>
    <w:rsid w:val="0090000A"/>
    <w:rsid w:val="009010F0"/>
    <w:rsid w:val="00901162"/>
    <w:rsid w:val="00902123"/>
    <w:rsid w:val="0090223A"/>
    <w:rsid w:val="009028E2"/>
    <w:rsid w:val="00903E90"/>
    <w:rsid w:val="009110CF"/>
    <w:rsid w:val="00913200"/>
    <w:rsid w:val="00914613"/>
    <w:rsid w:val="00914EAB"/>
    <w:rsid w:val="00916017"/>
    <w:rsid w:val="0091769F"/>
    <w:rsid w:val="00920CBA"/>
    <w:rsid w:val="0092140D"/>
    <w:rsid w:val="00922D49"/>
    <w:rsid w:val="00925563"/>
    <w:rsid w:val="00925E37"/>
    <w:rsid w:val="00925EDD"/>
    <w:rsid w:val="009274EF"/>
    <w:rsid w:val="00927D0E"/>
    <w:rsid w:val="0093042A"/>
    <w:rsid w:val="009309DA"/>
    <w:rsid w:val="00932C9E"/>
    <w:rsid w:val="00933EAB"/>
    <w:rsid w:val="00936688"/>
    <w:rsid w:val="00937CFA"/>
    <w:rsid w:val="009406B3"/>
    <w:rsid w:val="00943748"/>
    <w:rsid w:val="009457CF"/>
    <w:rsid w:val="00945CF5"/>
    <w:rsid w:val="00947E6A"/>
    <w:rsid w:val="009500A1"/>
    <w:rsid w:val="0095037E"/>
    <w:rsid w:val="00952AAD"/>
    <w:rsid w:val="00954567"/>
    <w:rsid w:val="00955B04"/>
    <w:rsid w:val="00956671"/>
    <w:rsid w:val="00957466"/>
    <w:rsid w:val="0096260B"/>
    <w:rsid w:val="009664D5"/>
    <w:rsid w:val="00970C69"/>
    <w:rsid w:val="00971114"/>
    <w:rsid w:val="00971F1C"/>
    <w:rsid w:val="0097211D"/>
    <w:rsid w:val="00972E10"/>
    <w:rsid w:val="009744C4"/>
    <w:rsid w:val="009746CA"/>
    <w:rsid w:val="0097516E"/>
    <w:rsid w:val="00980733"/>
    <w:rsid w:val="00981963"/>
    <w:rsid w:val="00983C82"/>
    <w:rsid w:val="00984520"/>
    <w:rsid w:val="0098545C"/>
    <w:rsid w:val="00991257"/>
    <w:rsid w:val="00992BA2"/>
    <w:rsid w:val="00992F83"/>
    <w:rsid w:val="00994970"/>
    <w:rsid w:val="0099508A"/>
    <w:rsid w:val="009950C6"/>
    <w:rsid w:val="0099581D"/>
    <w:rsid w:val="00995D0B"/>
    <w:rsid w:val="009974EB"/>
    <w:rsid w:val="009A1126"/>
    <w:rsid w:val="009A59AD"/>
    <w:rsid w:val="009A7A14"/>
    <w:rsid w:val="009B0301"/>
    <w:rsid w:val="009B1584"/>
    <w:rsid w:val="009B1B32"/>
    <w:rsid w:val="009B21CA"/>
    <w:rsid w:val="009B2648"/>
    <w:rsid w:val="009B6BB3"/>
    <w:rsid w:val="009C03E5"/>
    <w:rsid w:val="009C196C"/>
    <w:rsid w:val="009C3730"/>
    <w:rsid w:val="009C37BD"/>
    <w:rsid w:val="009C3AAC"/>
    <w:rsid w:val="009C4D19"/>
    <w:rsid w:val="009C5FDB"/>
    <w:rsid w:val="009C693E"/>
    <w:rsid w:val="009C70CB"/>
    <w:rsid w:val="009D1EA4"/>
    <w:rsid w:val="009D27AA"/>
    <w:rsid w:val="009D4991"/>
    <w:rsid w:val="009D54B7"/>
    <w:rsid w:val="009D5BB5"/>
    <w:rsid w:val="009D696D"/>
    <w:rsid w:val="009D6ED2"/>
    <w:rsid w:val="009E0F1A"/>
    <w:rsid w:val="009E140D"/>
    <w:rsid w:val="009E4465"/>
    <w:rsid w:val="009E56E9"/>
    <w:rsid w:val="009E6401"/>
    <w:rsid w:val="009E6C54"/>
    <w:rsid w:val="009F2A25"/>
    <w:rsid w:val="009F2BEF"/>
    <w:rsid w:val="009F4FDA"/>
    <w:rsid w:val="009F5235"/>
    <w:rsid w:val="009F531A"/>
    <w:rsid w:val="009F6550"/>
    <w:rsid w:val="009F786E"/>
    <w:rsid w:val="00A00902"/>
    <w:rsid w:val="00A039FF"/>
    <w:rsid w:val="00A03E55"/>
    <w:rsid w:val="00A05ACE"/>
    <w:rsid w:val="00A13A08"/>
    <w:rsid w:val="00A14AE3"/>
    <w:rsid w:val="00A16675"/>
    <w:rsid w:val="00A22CD6"/>
    <w:rsid w:val="00A234EC"/>
    <w:rsid w:val="00A2417A"/>
    <w:rsid w:val="00A26668"/>
    <w:rsid w:val="00A27804"/>
    <w:rsid w:val="00A27FCA"/>
    <w:rsid w:val="00A31937"/>
    <w:rsid w:val="00A354D5"/>
    <w:rsid w:val="00A36822"/>
    <w:rsid w:val="00A36AB5"/>
    <w:rsid w:val="00A37DE4"/>
    <w:rsid w:val="00A40C1C"/>
    <w:rsid w:val="00A411D1"/>
    <w:rsid w:val="00A43389"/>
    <w:rsid w:val="00A43E71"/>
    <w:rsid w:val="00A45753"/>
    <w:rsid w:val="00A45CAA"/>
    <w:rsid w:val="00A46683"/>
    <w:rsid w:val="00A4764D"/>
    <w:rsid w:val="00A47B15"/>
    <w:rsid w:val="00A52F84"/>
    <w:rsid w:val="00A54580"/>
    <w:rsid w:val="00A560AC"/>
    <w:rsid w:val="00A56B05"/>
    <w:rsid w:val="00A5725E"/>
    <w:rsid w:val="00A57678"/>
    <w:rsid w:val="00A6082D"/>
    <w:rsid w:val="00A60E2F"/>
    <w:rsid w:val="00A63284"/>
    <w:rsid w:val="00A64CB8"/>
    <w:rsid w:val="00A67018"/>
    <w:rsid w:val="00A672F3"/>
    <w:rsid w:val="00A673DC"/>
    <w:rsid w:val="00A7041B"/>
    <w:rsid w:val="00A7076E"/>
    <w:rsid w:val="00A709BE"/>
    <w:rsid w:val="00A7162E"/>
    <w:rsid w:val="00A7234B"/>
    <w:rsid w:val="00A72D71"/>
    <w:rsid w:val="00A73958"/>
    <w:rsid w:val="00A75705"/>
    <w:rsid w:val="00A77C69"/>
    <w:rsid w:val="00A83953"/>
    <w:rsid w:val="00A8400B"/>
    <w:rsid w:val="00A8678F"/>
    <w:rsid w:val="00A903B6"/>
    <w:rsid w:val="00A9064E"/>
    <w:rsid w:val="00A90F4F"/>
    <w:rsid w:val="00A947AA"/>
    <w:rsid w:val="00AA1B53"/>
    <w:rsid w:val="00AA3556"/>
    <w:rsid w:val="00AA35FD"/>
    <w:rsid w:val="00AA3DB7"/>
    <w:rsid w:val="00AA687B"/>
    <w:rsid w:val="00AB01AA"/>
    <w:rsid w:val="00AB3012"/>
    <w:rsid w:val="00AB321C"/>
    <w:rsid w:val="00AB5C7D"/>
    <w:rsid w:val="00AB660F"/>
    <w:rsid w:val="00AB688F"/>
    <w:rsid w:val="00AB75EA"/>
    <w:rsid w:val="00AB7AA2"/>
    <w:rsid w:val="00AC1269"/>
    <w:rsid w:val="00AC26A8"/>
    <w:rsid w:val="00AC2FFC"/>
    <w:rsid w:val="00AC4BC1"/>
    <w:rsid w:val="00AD036A"/>
    <w:rsid w:val="00AD04BD"/>
    <w:rsid w:val="00AD18BE"/>
    <w:rsid w:val="00AD7214"/>
    <w:rsid w:val="00AE1066"/>
    <w:rsid w:val="00AE4518"/>
    <w:rsid w:val="00AE5D7F"/>
    <w:rsid w:val="00AE5DDF"/>
    <w:rsid w:val="00AE79F0"/>
    <w:rsid w:val="00AF2DE8"/>
    <w:rsid w:val="00AF650B"/>
    <w:rsid w:val="00AF6EC1"/>
    <w:rsid w:val="00B00331"/>
    <w:rsid w:val="00B01A80"/>
    <w:rsid w:val="00B04217"/>
    <w:rsid w:val="00B046DF"/>
    <w:rsid w:val="00B07B1C"/>
    <w:rsid w:val="00B07C27"/>
    <w:rsid w:val="00B10017"/>
    <w:rsid w:val="00B10CA9"/>
    <w:rsid w:val="00B10DE1"/>
    <w:rsid w:val="00B10FF8"/>
    <w:rsid w:val="00B1299B"/>
    <w:rsid w:val="00B15902"/>
    <w:rsid w:val="00B16848"/>
    <w:rsid w:val="00B203C4"/>
    <w:rsid w:val="00B2042E"/>
    <w:rsid w:val="00B22E81"/>
    <w:rsid w:val="00B23996"/>
    <w:rsid w:val="00B23CB2"/>
    <w:rsid w:val="00B2561A"/>
    <w:rsid w:val="00B25A64"/>
    <w:rsid w:val="00B31ADE"/>
    <w:rsid w:val="00B32AB3"/>
    <w:rsid w:val="00B34E7C"/>
    <w:rsid w:val="00B34FD9"/>
    <w:rsid w:val="00B368EA"/>
    <w:rsid w:val="00B37EEF"/>
    <w:rsid w:val="00B41DF9"/>
    <w:rsid w:val="00B41E22"/>
    <w:rsid w:val="00B51C7C"/>
    <w:rsid w:val="00B53831"/>
    <w:rsid w:val="00B54370"/>
    <w:rsid w:val="00B55185"/>
    <w:rsid w:val="00B558A4"/>
    <w:rsid w:val="00B61923"/>
    <w:rsid w:val="00B621D6"/>
    <w:rsid w:val="00B65D6F"/>
    <w:rsid w:val="00B67C23"/>
    <w:rsid w:val="00B70973"/>
    <w:rsid w:val="00B70DC7"/>
    <w:rsid w:val="00B72596"/>
    <w:rsid w:val="00B731D5"/>
    <w:rsid w:val="00B74B0F"/>
    <w:rsid w:val="00B75735"/>
    <w:rsid w:val="00B77142"/>
    <w:rsid w:val="00B80A2C"/>
    <w:rsid w:val="00B81F60"/>
    <w:rsid w:val="00B841AC"/>
    <w:rsid w:val="00B865B0"/>
    <w:rsid w:val="00B90780"/>
    <w:rsid w:val="00B9240D"/>
    <w:rsid w:val="00BA153D"/>
    <w:rsid w:val="00BA22A8"/>
    <w:rsid w:val="00BA3E48"/>
    <w:rsid w:val="00BA4BD3"/>
    <w:rsid w:val="00BA574A"/>
    <w:rsid w:val="00BA6DE7"/>
    <w:rsid w:val="00BB0187"/>
    <w:rsid w:val="00BB1EB3"/>
    <w:rsid w:val="00BB2678"/>
    <w:rsid w:val="00BB2A42"/>
    <w:rsid w:val="00BB7F14"/>
    <w:rsid w:val="00BC013A"/>
    <w:rsid w:val="00BC2343"/>
    <w:rsid w:val="00BC3740"/>
    <w:rsid w:val="00BC7A05"/>
    <w:rsid w:val="00BD0A0A"/>
    <w:rsid w:val="00BD2F87"/>
    <w:rsid w:val="00BD30C8"/>
    <w:rsid w:val="00BD3C9B"/>
    <w:rsid w:val="00BD3EB4"/>
    <w:rsid w:val="00BD5C65"/>
    <w:rsid w:val="00BD6051"/>
    <w:rsid w:val="00BE03A5"/>
    <w:rsid w:val="00BE6018"/>
    <w:rsid w:val="00BF1F57"/>
    <w:rsid w:val="00BF3BE6"/>
    <w:rsid w:val="00BF4086"/>
    <w:rsid w:val="00BF426C"/>
    <w:rsid w:val="00BF58D0"/>
    <w:rsid w:val="00BF7D6A"/>
    <w:rsid w:val="00C013E1"/>
    <w:rsid w:val="00C01611"/>
    <w:rsid w:val="00C02D59"/>
    <w:rsid w:val="00C030B6"/>
    <w:rsid w:val="00C03284"/>
    <w:rsid w:val="00C050D7"/>
    <w:rsid w:val="00C05B5F"/>
    <w:rsid w:val="00C07CF9"/>
    <w:rsid w:val="00C104CC"/>
    <w:rsid w:val="00C136D7"/>
    <w:rsid w:val="00C152FE"/>
    <w:rsid w:val="00C16739"/>
    <w:rsid w:val="00C1675B"/>
    <w:rsid w:val="00C1697D"/>
    <w:rsid w:val="00C1750D"/>
    <w:rsid w:val="00C22CCE"/>
    <w:rsid w:val="00C23BA2"/>
    <w:rsid w:val="00C26024"/>
    <w:rsid w:val="00C2623B"/>
    <w:rsid w:val="00C30F79"/>
    <w:rsid w:val="00C32AF2"/>
    <w:rsid w:val="00C33204"/>
    <w:rsid w:val="00C338EB"/>
    <w:rsid w:val="00C3465D"/>
    <w:rsid w:val="00C379E9"/>
    <w:rsid w:val="00C438E2"/>
    <w:rsid w:val="00C439FB"/>
    <w:rsid w:val="00C43F23"/>
    <w:rsid w:val="00C50011"/>
    <w:rsid w:val="00C51D0A"/>
    <w:rsid w:val="00C56CC6"/>
    <w:rsid w:val="00C6357C"/>
    <w:rsid w:val="00C640D9"/>
    <w:rsid w:val="00C645E6"/>
    <w:rsid w:val="00C64D82"/>
    <w:rsid w:val="00C64FBC"/>
    <w:rsid w:val="00C65A83"/>
    <w:rsid w:val="00C66CBE"/>
    <w:rsid w:val="00C704E8"/>
    <w:rsid w:val="00C72B6C"/>
    <w:rsid w:val="00C72C6F"/>
    <w:rsid w:val="00C73818"/>
    <w:rsid w:val="00C77C8A"/>
    <w:rsid w:val="00C80F23"/>
    <w:rsid w:val="00C81151"/>
    <w:rsid w:val="00C82CC6"/>
    <w:rsid w:val="00C83E51"/>
    <w:rsid w:val="00C850A3"/>
    <w:rsid w:val="00C85C32"/>
    <w:rsid w:val="00C87568"/>
    <w:rsid w:val="00C90DB6"/>
    <w:rsid w:val="00C9394F"/>
    <w:rsid w:val="00C93A35"/>
    <w:rsid w:val="00C93B1A"/>
    <w:rsid w:val="00C96F5F"/>
    <w:rsid w:val="00CA5927"/>
    <w:rsid w:val="00CA79EC"/>
    <w:rsid w:val="00CB0C68"/>
    <w:rsid w:val="00CB39C2"/>
    <w:rsid w:val="00CB4C8C"/>
    <w:rsid w:val="00CB6782"/>
    <w:rsid w:val="00CB6AC9"/>
    <w:rsid w:val="00CC02A5"/>
    <w:rsid w:val="00CC080A"/>
    <w:rsid w:val="00CC0D0F"/>
    <w:rsid w:val="00CC33C2"/>
    <w:rsid w:val="00CC6971"/>
    <w:rsid w:val="00CD076B"/>
    <w:rsid w:val="00CD08CC"/>
    <w:rsid w:val="00CD4512"/>
    <w:rsid w:val="00CD4C31"/>
    <w:rsid w:val="00CE2E10"/>
    <w:rsid w:val="00CE4C23"/>
    <w:rsid w:val="00CE5277"/>
    <w:rsid w:val="00CE6358"/>
    <w:rsid w:val="00CE695A"/>
    <w:rsid w:val="00CF2161"/>
    <w:rsid w:val="00CF2D54"/>
    <w:rsid w:val="00CF6A2C"/>
    <w:rsid w:val="00D03538"/>
    <w:rsid w:val="00D038C4"/>
    <w:rsid w:val="00D049B8"/>
    <w:rsid w:val="00D0516C"/>
    <w:rsid w:val="00D05EE7"/>
    <w:rsid w:val="00D068D0"/>
    <w:rsid w:val="00D078D1"/>
    <w:rsid w:val="00D129A8"/>
    <w:rsid w:val="00D12FB9"/>
    <w:rsid w:val="00D200BD"/>
    <w:rsid w:val="00D22399"/>
    <w:rsid w:val="00D260E1"/>
    <w:rsid w:val="00D33374"/>
    <w:rsid w:val="00D33751"/>
    <w:rsid w:val="00D33822"/>
    <w:rsid w:val="00D33A3D"/>
    <w:rsid w:val="00D36125"/>
    <w:rsid w:val="00D36F6E"/>
    <w:rsid w:val="00D37343"/>
    <w:rsid w:val="00D41291"/>
    <w:rsid w:val="00D4205E"/>
    <w:rsid w:val="00D46057"/>
    <w:rsid w:val="00D5574C"/>
    <w:rsid w:val="00D6057D"/>
    <w:rsid w:val="00D61982"/>
    <w:rsid w:val="00D621B5"/>
    <w:rsid w:val="00D6267A"/>
    <w:rsid w:val="00D63BBA"/>
    <w:rsid w:val="00D67D12"/>
    <w:rsid w:val="00D72602"/>
    <w:rsid w:val="00D734A9"/>
    <w:rsid w:val="00D7585A"/>
    <w:rsid w:val="00D759A7"/>
    <w:rsid w:val="00D76DD5"/>
    <w:rsid w:val="00D80618"/>
    <w:rsid w:val="00D82494"/>
    <w:rsid w:val="00D83335"/>
    <w:rsid w:val="00D84264"/>
    <w:rsid w:val="00D84A4B"/>
    <w:rsid w:val="00D92168"/>
    <w:rsid w:val="00D940B5"/>
    <w:rsid w:val="00D95CB0"/>
    <w:rsid w:val="00D96099"/>
    <w:rsid w:val="00D96765"/>
    <w:rsid w:val="00D977C0"/>
    <w:rsid w:val="00DA00A3"/>
    <w:rsid w:val="00DA0D88"/>
    <w:rsid w:val="00DA13F3"/>
    <w:rsid w:val="00DA2DE3"/>
    <w:rsid w:val="00DA7146"/>
    <w:rsid w:val="00DA716A"/>
    <w:rsid w:val="00DB1F4F"/>
    <w:rsid w:val="00DB37EE"/>
    <w:rsid w:val="00DB4450"/>
    <w:rsid w:val="00DB4EE7"/>
    <w:rsid w:val="00DB7B69"/>
    <w:rsid w:val="00DC234A"/>
    <w:rsid w:val="00DC3788"/>
    <w:rsid w:val="00DC41E4"/>
    <w:rsid w:val="00DC5116"/>
    <w:rsid w:val="00DC7C77"/>
    <w:rsid w:val="00DD7E19"/>
    <w:rsid w:val="00DD7EA2"/>
    <w:rsid w:val="00DE00F2"/>
    <w:rsid w:val="00DE117F"/>
    <w:rsid w:val="00DE401C"/>
    <w:rsid w:val="00DF63FA"/>
    <w:rsid w:val="00E00A1C"/>
    <w:rsid w:val="00E012CC"/>
    <w:rsid w:val="00E02A1E"/>
    <w:rsid w:val="00E02B71"/>
    <w:rsid w:val="00E02DEB"/>
    <w:rsid w:val="00E03D58"/>
    <w:rsid w:val="00E042A1"/>
    <w:rsid w:val="00E05E5E"/>
    <w:rsid w:val="00E07093"/>
    <w:rsid w:val="00E104FA"/>
    <w:rsid w:val="00E1082A"/>
    <w:rsid w:val="00E11166"/>
    <w:rsid w:val="00E13182"/>
    <w:rsid w:val="00E147F9"/>
    <w:rsid w:val="00E15383"/>
    <w:rsid w:val="00E16722"/>
    <w:rsid w:val="00E1738C"/>
    <w:rsid w:val="00E20793"/>
    <w:rsid w:val="00E22B9D"/>
    <w:rsid w:val="00E22D28"/>
    <w:rsid w:val="00E230E3"/>
    <w:rsid w:val="00E2336E"/>
    <w:rsid w:val="00E27AF2"/>
    <w:rsid w:val="00E30EDF"/>
    <w:rsid w:val="00E3112B"/>
    <w:rsid w:val="00E31FBA"/>
    <w:rsid w:val="00E3387E"/>
    <w:rsid w:val="00E33A9F"/>
    <w:rsid w:val="00E33DCE"/>
    <w:rsid w:val="00E34648"/>
    <w:rsid w:val="00E350EA"/>
    <w:rsid w:val="00E36AAE"/>
    <w:rsid w:val="00E36D79"/>
    <w:rsid w:val="00E3741F"/>
    <w:rsid w:val="00E41773"/>
    <w:rsid w:val="00E42623"/>
    <w:rsid w:val="00E42759"/>
    <w:rsid w:val="00E44758"/>
    <w:rsid w:val="00E44E28"/>
    <w:rsid w:val="00E513F6"/>
    <w:rsid w:val="00E5188E"/>
    <w:rsid w:val="00E51A6A"/>
    <w:rsid w:val="00E52EBA"/>
    <w:rsid w:val="00E52F3B"/>
    <w:rsid w:val="00E53D94"/>
    <w:rsid w:val="00E53DEA"/>
    <w:rsid w:val="00E616DB"/>
    <w:rsid w:val="00E627A4"/>
    <w:rsid w:val="00E62FCD"/>
    <w:rsid w:val="00E630ED"/>
    <w:rsid w:val="00E6357F"/>
    <w:rsid w:val="00E74EC5"/>
    <w:rsid w:val="00E76B86"/>
    <w:rsid w:val="00E81ABD"/>
    <w:rsid w:val="00E8342F"/>
    <w:rsid w:val="00E847A7"/>
    <w:rsid w:val="00E85E29"/>
    <w:rsid w:val="00E86E79"/>
    <w:rsid w:val="00E906B4"/>
    <w:rsid w:val="00E9095B"/>
    <w:rsid w:val="00E91C4F"/>
    <w:rsid w:val="00E92040"/>
    <w:rsid w:val="00E926B8"/>
    <w:rsid w:val="00E9399B"/>
    <w:rsid w:val="00E94008"/>
    <w:rsid w:val="00E94762"/>
    <w:rsid w:val="00E96B52"/>
    <w:rsid w:val="00EA10BE"/>
    <w:rsid w:val="00EA2244"/>
    <w:rsid w:val="00EA52F2"/>
    <w:rsid w:val="00EA6B24"/>
    <w:rsid w:val="00EA6FA7"/>
    <w:rsid w:val="00EB067F"/>
    <w:rsid w:val="00EB1F02"/>
    <w:rsid w:val="00EB2D20"/>
    <w:rsid w:val="00EB5BC5"/>
    <w:rsid w:val="00EB6233"/>
    <w:rsid w:val="00EC086C"/>
    <w:rsid w:val="00EC2832"/>
    <w:rsid w:val="00EC42D0"/>
    <w:rsid w:val="00EC638F"/>
    <w:rsid w:val="00EC7E46"/>
    <w:rsid w:val="00ED6C22"/>
    <w:rsid w:val="00ED7363"/>
    <w:rsid w:val="00EE16C9"/>
    <w:rsid w:val="00EE4874"/>
    <w:rsid w:val="00EE574D"/>
    <w:rsid w:val="00EE79A6"/>
    <w:rsid w:val="00EF07DC"/>
    <w:rsid w:val="00EF1D5B"/>
    <w:rsid w:val="00EF6111"/>
    <w:rsid w:val="00EF673D"/>
    <w:rsid w:val="00F005A0"/>
    <w:rsid w:val="00F00C35"/>
    <w:rsid w:val="00F06616"/>
    <w:rsid w:val="00F10BC6"/>
    <w:rsid w:val="00F11352"/>
    <w:rsid w:val="00F1498D"/>
    <w:rsid w:val="00F14DDF"/>
    <w:rsid w:val="00F152AD"/>
    <w:rsid w:val="00F15335"/>
    <w:rsid w:val="00F16161"/>
    <w:rsid w:val="00F20F7C"/>
    <w:rsid w:val="00F21C76"/>
    <w:rsid w:val="00F2285F"/>
    <w:rsid w:val="00F229B7"/>
    <w:rsid w:val="00F23155"/>
    <w:rsid w:val="00F237A6"/>
    <w:rsid w:val="00F24236"/>
    <w:rsid w:val="00F24E0E"/>
    <w:rsid w:val="00F250F9"/>
    <w:rsid w:val="00F26693"/>
    <w:rsid w:val="00F31F40"/>
    <w:rsid w:val="00F36130"/>
    <w:rsid w:val="00F40444"/>
    <w:rsid w:val="00F423BD"/>
    <w:rsid w:val="00F432FF"/>
    <w:rsid w:val="00F4715C"/>
    <w:rsid w:val="00F532A8"/>
    <w:rsid w:val="00F538F6"/>
    <w:rsid w:val="00F53C6A"/>
    <w:rsid w:val="00F54869"/>
    <w:rsid w:val="00F54A02"/>
    <w:rsid w:val="00F556B2"/>
    <w:rsid w:val="00F5754B"/>
    <w:rsid w:val="00F576DE"/>
    <w:rsid w:val="00F63979"/>
    <w:rsid w:val="00F63BF7"/>
    <w:rsid w:val="00F65617"/>
    <w:rsid w:val="00F70F32"/>
    <w:rsid w:val="00F710BE"/>
    <w:rsid w:val="00F73153"/>
    <w:rsid w:val="00F736D2"/>
    <w:rsid w:val="00F741F2"/>
    <w:rsid w:val="00F7564C"/>
    <w:rsid w:val="00F76220"/>
    <w:rsid w:val="00F769BE"/>
    <w:rsid w:val="00F81953"/>
    <w:rsid w:val="00F81F0D"/>
    <w:rsid w:val="00F82E6B"/>
    <w:rsid w:val="00F840F0"/>
    <w:rsid w:val="00F92701"/>
    <w:rsid w:val="00F97B71"/>
    <w:rsid w:val="00F97C28"/>
    <w:rsid w:val="00FA1245"/>
    <w:rsid w:val="00FA2DDA"/>
    <w:rsid w:val="00FA34CA"/>
    <w:rsid w:val="00FA4A55"/>
    <w:rsid w:val="00FA4D4F"/>
    <w:rsid w:val="00FA54E8"/>
    <w:rsid w:val="00FB2D17"/>
    <w:rsid w:val="00FB2F69"/>
    <w:rsid w:val="00FB368B"/>
    <w:rsid w:val="00FB45FF"/>
    <w:rsid w:val="00FB5D97"/>
    <w:rsid w:val="00FC1CA5"/>
    <w:rsid w:val="00FC2979"/>
    <w:rsid w:val="00FC3631"/>
    <w:rsid w:val="00FD1C3C"/>
    <w:rsid w:val="00FD38A8"/>
    <w:rsid w:val="00FD4AC8"/>
    <w:rsid w:val="00FD6AC8"/>
    <w:rsid w:val="00FD730D"/>
    <w:rsid w:val="00FE24FC"/>
    <w:rsid w:val="00FE3EA1"/>
    <w:rsid w:val="00FE4818"/>
    <w:rsid w:val="00FE5D80"/>
    <w:rsid w:val="00FE6190"/>
    <w:rsid w:val="00FE7458"/>
    <w:rsid w:val="00FF1577"/>
    <w:rsid w:val="00FF507C"/>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F1E58AB7-A57F-4C57-8CF7-FCD54765A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6973EC"/>
    <w:pPr>
      <w:keepNext/>
      <w:keepLines/>
      <w:spacing w:before="340" w:after="330" w:line="578" w:lineRule="auto"/>
      <w:outlineLvl w:val="0"/>
    </w:pPr>
    <w:rPr>
      <w:b/>
      <w:bCs/>
      <w:kern w:val="44"/>
      <w:sz w:val="44"/>
      <w:szCs w:val="44"/>
    </w:rPr>
  </w:style>
  <w:style w:type="paragraph" w:styleId="2">
    <w:name w:val="heading 2"/>
    <w:basedOn w:val="a"/>
    <w:next w:val="a0"/>
    <w:qFormat/>
    <w:rsid w:val="00171067"/>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71067"/>
    <w:pPr>
      <w:ind w:firstLineChars="200" w:firstLine="420"/>
    </w:pPr>
  </w:style>
  <w:style w:type="paragraph" w:styleId="a4">
    <w:name w:val="Body Text Indent"/>
    <w:basedOn w:val="a"/>
    <w:rsid w:val="00171067"/>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171067"/>
    <w:rPr>
      <w:rFonts w:ascii="宋体" w:hAnsi="Courier New"/>
      <w:szCs w:val="21"/>
    </w:rPr>
  </w:style>
  <w:style w:type="paragraph" w:styleId="20">
    <w:name w:val="Body Text Indent 2"/>
    <w:basedOn w:val="a"/>
    <w:rsid w:val="00171067"/>
    <w:pPr>
      <w:spacing w:line="560" w:lineRule="exact"/>
      <w:ind w:firstLineChars="200" w:firstLine="480"/>
    </w:pPr>
    <w:rPr>
      <w:rFonts w:ascii="宋体" w:hAnsi="宋体"/>
      <w:color w:val="FF0000"/>
      <w:sz w:val="24"/>
    </w:rPr>
  </w:style>
  <w:style w:type="paragraph" w:styleId="a6">
    <w:name w:val="footer"/>
    <w:basedOn w:val="a"/>
    <w:rsid w:val="00171067"/>
    <w:pPr>
      <w:tabs>
        <w:tab w:val="center" w:pos="4153"/>
        <w:tab w:val="right" w:pos="8306"/>
      </w:tabs>
      <w:snapToGrid w:val="0"/>
      <w:jc w:val="left"/>
    </w:pPr>
    <w:rPr>
      <w:sz w:val="18"/>
      <w:szCs w:val="18"/>
    </w:rPr>
  </w:style>
  <w:style w:type="character" w:styleId="a7">
    <w:name w:val="page number"/>
    <w:basedOn w:val="a1"/>
    <w:rsid w:val="00171067"/>
  </w:style>
  <w:style w:type="character" w:styleId="a8">
    <w:name w:val="Hyperlink"/>
    <w:basedOn w:val="a1"/>
    <w:rsid w:val="00171067"/>
    <w:rPr>
      <w:color w:val="0000FF"/>
      <w:u w:val="single"/>
    </w:rPr>
  </w:style>
  <w:style w:type="paragraph" w:styleId="3">
    <w:name w:val="Body Text Indent 3"/>
    <w:basedOn w:val="a"/>
    <w:rsid w:val="00171067"/>
    <w:pPr>
      <w:spacing w:line="560" w:lineRule="exact"/>
      <w:ind w:firstLineChars="200" w:firstLine="420"/>
    </w:pPr>
    <w:rPr>
      <w:rFonts w:ascii="Arial" w:hAnsi="Arial" w:cs="Arial"/>
      <w:color w:val="FF0000"/>
    </w:rPr>
  </w:style>
  <w:style w:type="paragraph" w:styleId="a9">
    <w:name w:val="header"/>
    <w:basedOn w:val="a"/>
    <w:link w:val="Char0"/>
    <w:uiPriority w:val="99"/>
    <w:rsid w:val="00171067"/>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171067"/>
    <w:rPr>
      <w:color w:val="800080"/>
      <w:u w:val="single"/>
    </w:rPr>
  </w:style>
  <w:style w:type="paragraph" w:styleId="ab">
    <w:name w:val="List"/>
    <w:basedOn w:val="ac"/>
    <w:rsid w:val="00171067"/>
    <w:pPr>
      <w:spacing w:after="220" w:line="220" w:lineRule="atLeast"/>
      <w:ind w:left="1440" w:hanging="360"/>
    </w:pPr>
    <w:rPr>
      <w:szCs w:val="20"/>
    </w:rPr>
  </w:style>
  <w:style w:type="paragraph" w:styleId="ac">
    <w:name w:val="Body Text"/>
    <w:basedOn w:val="a"/>
    <w:rsid w:val="00171067"/>
    <w:pPr>
      <w:spacing w:after="120"/>
    </w:pPr>
  </w:style>
  <w:style w:type="paragraph" w:styleId="ad">
    <w:name w:val="Date"/>
    <w:basedOn w:val="a"/>
    <w:next w:val="a"/>
    <w:link w:val="Char1"/>
    <w:rsid w:val="00171067"/>
    <w:rPr>
      <w:sz w:val="24"/>
      <w:szCs w:val="20"/>
    </w:rPr>
  </w:style>
  <w:style w:type="character" w:customStyle="1" w:styleId="c1">
    <w:name w:val="c1"/>
    <w:basedOn w:val="a1"/>
    <w:rsid w:val="00171067"/>
    <w:rPr>
      <w:color w:val="000000"/>
      <w:sz w:val="18"/>
      <w:szCs w:val="18"/>
    </w:rPr>
  </w:style>
  <w:style w:type="paragraph" w:styleId="10">
    <w:name w:val="index 1"/>
    <w:basedOn w:val="a"/>
    <w:next w:val="a"/>
    <w:autoRedefine/>
    <w:semiHidden/>
    <w:rsid w:val="00171067"/>
    <w:pPr>
      <w:jc w:val="right"/>
    </w:pPr>
    <w:rPr>
      <w:color w:val="008000"/>
    </w:rPr>
  </w:style>
  <w:style w:type="paragraph" w:customStyle="1" w:styleId="font5">
    <w:name w:val="font5"/>
    <w:basedOn w:val="a"/>
    <w:rsid w:val="00171067"/>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171067"/>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171067"/>
    <w:rPr>
      <w:sz w:val="18"/>
      <w:szCs w:val="18"/>
    </w:rPr>
  </w:style>
  <w:style w:type="character" w:styleId="af">
    <w:name w:val="annotation reference"/>
    <w:basedOn w:val="a1"/>
    <w:semiHidden/>
    <w:rsid w:val="00171067"/>
    <w:rPr>
      <w:sz w:val="21"/>
      <w:szCs w:val="21"/>
    </w:rPr>
  </w:style>
  <w:style w:type="paragraph" w:styleId="af0">
    <w:name w:val="annotation text"/>
    <w:basedOn w:val="a"/>
    <w:semiHidden/>
    <w:rsid w:val="00171067"/>
    <w:pPr>
      <w:jc w:val="left"/>
    </w:pPr>
  </w:style>
  <w:style w:type="paragraph" w:styleId="af1">
    <w:name w:val="annotation subject"/>
    <w:basedOn w:val="af0"/>
    <w:next w:val="af0"/>
    <w:semiHidden/>
    <w:rsid w:val="00171067"/>
    <w:rPr>
      <w:b/>
      <w:bCs/>
    </w:rPr>
  </w:style>
  <w:style w:type="paragraph" w:customStyle="1" w:styleId="Char2">
    <w:name w:val="Char"/>
    <w:basedOn w:val="a"/>
    <w:rsid w:val="00171067"/>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5">
    <w:name w:val="样式5"/>
    <w:rsid w:val="00B72596"/>
    <w:pPr>
      <w:numPr>
        <w:numId w:val="6"/>
      </w:numPr>
    </w:pPr>
  </w:style>
  <w:style w:type="character" w:customStyle="1" w:styleId="t1">
    <w:name w:val="t1"/>
    <w:rsid w:val="004E386C"/>
    <w:rPr>
      <w:color w:val="990000"/>
    </w:rPr>
  </w:style>
  <w:style w:type="character" w:customStyle="1" w:styleId="m1">
    <w:name w:val="m1"/>
    <w:rsid w:val="004E386C"/>
    <w:rPr>
      <w:color w:val="0000FF"/>
    </w:rPr>
  </w:style>
  <w:style w:type="character" w:customStyle="1" w:styleId="Char">
    <w:name w:val="纯文本 Char"/>
    <w:link w:val="a5"/>
    <w:uiPriority w:val="99"/>
    <w:rsid w:val="00402ED1"/>
    <w:rPr>
      <w:rFonts w:ascii="宋体" w:hAnsi="Courier New"/>
      <w:kern w:val="2"/>
      <w:sz w:val="21"/>
      <w:szCs w:val="21"/>
    </w:rPr>
  </w:style>
  <w:style w:type="paragraph" w:customStyle="1" w:styleId="Default">
    <w:name w:val="Default"/>
    <w:rsid w:val="00C73818"/>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C136D7"/>
    <w:rPr>
      <w:kern w:val="2"/>
      <w:sz w:val="18"/>
      <w:szCs w:val="18"/>
    </w:rPr>
  </w:style>
  <w:style w:type="character" w:customStyle="1" w:styleId="1Char">
    <w:name w:val="标题 1 Char"/>
    <w:basedOn w:val="a1"/>
    <w:link w:val="1"/>
    <w:rsid w:val="006973EC"/>
    <w:rPr>
      <w:b/>
      <w:bCs/>
      <w:kern w:val="44"/>
      <w:sz w:val="44"/>
      <w:szCs w:val="44"/>
    </w:rPr>
  </w:style>
  <w:style w:type="character" w:customStyle="1" w:styleId="Char1">
    <w:name w:val="日期 Char"/>
    <w:basedOn w:val="a1"/>
    <w:link w:val="ad"/>
    <w:rsid w:val="00294DD0"/>
    <w:rPr>
      <w:kern w:val="2"/>
      <w:sz w:val="24"/>
    </w:rPr>
  </w:style>
  <w:style w:type="character" w:styleId="af8">
    <w:name w:val="Strong"/>
    <w:basedOn w:val="a1"/>
    <w:uiPriority w:val="22"/>
    <w:qFormat/>
    <w:rsid w:val="004911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06975386">
      <w:bodyDiv w:val="1"/>
      <w:marLeft w:val="0"/>
      <w:marRight w:val="0"/>
      <w:marTop w:val="0"/>
      <w:marBottom w:val="0"/>
      <w:divBdr>
        <w:top w:val="none" w:sz="0" w:space="0" w:color="auto"/>
        <w:left w:val="none" w:sz="0" w:space="0" w:color="auto"/>
        <w:bottom w:val="none" w:sz="0" w:space="0" w:color="auto"/>
        <w:right w:val="none" w:sz="0" w:space="0" w:color="auto"/>
      </w:divBdr>
    </w:div>
    <w:div w:id="108742882">
      <w:bodyDiv w:val="1"/>
      <w:marLeft w:val="0"/>
      <w:marRight w:val="0"/>
      <w:marTop w:val="0"/>
      <w:marBottom w:val="0"/>
      <w:divBdr>
        <w:top w:val="none" w:sz="0" w:space="0" w:color="auto"/>
        <w:left w:val="none" w:sz="0" w:space="0" w:color="auto"/>
        <w:bottom w:val="none" w:sz="0" w:space="0" w:color="auto"/>
        <w:right w:val="none" w:sz="0" w:space="0" w:color="auto"/>
      </w:divBdr>
    </w:div>
    <w:div w:id="188841736">
      <w:bodyDiv w:val="1"/>
      <w:marLeft w:val="0"/>
      <w:marRight w:val="0"/>
      <w:marTop w:val="0"/>
      <w:marBottom w:val="0"/>
      <w:divBdr>
        <w:top w:val="none" w:sz="0" w:space="0" w:color="auto"/>
        <w:left w:val="none" w:sz="0" w:space="0" w:color="auto"/>
        <w:bottom w:val="none" w:sz="0" w:space="0" w:color="auto"/>
        <w:right w:val="none" w:sz="0" w:space="0" w:color="auto"/>
      </w:divBdr>
    </w:div>
    <w:div w:id="223832582">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31490476">
      <w:bodyDiv w:val="1"/>
      <w:marLeft w:val="0"/>
      <w:marRight w:val="0"/>
      <w:marTop w:val="0"/>
      <w:marBottom w:val="0"/>
      <w:divBdr>
        <w:top w:val="none" w:sz="0" w:space="0" w:color="auto"/>
        <w:left w:val="none" w:sz="0" w:space="0" w:color="auto"/>
        <w:bottom w:val="none" w:sz="0" w:space="0" w:color="auto"/>
        <w:right w:val="none" w:sz="0" w:space="0" w:color="auto"/>
      </w:divBdr>
    </w:div>
    <w:div w:id="655113944">
      <w:bodyDiv w:val="1"/>
      <w:marLeft w:val="0"/>
      <w:marRight w:val="0"/>
      <w:marTop w:val="0"/>
      <w:marBottom w:val="0"/>
      <w:divBdr>
        <w:top w:val="none" w:sz="0" w:space="0" w:color="auto"/>
        <w:left w:val="none" w:sz="0" w:space="0" w:color="auto"/>
        <w:bottom w:val="none" w:sz="0" w:space="0" w:color="auto"/>
        <w:right w:val="none" w:sz="0" w:space="0" w:color="auto"/>
      </w:divBdr>
    </w:div>
    <w:div w:id="665864550">
      <w:bodyDiv w:val="1"/>
      <w:marLeft w:val="0"/>
      <w:marRight w:val="0"/>
      <w:marTop w:val="0"/>
      <w:marBottom w:val="0"/>
      <w:divBdr>
        <w:top w:val="none" w:sz="0" w:space="0" w:color="auto"/>
        <w:left w:val="none" w:sz="0" w:space="0" w:color="auto"/>
        <w:bottom w:val="none" w:sz="0" w:space="0" w:color="auto"/>
        <w:right w:val="none" w:sz="0" w:space="0" w:color="auto"/>
      </w:divBdr>
    </w:div>
    <w:div w:id="673456134">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02306911">
      <w:bodyDiv w:val="1"/>
      <w:marLeft w:val="0"/>
      <w:marRight w:val="0"/>
      <w:marTop w:val="0"/>
      <w:marBottom w:val="0"/>
      <w:divBdr>
        <w:top w:val="none" w:sz="0" w:space="0" w:color="auto"/>
        <w:left w:val="none" w:sz="0" w:space="0" w:color="auto"/>
        <w:bottom w:val="none" w:sz="0" w:space="0" w:color="auto"/>
        <w:right w:val="none" w:sz="0" w:space="0" w:color="auto"/>
      </w:divBdr>
    </w:div>
    <w:div w:id="995836840">
      <w:bodyDiv w:val="1"/>
      <w:marLeft w:val="0"/>
      <w:marRight w:val="0"/>
      <w:marTop w:val="0"/>
      <w:marBottom w:val="0"/>
      <w:divBdr>
        <w:top w:val="none" w:sz="0" w:space="0" w:color="auto"/>
        <w:left w:val="none" w:sz="0" w:space="0" w:color="auto"/>
        <w:bottom w:val="none" w:sz="0" w:space="0" w:color="auto"/>
        <w:right w:val="none" w:sz="0" w:space="0" w:color="auto"/>
      </w:divBdr>
    </w:div>
    <w:div w:id="1155953967">
      <w:bodyDiv w:val="1"/>
      <w:marLeft w:val="0"/>
      <w:marRight w:val="0"/>
      <w:marTop w:val="0"/>
      <w:marBottom w:val="0"/>
      <w:divBdr>
        <w:top w:val="none" w:sz="0" w:space="0" w:color="auto"/>
        <w:left w:val="none" w:sz="0" w:space="0" w:color="auto"/>
        <w:bottom w:val="none" w:sz="0" w:space="0" w:color="auto"/>
        <w:right w:val="none" w:sz="0" w:space="0" w:color="auto"/>
      </w:divBdr>
    </w:div>
    <w:div w:id="1224368644">
      <w:bodyDiv w:val="1"/>
      <w:marLeft w:val="0"/>
      <w:marRight w:val="0"/>
      <w:marTop w:val="0"/>
      <w:marBottom w:val="0"/>
      <w:divBdr>
        <w:top w:val="none" w:sz="0" w:space="0" w:color="auto"/>
        <w:left w:val="none" w:sz="0" w:space="0" w:color="auto"/>
        <w:bottom w:val="none" w:sz="0" w:space="0" w:color="auto"/>
        <w:right w:val="none" w:sz="0" w:space="0" w:color="auto"/>
      </w:divBdr>
    </w:div>
    <w:div w:id="1292370086">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28572465">
      <w:bodyDiv w:val="1"/>
      <w:marLeft w:val="0"/>
      <w:marRight w:val="0"/>
      <w:marTop w:val="0"/>
      <w:marBottom w:val="0"/>
      <w:divBdr>
        <w:top w:val="none" w:sz="0" w:space="0" w:color="auto"/>
        <w:left w:val="none" w:sz="0" w:space="0" w:color="auto"/>
        <w:bottom w:val="none" w:sz="0" w:space="0" w:color="auto"/>
        <w:right w:val="none" w:sz="0" w:space="0" w:color="auto"/>
      </w:divBdr>
    </w:div>
    <w:div w:id="1448623340">
      <w:bodyDiv w:val="1"/>
      <w:marLeft w:val="0"/>
      <w:marRight w:val="0"/>
      <w:marTop w:val="0"/>
      <w:marBottom w:val="0"/>
      <w:divBdr>
        <w:top w:val="none" w:sz="0" w:space="0" w:color="auto"/>
        <w:left w:val="none" w:sz="0" w:space="0" w:color="auto"/>
        <w:bottom w:val="none" w:sz="0" w:space="0" w:color="auto"/>
        <w:right w:val="none" w:sz="0" w:space="0" w:color="auto"/>
      </w:divBdr>
    </w:div>
    <w:div w:id="1456631699">
      <w:bodyDiv w:val="1"/>
      <w:marLeft w:val="0"/>
      <w:marRight w:val="0"/>
      <w:marTop w:val="0"/>
      <w:marBottom w:val="0"/>
      <w:divBdr>
        <w:top w:val="none" w:sz="0" w:space="0" w:color="auto"/>
        <w:left w:val="none" w:sz="0" w:space="0" w:color="auto"/>
        <w:bottom w:val="none" w:sz="0" w:space="0" w:color="auto"/>
        <w:right w:val="none" w:sz="0" w:space="0" w:color="auto"/>
      </w:divBdr>
    </w:div>
    <w:div w:id="1462846141">
      <w:bodyDiv w:val="1"/>
      <w:marLeft w:val="0"/>
      <w:marRight w:val="0"/>
      <w:marTop w:val="0"/>
      <w:marBottom w:val="0"/>
      <w:divBdr>
        <w:top w:val="none" w:sz="0" w:space="0" w:color="auto"/>
        <w:left w:val="none" w:sz="0" w:space="0" w:color="auto"/>
        <w:bottom w:val="none" w:sz="0" w:space="0" w:color="auto"/>
        <w:right w:val="none" w:sz="0" w:space="0" w:color="auto"/>
      </w:divBdr>
    </w:div>
    <w:div w:id="1491367987">
      <w:bodyDiv w:val="1"/>
      <w:marLeft w:val="0"/>
      <w:marRight w:val="0"/>
      <w:marTop w:val="0"/>
      <w:marBottom w:val="0"/>
      <w:divBdr>
        <w:top w:val="none" w:sz="0" w:space="0" w:color="auto"/>
        <w:left w:val="none" w:sz="0" w:space="0" w:color="auto"/>
        <w:bottom w:val="none" w:sz="0" w:space="0" w:color="auto"/>
        <w:right w:val="none" w:sz="0" w:space="0" w:color="auto"/>
      </w:divBdr>
    </w:div>
    <w:div w:id="1551649530">
      <w:bodyDiv w:val="1"/>
      <w:marLeft w:val="0"/>
      <w:marRight w:val="0"/>
      <w:marTop w:val="0"/>
      <w:marBottom w:val="0"/>
      <w:divBdr>
        <w:top w:val="none" w:sz="0" w:space="0" w:color="auto"/>
        <w:left w:val="none" w:sz="0" w:space="0" w:color="auto"/>
        <w:bottom w:val="none" w:sz="0" w:space="0" w:color="auto"/>
        <w:right w:val="none" w:sz="0" w:space="0" w:color="auto"/>
      </w:divBdr>
    </w:div>
    <w:div w:id="1591622299">
      <w:bodyDiv w:val="1"/>
      <w:marLeft w:val="0"/>
      <w:marRight w:val="0"/>
      <w:marTop w:val="0"/>
      <w:marBottom w:val="0"/>
      <w:divBdr>
        <w:top w:val="none" w:sz="0" w:space="0" w:color="auto"/>
        <w:left w:val="none" w:sz="0" w:space="0" w:color="auto"/>
        <w:bottom w:val="none" w:sz="0" w:space="0" w:color="auto"/>
        <w:right w:val="none" w:sz="0" w:space="0" w:color="auto"/>
      </w:divBdr>
    </w:div>
    <w:div w:id="1609118636">
      <w:bodyDiv w:val="1"/>
      <w:marLeft w:val="0"/>
      <w:marRight w:val="0"/>
      <w:marTop w:val="0"/>
      <w:marBottom w:val="0"/>
      <w:divBdr>
        <w:top w:val="none" w:sz="0" w:space="0" w:color="auto"/>
        <w:left w:val="none" w:sz="0" w:space="0" w:color="auto"/>
        <w:bottom w:val="none" w:sz="0" w:space="0" w:color="auto"/>
        <w:right w:val="none" w:sz="0" w:space="0" w:color="auto"/>
      </w:divBdr>
    </w:div>
    <w:div w:id="1649238446">
      <w:bodyDiv w:val="1"/>
      <w:marLeft w:val="0"/>
      <w:marRight w:val="0"/>
      <w:marTop w:val="0"/>
      <w:marBottom w:val="0"/>
      <w:divBdr>
        <w:top w:val="none" w:sz="0" w:space="0" w:color="auto"/>
        <w:left w:val="none" w:sz="0" w:space="0" w:color="auto"/>
        <w:bottom w:val="none" w:sz="0" w:space="0" w:color="auto"/>
        <w:right w:val="none" w:sz="0" w:space="0" w:color="auto"/>
      </w:divBdr>
    </w:div>
    <w:div w:id="1730575389">
      <w:bodyDiv w:val="1"/>
      <w:marLeft w:val="0"/>
      <w:marRight w:val="0"/>
      <w:marTop w:val="0"/>
      <w:marBottom w:val="0"/>
      <w:divBdr>
        <w:top w:val="none" w:sz="0" w:space="0" w:color="auto"/>
        <w:left w:val="none" w:sz="0" w:space="0" w:color="auto"/>
        <w:bottom w:val="none" w:sz="0" w:space="0" w:color="auto"/>
        <w:right w:val="none" w:sz="0" w:space="0" w:color="auto"/>
      </w:divBdr>
    </w:div>
    <w:div w:id="1795323283">
      <w:bodyDiv w:val="1"/>
      <w:marLeft w:val="0"/>
      <w:marRight w:val="0"/>
      <w:marTop w:val="0"/>
      <w:marBottom w:val="0"/>
      <w:divBdr>
        <w:top w:val="none" w:sz="0" w:space="0" w:color="auto"/>
        <w:left w:val="none" w:sz="0" w:space="0" w:color="auto"/>
        <w:bottom w:val="none" w:sz="0" w:space="0" w:color="auto"/>
        <w:right w:val="none" w:sz="0" w:space="0" w:color="auto"/>
      </w:divBdr>
    </w:div>
    <w:div w:id="1816334313">
      <w:bodyDiv w:val="1"/>
      <w:marLeft w:val="0"/>
      <w:marRight w:val="0"/>
      <w:marTop w:val="0"/>
      <w:marBottom w:val="0"/>
      <w:divBdr>
        <w:top w:val="none" w:sz="0" w:space="0" w:color="auto"/>
        <w:left w:val="none" w:sz="0" w:space="0" w:color="auto"/>
        <w:bottom w:val="none" w:sz="0" w:space="0" w:color="auto"/>
        <w:right w:val="none" w:sz="0" w:space="0" w:color="auto"/>
      </w:divBdr>
    </w:div>
    <w:div w:id="1834908079">
      <w:bodyDiv w:val="1"/>
      <w:marLeft w:val="0"/>
      <w:marRight w:val="0"/>
      <w:marTop w:val="0"/>
      <w:marBottom w:val="0"/>
      <w:divBdr>
        <w:top w:val="none" w:sz="0" w:space="0" w:color="auto"/>
        <w:left w:val="none" w:sz="0" w:space="0" w:color="auto"/>
        <w:bottom w:val="none" w:sz="0" w:space="0" w:color="auto"/>
        <w:right w:val="none" w:sz="0" w:space="0" w:color="auto"/>
      </w:divBdr>
    </w:div>
    <w:div w:id="1984847970">
      <w:bodyDiv w:val="1"/>
      <w:marLeft w:val="0"/>
      <w:marRight w:val="0"/>
      <w:marTop w:val="0"/>
      <w:marBottom w:val="0"/>
      <w:divBdr>
        <w:top w:val="none" w:sz="0" w:space="0" w:color="auto"/>
        <w:left w:val="none" w:sz="0" w:space="0" w:color="auto"/>
        <w:bottom w:val="none" w:sz="0" w:space="0" w:color="auto"/>
        <w:right w:val="none" w:sz="0" w:space="0" w:color="auto"/>
      </w:divBdr>
    </w:div>
    <w:div w:id="200593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temp\etf.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888F1-8807-4457-A81A-076D45CDC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etf.dot</Template>
  <TotalTime>320</TotalTime>
  <Pages>13</Pages>
  <Words>1064</Words>
  <Characters>6065</Characters>
  <Application>Microsoft Office Word</Application>
  <DocSecurity>0</DocSecurity>
  <Lines>50</Lines>
  <Paragraphs>14</Paragraphs>
  <ScaleCrop>false</ScaleCrop>
  <Company>TRT. Ltd. Co.</Company>
  <LinksUpToDate>false</LinksUpToDate>
  <CharactersWithSpaces>7115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391</cp:revision>
  <cp:lastPrinted>2007-07-19T00:46:00Z</cp:lastPrinted>
  <dcterms:created xsi:type="dcterms:W3CDTF">2012-11-13T02:08:00Z</dcterms:created>
  <dcterms:modified xsi:type="dcterms:W3CDTF">2015-07-15T06:20:00Z</dcterms:modified>
</cp:coreProperties>
</file>