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二〇一五年七月十八日</w:t>
      </w:r>
    </w:p>
    <w:p w:rsidR="009238DB" w:rsidRPr="007F52FA" w:rsidRDefault="009238DB" w:rsidP="001949CA">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95D51" w:rsidRDefault="00EB2E7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95D51" w:rsidRDefault="00EB2E73">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95D51" w:rsidRDefault="00EB2E7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95D51" w:rsidRDefault="00EB2E7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95D51" w:rsidRDefault="00EB2E7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1949CA">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1,623,775,907.26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1,423,743,940.00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200,031,967.26</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1949CA">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4</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55,065,830.86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16,672,980.18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14,303,753.18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17,698,253.64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0.0129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0.0552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1,815,611,995.49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250,530,366.84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1.275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1.252</w:t>
            </w:r>
          </w:p>
        </w:tc>
      </w:tr>
    </w:tbl>
    <w:p w:rsidR="00A95D51" w:rsidRDefault="00EB2E7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w:t>
      </w:r>
      <w:r w:rsidRPr="007F52FA">
        <w:rPr>
          <w:rFonts w:eastAsiaTheme="minorEastAsia"/>
          <w:color w:val="000000"/>
          <w:sz w:val="24"/>
        </w:rPr>
        <w:lastRenderedPageBreak/>
        <w:t>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95D51">
        <w:trPr>
          <w:jc w:val="center"/>
        </w:trPr>
        <w:tc>
          <w:tcPr>
            <w:tcW w:w="1266" w:type="dxa"/>
            <w:vAlign w:val="center"/>
          </w:tcPr>
          <w:p w:rsidR="00A95D51" w:rsidRDefault="00EB2E73">
            <w:pPr>
              <w:jc w:val="left"/>
            </w:pPr>
            <w:r>
              <w:rPr>
                <w:color w:val="000000"/>
                <w:sz w:val="24"/>
              </w:rPr>
              <w:t>过去三个月</w:t>
            </w:r>
          </w:p>
        </w:tc>
        <w:tc>
          <w:tcPr>
            <w:tcW w:w="1267" w:type="dxa"/>
            <w:vAlign w:val="center"/>
          </w:tcPr>
          <w:p w:rsidR="00A95D51" w:rsidRDefault="00EB2E73">
            <w:pPr>
              <w:jc w:val="center"/>
            </w:pPr>
            <w:r>
              <w:rPr>
                <w:color w:val="000000"/>
                <w:sz w:val="24"/>
              </w:rPr>
              <w:t>4.18%</w:t>
            </w:r>
          </w:p>
        </w:tc>
        <w:tc>
          <w:tcPr>
            <w:tcW w:w="1267" w:type="dxa"/>
            <w:vAlign w:val="center"/>
          </w:tcPr>
          <w:p w:rsidR="00A95D51" w:rsidRDefault="00EB2E73">
            <w:pPr>
              <w:jc w:val="center"/>
            </w:pPr>
            <w:r>
              <w:rPr>
                <w:color w:val="000000"/>
                <w:sz w:val="24"/>
              </w:rPr>
              <w:t>0.72%</w:t>
            </w:r>
          </w:p>
        </w:tc>
        <w:tc>
          <w:tcPr>
            <w:tcW w:w="1267" w:type="dxa"/>
            <w:vAlign w:val="center"/>
          </w:tcPr>
          <w:p w:rsidR="00A95D51" w:rsidRDefault="00EB2E73">
            <w:pPr>
              <w:jc w:val="center"/>
            </w:pPr>
            <w:r>
              <w:rPr>
                <w:color w:val="000000"/>
                <w:sz w:val="24"/>
              </w:rPr>
              <w:t>2.41%</w:t>
            </w:r>
          </w:p>
        </w:tc>
        <w:tc>
          <w:tcPr>
            <w:tcW w:w="1267" w:type="dxa"/>
            <w:vAlign w:val="center"/>
          </w:tcPr>
          <w:p w:rsidR="00A95D51" w:rsidRDefault="00EB2E73">
            <w:pPr>
              <w:jc w:val="center"/>
            </w:pPr>
            <w:r>
              <w:rPr>
                <w:color w:val="000000"/>
                <w:sz w:val="24"/>
              </w:rPr>
              <w:t>0.28%</w:t>
            </w:r>
          </w:p>
        </w:tc>
        <w:tc>
          <w:tcPr>
            <w:tcW w:w="1267" w:type="dxa"/>
            <w:vAlign w:val="center"/>
          </w:tcPr>
          <w:p w:rsidR="00A95D51" w:rsidRDefault="00EB2E73">
            <w:pPr>
              <w:jc w:val="center"/>
            </w:pPr>
            <w:r>
              <w:rPr>
                <w:color w:val="000000"/>
                <w:sz w:val="24"/>
              </w:rPr>
              <w:t>1.77%</w:t>
            </w:r>
          </w:p>
        </w:tc>
        <w:tc>
          <w:tcPr>
            <w:tcW w:w="1267" w:type="dxa"/>
            <w:vAlign w:val="center"/>
          </w:tcPr>
          <w:p w:rsidR="00A95D51" w:rsidRDefault="00EB2E73">
            <w:pPr>
              <w:jc w:val="center"/>
            </w:pPr>
            <w:r>
              <w:rPr>
                <w:color w:val="000000"/>
                <w:sz w:val="24"/>
              </w:rPr>
              <w:t>0.44%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95D51">
        <w:trPr>
          <w:jc w:val="center"/>
        </w:trPr>
        <w:tc>
          <w:tcPr>
            <w:tcW w:w="1266" w:type="dxa"/>
            <w:vAlign w:val="center"/>
          </w:tcPr>
          <w:p w:rsidR="00A95D51" w:rsidRDefault="00EB2E73">
            <w:pPr>
              <w:jc w:val="left"/>
            </w:pPr>
            <w:r>
              <w:rPr>
                <w:color w:val="000000"/>
                <w:sz w:val="24"/>
              </w:rPr>
              <w:t>过去三个月</w:t>
            </w:r>
          </w:p>
        </w:tc>
        <w:tc>
          <w:tcPr>
            <w:tcW w:w="1267" w:type="dxa"/>
            <w:vAlign w:val="center"/>
          </w:tcPr>
          <w:p w:rsidR="00A95D51" w:rsidRDefault="00EB2E73">
            <w:pPr>
              <w:jc w:val="center"/>
            </w:pPr>
            <w:r>
              <w:rPr>
                <w:color w:val="000000"/>
                <w:sz w:val="24"/>
              </w:rPr>
              <w:t>4.00%</w:t>
            </w:r>
          </w:p>
        </w:tc>
        <w:tc>
          <w:tcPr>
            <w:tcW w:w="1267" w:type="dxa"/>
            <w:vAlign w:val="center"/>
          </w:tcPr>
          <w:p w:rsidR="00A95D51" w:rsidRDefault="00EB2E73">
            <w:pPr>
              <w:jc w:val="center"/>
            </w:pPr>
            <w:r>
              <w:rPr>
                <w:color w:val="000000"/>
                <w:sz w:val="24"/>
              </w:rPr>
              <w:t>0.72%</w:t>
            </w:r>
          </w:p>
        </w:tc>
        <w:tc>
          <w:tcPr>
            <w:tcW w:w="1267" w:type="dxa"/>
            <w:vAlign w:val="center"/>
          </w:tcPr>
          <w:p w:rsidR="00A95D51" w:rsidRDefault="00EB2E73">
            <w:pPr>
              <w:jc w:val="center"/>
            </w:pPr>
            <w:r>
              <w:rPr>
                <w:color w:val="000000"/>
                <w:sz w:val="24"/>
              </w:rPr>
              <w:t>2.41%</w:t>
            </w:r>
          </w:p>
        </w:tc>
        <w:tc>
          <w:tcPr>
            <w:tcW w:w="1267" w:type="dxa"/>
            <w:vAlign w:val="center"/>
          </w:tcPr>
          <w:p w:rsidR="00A95D51" w:rsidRDefault="00EB2E73">
            <w:pPr>
              <w:jc w:val="center"/>
            </w:pPr>
            <w:r>
              <w:rPr>
                <w:color w:val="000000"/>
                <w:sz w:val="24"/>
              </w:rPr>
              <w:t>0.28%</w:t>
            </w:r>
          </w:p>
        </w:tc>
        <w:tc>
          <w:tcPr>
            <w:tcW w:w="1267" w:type="dxa"/>
            <w:vAlign w:val="center"/>
          </w:tcPr>
          <w:p w:rsidR="00A95D51" w:rsidRDefault="00EB2E73">
            <w:pPr>
              <w:jc w:val="center"/>
            </w:pPr>
            <w:r>
              <w:rPr>
                <w:color w:val="000000"/>
                <w:sz w:val="24"/>
              </w:rPr>
              <w:t>1.59%</w:t>
            </w:r>
          </w:p>
        </w:tc>
        <w:tc>
          <w:tcPr>
            <w:tcW w:w="1267" w:type="dxa"/>
            <w:vAlign w:val="center"/>
          </w:tcPr>
          <w:p w:rsidR="00A95D51" w:rsidRDefault="00EB2E73">
            <w:pPr>
              <w:jc w:val="center"/>
            </w:pPr>
            <w:r>
              <w:rPr>
                <w:color w:val="000000"/>
                <w:sz w:val="24"/>
              </w:rPr>
              <w:t>0.44%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1949CA">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95D51">
        <w:trPr>
          <w:jc w:val="center"/>
        </w:trPr>
        <w:tc>
          <w:tcPr>
            <w:tcW w:w="946" w:type="dxa"/>
            <w:vAlign w:val="center"/>
          </w:tcPr>
          <w:p w:rsidR="00A95D51" w:rsidRDefault="00EB2E73">
            <w:pPr>
              <w:jc w:val="center"/>
            </w:pPr>
            <w:r>
              <w:rPr>
                <w:color w:val="000000"/>
                <w:sz w:val="24"/>
              </w:rPr>
              <w:t>项廷锋</w:t>
            </w:r>
          </w:p>
        </w:tc>
        <w:tc>
          <w:tcPr>
            <w:tcW w:w="924" w:type="dxa"/>
            <w:vAlign w:val="center"/>
          </w:tcPr>
          <w:p w:rsidR="00A95D51" w:rsidRDefault="00EB2E73">
            <w:pPr>
              <w:jc w:val="center"/>
            </w:pPr>
            <w:r>
              <w:rPr>
                <w:color w:val="000000"/>
                <w:sz w:val="24"/>
              </w:rPr>
              <w:t>本基金、交银策略回报混合、交银荣祥保本混合、交银荣泰保本混合、交银周期回报灵活配置混合、交银新回报灵活配置混合、交银荣和保本混合、交银多策略回报灵活配置混合的基金经理，公司投资总监</w:t>
            </w:r>
          </w:p>
        </w:tc>
        <w:tc>
          <w:tcPr>
            <w:tcW w:w="1202" w:type="dxa"/>
            <w:vAlign w:val="center"/>
          </w:tcPr>
          <w:p w:rsidR="00A95D51" w:rsidRDefault="00EB2E73">
            <w:pPr>
              <w:jc w:val="center"/>
            </w:pPr>
            <w:r>
              <w:rPr>
                <w:color w:val="000000"/>
                <w:sz w:val="24"/>
              </w:rPr>
              <w:t>2014-08-04</w:t>
            </w:r>
          </w:p>
        </w:tc>
        <w:tc>
          <w:tcPr>
            <w:tcW w:w="1300" w:type="dxa"/>
            <w:vAlign w:val="center"/>
          </w:tcPr>
          <w:p w:rsidR="00A95D51" w:rsidRDefault="00EB2E73">
            <w:pPr>
              <w:jc w:val="center"/>
            </w:pPr>
            <w:r>
              <w:rPr>
                <w:color w:val="000000"/>
                <w:sz w:val="24"/>
              </w:rPr>
              <w:t>-</w:t>
            </w:r>
          </w:p>
        </w:tc>
        <w:tc>
          <w:tcPr>
            <w:tcW w:w="1245" w:type="dxa"/>
            <w:vAlign w:val="center"/>
          </w:tcPr>
          <w:p w:rsidR="00A95D51" w:rsidRDefault="00EB2E73">
            <w:pPr>
              <w:jc w:val="center"/>
            </w:pPr>
            <w:r>
              <w:rPr>
                <w:color w:val="000000"/>
                <w:sz w:val="24"/>
              </w:rPr>
              <w:t>16</w:t>
            </w:r>
            <w:r>
              <w:rPr>
                <w:color w:val="000000"/>
                <w:sz w:val="24"/>
              </w:rPr>
              <w:t>年</w:t>
            </w:r>
          </w:p>
        </w:tc>
        <w:tc>
          <w:tcPr>
            <w:tcW w:w="3251" w:type="dxa"/>
            <w:vAlign w:val="center"/>
          </w:tcPr>
          <w:p w:rsidR="00A95D51" w:rsidRDefault="00EB2E73">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2014</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日担任交银施罗德定期支付双息平衡混合型证券投资基金基金经理。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A95D51" w:rsidRDefault="00EB2E7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95D51" w:rsidRDefault="00EB2E7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95D51" w:rsidRDefault="00EB2E7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A95D51" w:rsidRDefault="00EB2E73">
      <w:pPr>
        <w:spacing w:before="29" w:line="288" w:lineRule="auto"/>
        <w:ind w:firstLineChars="200" w:firstLine="480"/>
        <w:rPr>
          <w:color w:val="000000"/>
          <w:sz w:val="24"/>
        </w:rPr>
      </w:pPr>
      <w:r>
        <w:rPr>
          <w:color w:val="000000"/>
          <w:sz w:val="24"/>
        </w:rPr>
        <w:t>二季度经济增长存在保</w:t>
      </w:r>
      <w:r>
        <w:rPr>
          <w:color w:val="000000"/>
          <w:sz w:val="24"/>
        </w:rPr>
        <w:t>7%</w:t>
      </w:r>
      <w:r>
        <w:rPr>
          <w:color w:val="000000"/>
          <w:sz w:val="24"/>
        </w:rPr>
        <w:t>压力，</w:t>
      </w:r>
      <w:r>
        <w:rPr>
          <w:color w:val="000000"/>
          <w:sz w:val="24"/>
        </w:rPr>
        <w:t>CPI</w:t>
      </w:r>
      <w:r>
        <w:rPr>
          <w:color w:val="000000"/>
          <w:sz w:val="24"/>
        </w:rPr>
        <w:t>在</w:t>
      </w:r>
      <w:r>
        <w:rPr>
          <w:color w:val="000000"/>
          <w:sz w:val="24"/>
        </w:rPr>
        <w:t>2%</w:t>
      </w:r>
      <w:r>
        <w:rPr>
          <w:color w:val="000000"/>
          <w:sz w:val="24"/>
        </w:rPr>
        <w:t>之下低位运行；与此相对应，政策层面</w:t>
      </w:r>
      <w:r>
        <w:rPr>
          <w:color w:val="000000"/>
          <w:sz w:val="24"/>
        </w:rPr>
        <w:t>“</w:t>
      </w:r>
      <w:r>
        <w:rPr>
          <w:color w:val="000000"/>
          <w:sz w:val="24"/>
        </w:rPr>
        <w:t>稳增长</w:t>
      </w:r>
      <w:r>
        <w:rPr>
          <w:color w:val="000000"/>
          <w:sz w:val="24"/>
        </w:rPr>
        <w:t>”</w:t>
      </w:r>
      <w:r>
        <w:rPr>
          <w:color w:val="000000"/>
          <w:sz w:val="24"/>
        </w:rPr>
        <w:t>与</w:t>
      </w:r>
      <w:r>
        <w:rPr>
          <w:color w:val="000000"/>
          <w:sz w:val="24"/>
        </w:rPr>
        <w:t>“</w:t>
      </w:r>
      <w:r>
        <w:rPr>
          <w:color w:val="000000"/>
          <w:sz w:val="24"/>
        </w:rPr>
        <w:t>促转型</w:t>
      </w:r>
      <w:r>
        <w:rPr>
          <w:color w:val="000000"/>
          <w:sz w:val="24"/>
        </w:rPr>
        <w:t>”</w:t>
      </w:r>
      <w:r>
        <w:rPr>
          <w:color w:val="000000"/>
          <w:sz w:val="24"/>
        </w:rPr>
        <w:t>并重，货币和财政政策</w:t>
      </w:r>
      <w:r>
        <w:rPr>
          <w:color w:val="000000"/>
          <w:sz w:val="24"/>
        </w:rPr>
        <w:t>“</w:t>
      </w:r>
      <w:r>
        <w:rPr>
          <w:color w:val="000000"/>
          <w:sz w:val="24"/>
        </w:rPr>
        <w:t>双宽</w:t>
      </w:r>
      <w:r>
        <w:rPr>
          <w:color w:val="000000"/>
          <w:sz w:val="24"/>
        </w:rPr>
        <w:t>”</w:t>
      </w:r>
      <w:r>
        <w:rPr>
          <w:color w:val="000000"/>
          <w:sz w:val="24"/>
        </w:rPr>
        <w:t>，宏观经济维持</w:t>
      </w:r>
      <w:r>
        <w:rPr>
          <w:color w:val="000000"/>
          <w:sz w:val="24"/>
        </w:rPr>
        <w:t>“</w:t>
      </w:r>
      <w:r>
        <w:rPr>
          <w:color w:val="000000"/>
          <w:sz w:val="24"/>
        </w:rPr>
        <w:t>新常态</w:t>
      </w:r>
      <w:r>
        <w:rPr>
          <w:color w:val="000000"/>
          <w:sz w:val="24"/>
        </w:rPr>
        <w:t>”</w:t>
      </w:r>
      <w:r>
        <w:rPr>
          <w:color w:val="000000"/>
          <w:sz w:val="24"/>
        </w:rPr>
        <w:t>。股票市场方面，在牛市预期的推动下，投资者多帐户、资金跑步入场、部分投资者疯狂加杠杆，</w:t>
      </w:r>
      <w:r>
        <w:rPr>
          <w:color w:val="000000"/>
          <w:sz w:val="24"/>
        </w:rPr>
        <w:t>“</w:t>
      </w:r>
      <w:r>
        <w:rPr>
          <w:color w:val="000000"/>
          <w:sz w:val="24"/>
        </w:rPr>
        <w:t>杠杆牛</w:t>
      </w:r>
      <w:r>
        <w:rPr>
          <w:color w:val="000000"/>
          <w:sz w:val="24"/>
        </w:rPr>
        <w:t>”</w:t>
      </w:r>
      <w:r>
        <w:rPr>
          <w:color w:val="000000"/>
          <w:sz w:val="24"/>
        </w:rPr>
        <w:t>越跑越快，风险快速累聚。以创业板为例，虽然监管部门一再揭示风险，但指数市盈率持续突破</w:t>
      </w:r>
      <w:r>
        <w:rPr>
          <w:color w:val="000000"/>
          <w:sz w:val="24"/>
        </w:rPr>
        <w:t>100</w:t>
      </w:r>
      <w:r>
        <w:rPr>
          <w:color w:val="000000"/>
          <w:sz w:val="24"/>
        </w:rPr>
        <w:t>倍、</w:t>
      </w:r>
      <w:r>
        <w:rPr>
          <w:color w:val="000000"/>
          <w:sz w:val="24"/>
        </w:rPr>
        <w:t>110</w:t>
      </w:r>
      <w:r>
        <w:rPr>
          <w:color w:val="000000"/>
          <w:sz w:val="24"/>
        </w:rPr>
        <w:t>倍、直到突破</w:t>
      </w:r>
      <w:r>
        <w:rPr>
          <w:color w:val="000000"/>
          <w:sz w:val="24"/>
        </w:rPr>
        <w:t>150</w:t>
      </w:r>
      <w:r>
        <w:rPr>
          <w:color w:val="000000"/>
          <w:sz w:val="24"/>
        </w:rPr>
        <w:t>倍且监管层开始下重手整治配资行为，行情才嘎然而止。债券市场方面，因供给骤增、新股收益率高企造成需求分流等原因，维持震荡走势、慢牛格局。</w:t>
      </w:r>
    </w:p>
    <w:p w:rsidR="00A95D51" w:rsidRDefault="00EB2E73">
      <w:pPr>
        <w:spacing w:before="29" w:line="288" w:lineRule="auto"/>
        <w:ind w:firstLineChars="200" w:firstLine="480"/>
        <w:rPr>
          <w:color w:val="000000"/>
          <w:sz w:val="24"/>
        </w:rPr>
      </w:pPr>
      <w:r>
        <w:rPr>
          <w:color w:val="000000"/>
          <w:sz w:val="24"/>
        </w:rPr>
        <w:t>策略层面，股票方面，虽然仍坚持了一贯的绝对收益的组合管理理念，但对行情的性质预估不足，在股市上涨途中进行了两次大规模的但事后又不得不及时纠正的减持；同时在创业板块指数市盈率突破</w:t>
      </w:r>
      <w:r>
        <w:rPr>
          <w:color w:val="000000"/>
          <w:sz w:val="24"/>
        </w:rPr>
        <w:t>150</w:t>
      </w:r>
      <w:r>
        <w:rPr>
          <w:color w:val="000000"/>
          <w:sz w:val="24"/>
        </w:rPr>
        <w:t>倍后减持力度不够，致使净值回撤幅度超过了预设的管理目标。债券方面，基于对行情震荡走势、慢牛格局的判断，维持中性偏高持仓，适当参与波动操作。</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展望三季度，经济有望在政策的作用下企稳，但预计</w:t>
      </w:r>
      <w:r w:rsidRPr="007F52FA">
        <w:rPr>
          <w:color w:val="000000"/>
          <w:sz w:val="24"/>
        </w:rPr>
        <w:t>CPI</w:t>
      </w:r>
      <w:r w:rsidRPr="007F52FA">
        <w:rPr>
          <w:color w:val="000000"/>
          <w:sz w:val="24"/>
        </w:rPr>
        <w:t>突破</w:t>
      </w:r>
      <w:r w:rsidRPr="007F52FA">
        <w:rPr>
          <w:color w:val="000000"/>
          <w:sz w:val="24"/>
        </w:rPr>
        <w:t>2%</w:t>
      </w:r>
      <w:r w:rsidRPr="007F52FA">
        <w:rPr>
          <w:color w:val="000000"/>
          <w:sz w:val="24"/>
        </w:rPr>
        <w:t>的概率仍不大</w:t>
      </w:r>
      <w:r w:rsidRPr="007F52FA">
        <w:rPr>
          <w:color w:val="000000"/>
          <w:sz w:val="24"/>
        </w:rPr>
        <w:t>,</w:t>
      </w:r>
      <w:r w:rsidRPr="007F52FA">
        <w:rPr>
          <w:color w:val="000000"/>
          <w:sz w:val="24"/>
        </w:rPr>
        <w:t>仍保持在</w:t>
      </w:r>
      <w:r w:rsidRPr="007F52FA">
        <w:rPr>
          <w:color w:val="000000"/>
          <w:sz w:val="24"/>
        </w:rPr>
        <w:t>“</w:t>
      </w:r>
      <w:r w:rsidRPr="007F52FA">
        <w:rPr>
          <w:color w:val="000000"/>
          <w:sz w:val="24"/>
        </w:rPr>
        <w:t>新常态</w:t>
      </w:r>
      <w:r w:rsidRPr="007F52FA">
        <w:rPr>
          <w:color w:val="000000"/>
          <w:sz w:val="24"/>
        </w:rPr>
        <w:t>”</w:t>
      </w:r>
      <w:r w:rsidRPr="007F52FA">
        <w:rPr>
          <w:color w:val="000000"/>
          <w:sz w:val="24"/>
        </w:rPr>
        <w:t>框架内运行。股票市场目前的震荡（去杠杆过程），可能因融资总量的巨大以及为避免市场引发金融风险而进行的政策对冲变得复杂，策略上需灵活、谨慎；债券市场仍将维持震荡格局，但需特别警惕信用风险。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日，交银双利债券</w:t>
      </w:r>
      <w:r w:rsidRPr="007F52FA">
        <w:rPr>
          <w:color w:val="000000"/>
          <w:sz w:val="24"/>
        </w:rPr>
        <w:t>A/B</w:t>
      </w:r>
      <w:r w:rsidRPr="007F52FA">
        <w:rPr>
          <w:color w:val="000000"/>
          <w:sz w:val="24"/>
        </w:rPr>
        <w:t>份额净值为</w:t>
      </w:r>
      <w:r w:rsidRPr="007F52FA">
        <w:rPr>
          <w:color w:val="000000"/>
          <w:sz w:val="24"/>
        </w:rPr>
        <w:t>1.275</w:t>
      </w:r>
      <w:r w:rsidRPr="007F52FA">
        <w:rPr>
          <w:color w:val="000000"/>
          <w:sz w:val="24"/>
        </w:rPr>
        <w:t>元，本报告期份额净值增长率为</w:t>
      </w:r>
      <w:r w:rsidRPr="007F52FA">
        <w:rPr>
          <w:color w:val="000000"/>
          <w:sz w:val="24"/>
        </w:rPr>
        <w:t>4.18%</w:t>
      </w:r>
      <w:r w:rsidRPr="007F52FA">
        <w:rPr>
          <w:color w:val="000000"/>
          <w:sz w:val="24"/>
        </w:rPr>
        <w:t>，同期业绩比较基准增长率为</w:t>
      </w:r>
      <w:r w:rsidRPr="007F52FA">
        <w:rPr>
          <w:color w:val="000000"/>
          <w:sz w:val="24"/>
        </w:rPr>
        <w:t>2.41%</w:t>
      </w:r>
      <w:r w:rsidRPr="007F52FA">
        <w:rPr>
          <w:color w:val="000000"/>
          <w:sz w:val="24"/>
        </w:rPr>
        <w:t>；交银双利债券</w:t>
      </w:r>
      <w:r w:rsidRPr="007F52FA">
        <w:rPr>
          <w:color w:val="000000"/>
          <w:sz w:val="24"/>
        </w:rPr>
        <w:t>C</w:t>
      </w:r>
      <w:r w:rsidRPr="007F52FA">
        <w:rPr>
          <w:color w:val="000000"/>
          <w:sz w:val="24"/>
        </w:rPr>
        <w:t>份额净值为</w:t>
      </w:r>
      <w:r w:rsidRPr="007F52FA">
        <w:rPr>
          <w:color w:val="000000"/>
          <w:sz w:val="24"/>
        </w:rPr>
        <w:t>1.252</w:t>
      </w:r>
      <w:r w:rsidRPr="007F52FA">
        <w:rPr>
          <w:color w:val="000000"/>
          <w:sz w:val="24"/>
        </w:rPr>
        <w:t>元，本报告期份额净值增长率为</w:t>
      </w:r>
      <w:r w:rsidRPr="007F52FA">
        <w:rPr>
          <w:color w:val="000000"/>
          <w:sz w:val="24"/>
        </w:rPr>
        <w:t>4.00%</w:t>
      </w:r>
      <w:r w:rsidRPr="007F52FA">
        <w:rPr>
          <w:color w:val="000000"/>
          <w:sz w:val="24"/>
        </w:rPr>
        <w:t>，同期业绩比较基准增长率为</w:t>
      </w:r>
      <w:r w:rsidRPr="007F52FA">
        <w:rPr>
          <w:color w:val="000000"/>
          <w:sz w:val="24"/>
        </w:rPr>
        <w:t>2.41%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1949CA">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247,434,288.88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9.13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247,434,288.88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9.13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2,268,974,584.60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83.75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2,268,974,584.60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83.75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98,193,181.54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3.62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94,782,854.64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3.50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2,709,384,909.66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3,840,000.00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0.19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93,216,809.31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4.51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5,253,000.00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1,543,000.00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52,875,608.57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2.56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39,809,400.00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1.93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8,514,900.00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26,352,326.00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756,000.00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1,139,400.00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3,092,645.00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11,041,200.00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247,434,288.88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11.98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A95D51">
        <w:trPr>
          <w:jc w:val="center"/>
        </w:trPr>
        <w:tc>
          <w:tcPr>
            <w:tcW w:w="850" w:type="dxa"/>
            <w:vAlign w:val="center"/>
          </w:tcPr>
          <w:p w:rsidR="00A95D51" w:rsidRDefault="00EB2E73">
            <w:pPr>
              <w:jc w:val="center"/>
            </w:pPr>
            <w:r>
              <w:rPr>
                <w:color w:val="000000"/>
                <w:sz w:val="24"/>
              </w:rPr>
              <w:t>1</w:t>
            </w:r>
          </w:p>
        </w:tc>
        <w:tc>
          <w:tcPr>
            <w:tcW w:w="1327" w:type="dxa"/>
            <w:vAlign w:val="center"/>
          </w:tcPr>
          <w:p w:rsidR="00A95D51" w:rsidRDefault="00EB2E73">
            <w:pPr>
              <w:jc w:val="center"/>
            </w:pPr>
            <w:r>
              <w:rPr>
                <w:color w:val="000000"/>
                <w:sz w:val="24"/>
              </w:rPr>
              <w:t>600016</w:t>
            </w:r>
          </w:p>
        </w:tc>
        <w:tc>
          <w:tcPr>
            <w:tcW w:w="1769" w:type="dxa"/>
            <w:vAlign w:val="center"/>
          </w:tcPr>
          <w:p w:rsidR="00A95D51" w:rsidRDefault="00EB2E73">
            <w:pPr>
              <w:jc w:val="center"/>
            </w:pPr>
            <w:r>
              <w:rPr>
                <w:color w:val="000000"/>
                <w:sz w:val="24"/>
              </w:rPr>
              <w:t>民生银行</w:t>
            </w:r>
          </w:p>
        </w:tc>
        <w:tc>
          <w:tcPr>
            <w:tcW w:w="1327" w:type="dxa"/>
            <w:vAlign w:val="center"/>
          </w:tcPr>
          <w:p w:rsidR="00A95D51" w:rsidRDefault="00EB2E73">
            <w:pPr>
              <w:jc w:val="right"/>
            </w:pPr>
            <w:r>
              <w:rPr>
                <w:color w:val="000000"/>
                <w:sz w:val="24"/>
              </w:rPr>
              <w:t>3,010,000</w:t>
            </w:r>
          </w:p>
        </w:tc>
        <w:tc>
          <w:tcPr>
            <w:tcW w:w="1915" w:type="dxa"/>
            <w:vAlign w:val="center"/>
          </w:tcPr>
          <w:p w:rsidR="00A95D51" w:rsidRDefault="00EB2E73">
            <w:pPr>
              <w:jc w:val="right"/>
            </w:pPr>
            <w:r>
              <w:rPr>
                <w:color w:val="000000"/>
                <w:sz w:val="24"/>
              </w:rPr>
              <w:t>29,919,400.00</w:t>
            </w:r>
          </w:p>
        </w:tc>
        <w:tc>
          <w:tcPr>
            <w:tcW w:w="1680" w:type="dxa"/>
            <w:vAlign w:val="center"/>
          </w:tcPr>
          <w:p w:rsidR="00A95D51" w:rsidRDefault="00EB2E73">
            <w:pPr>
              <w:jc w:val="right"/>
            </w:pPr>
            <w:r>
              <w:rPr>
                <w:color w:val="000000"/>
                <w:sz w:val="24"/>
              </w:rPr>
              <w:t>1.45</w:t>
            </w:r>
          </w:p>
        </w:tc>
      </w:tr>
      <w:tr w:rsidR="00A95D51">
        <w:trPr>
          <w:jc w:val="center"/>
        </w:trPr>
        <w:tc>
          <w:tcPr>
            <w:tcW w:w="850" w:type="dxa"/>
            <w:vAlign w:val="center"/>
          </w:tcPr>
          <w:p w:rsidR="00A95D51" w:rsidRDefault="00EB2E73">
            <w:pPr>
              <w:jc w:val="center"/>
            </w:pPr>
            <w:r>
              <w:rPr>
                <w:color w:val="000000"/>
                <w:sz w:val="24"/>
              </w:rPr>
              <w:t>2</w:t>
            </w:r>
          </w:p>
        </w:tc>
        <w:tc>
          <w:tcPr>
            <w:tcW w:w="1327" w:type="dxa"/>
            <w:vAlign w:val="center"/>
          </w:tcPr>
          <w:p w:rsidR="00A95D51" w:rsidRDefault="00EB2E73">
            <w:pPr>
              <w:jc w:val="center"/>
            </w:pPr>
            <w:r>
              <w:rPr>
                <w:color w:val="000000"/>
                <w:sz w:val="24"/>
              </w:rPr>
              <w:t>600654</w:t>
            </w:r>
          </w:p>
        </w:tc>
        <w:tc>
          <w:tcPr>
            <w:tcW w:w="1769" w:type="dxa"/>
            <w:vAlign w:val="center"/>
          </w:tcPr>
          <w:p w:rsidR="00A95D51" w:rsidRDefault="00EB2E73">
            <w:pPr>
              <w:jc w:val="center"/>
            </w:pPr>
            <w:r>
              <w:rPr>
                <w:color w:val="000000"/>
                <w:sz w:val="24"/>
              </w:rPr>
              <w:t>中安消</w:t>
            </w:r>
          </w:p>
        </w:tc>
        <w:tc>
          <w:tcPr>
            <w:tcW w:w="1327" w:type="dxa"/>
            <w:vAlign w:val="center"/>
          </w:tcPr>
          <w:p w:rsidR="00A95D51" w:rsidRDefault="00EB2E73">
            <w:pPr>
              <w:jc w:val="right"/>
            </w:pPr>
            <w:r>
              <w:rPr>
                <w:color w:val="000000"/>
                <w:sz w:val="24"/>
              </w:rPr>
              <w:t>524,000</w:t>
            </w:r>
          </w:p>
        </w:tc>
        <w:tc>
          <w:tcPr>
            <w:tcW w:w="1915" w:type="dxa"/>
            <w:vAlign w:val="center"/>
          </w:tcPr>
          <w:p w:rsidR="00A95D51" w:rsidRDefault="00EB2E73">
            <w:pPr>
              <w:jc w:val="right"/>
            </w:pPr>
            <w:r>
              <w:rPr>
                <w:color w:val="000000"/>
                <w:sz w:val="24"/>
              </w:rPr>
              <w:t>16,196,840.00</w:t>
            </w:r>
          </w:p>
        </w:tc>
        <w:tc>
          <w:tcPr>
            <w:tcW w:w="1680" w:type="dxa"/>
            <w:vAlign w:val="center"/>
          </w:tcPr>
          <w:p w:rsidR="00A95D51" w:rsidRDefault="00EB2E73">
            <w:pPr>
              <w:jc w:val="right"/>
            </w:pPr>
            <w:r>
              <w:rPr>
                <w:color w:val="000000"/>
                <w:sz w:val="24"/>
              </w:rPr>
              <w:t>0.78</w:t>
            </w:r>
          </w:p>
        </w:tc>
      </w:tr>
      <w:tr w:rsidR="00A95D51">
        <w:trPr>
          <w:jc w:val="center"/>
        </w:trPr>
        <w:tc>
          <w:tcPr>
            <w:tcW w:w="850" w:type="dxa"/>
            <w:vAlign w:val="center"/>
          </w:tcPr>
          <w:p w:rsidR="00A95D51" w:rsidRDefault="00EB2E73">
            <w:pPr>
              <w:jc w:val="center"/>
            </w:pPr>
            <w:r>
              <w:rPr>
                <w:color w:val="000000"/>
                <w:sz w:val="24"/>
              </w:rPr>
              <w:t>3</w:t>
            </w:r>
          </w:p>
        </w:tc>
        <w:tc>
          <w:tcPr>
            <w:tcW w:w="1327" w:type="dxa"/>
            <w:vAlign w:val="center"/>
          </w:tcPr>
          <w:p w:rsidR="00A95D51" w:rsidRDefault="00EB2E73">
            <w:pPr>
              <w:jc w:val="center"/>
            </w:pPr>
            <w:r>
              <w:rPr>
                <w:color w:val="000000"/>
                <w:sz w:val="24"/>
              </w:rPr>
              <w:t>000062</w:t>
            </w:r>
          </w:p>
        </w:tc>
        <w:tc>
          <w:tcPr>
            <w:tcW w:w="1769" w:type="dxa"/>
            <w:vAlign w:val="center"/>
          </w:tcPr>
          <w:p w:rsidR="00A95D51" w:rsidRDefault="00EB2E73">
            <w:pPr>
              <w:jc w:val="center"/>
            </w:pPr>
            <w:r>
              <w:rPr>
                <w:color w:val="000000"/>
                <w:sz w:val="24"/>
              </w:rPr>
              <w:t>深圳华强</w:t>
            </w:r>
          </w:p>
        </w:tc>
        <w:tc>
          <w:tcPr>
            <w:tcW w:w="1327" w:type="dxa"/>
            <w:vAlign w:val="center"/>
          </w:tcPr>
          <w:p w:rsidR="00A95D51" w:rsidRDefault="00EB2E73">
            <w:pPr>
              <w:jc w:val="right"/>
            </w:pPr>
            <w:r>
              <w:rPr>
                <w:color w:val="000000"/>
                <w:sz w:val="24"/>
              </w:rPr>
              <w:t>223,400</w:t>
            </w:r>
          </w:p>
        </w:tc>
        <w:tc>
          <w:tcPr>
            <w:tcW w:w="1915" w:type="dxa"/>
            <w:vAlign w:val="center"/>
          </w:tcPr>
          <w:p w:rsidR="00A95D51" w:rsidRDefault="00EB2E73">
            <w:pPr>
              <w:jc w:val="right"/>
            </w:pPr>
            <w:r>
              <w:rPr>
                <w:color w:val="000000"/>
                <w:sz w:val="24"/>
              </w:rPr>
              <w:t>12,749,438.00</w:t>
            </w:r>
          </w:p>
        </w:tc>
        <w:tc>
          <w:tcPr>
            <w:tcW w:w="1680" w:type="dxa"/>
            <w:vAlign w:val="center"/>
          </w:tcPr>
          <w:p w:rsidR="00A95D51" w:rsidRDefault="00EB2E73">
            <w:pPr>
              <w:jc w:val="right"/>
            </w:pPr>
            <w:r>
              <w:rPr>
                <w:color w:val="000000"/>
                <w:sz w:val="24"/>
              </w:rPr>
              <w:t>0.62</w:t>
            </w:r>
          </w:p>
        </w:tc>
      </w:tr>
      <w:tr w:rsidR="00A95D51">
        <w:trPr>
          <w:jc w:val="center"/>
        </w:trPr>
        <w:tc>
          <w:tcPr>
            <w:tcW w:w="850" w:type="dxa"/>
            <w:vAlign w:val="center"/>
          </w:tcPr>
          <w:p w:rsidR="00A95D51" w:rsidRDefault="00EB2E73">
            <w:pPr>
              <w:jc w:val="center"/>
            </w:pPr>
            <w:r>
              <w:rPr>
                <w:color w:val="000000"/>
                <w:sz w:val="24"/>
              </w:rPr>
              <w:t>4</w:t>
            </w:r>
          </w:p>
        </w:tc>
        <w:tc>
          <w:tcPr>
            <w:tcW w:w="1327" w:type="dxa"/>
            <w:vAlign w:val="center"/>
          </w:tcPr>
          <w:p w:rsidR="00A95D51" w:rsidRDefault="00EB2E73">
            <w:pPr>
              <w:jc w:val="center"/>
            </w:pPr>
            <w:r>
              <w:rPr>
                <w:color w:val="000000"/>
                <w:sz w:val="24"/>
              </w:rPr>
              <w:t>000061</w:t>
            </w:r>
          </w:p>
        </w:tc>
        <w:tc>
          <w:tcPr>
            <w:tcW w:w="1769" w:type="dxa"/>
            <w:vAlign w:val="center"/>
          </w:tcPr>
          <w:p w:rsidR="00A95D51" w:rsidRDefault="00EB2E73">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1327" w:type="dxa"/>
            <w:vAlign w:val="center"/>
          </w:tcPr>
          <w:p w:rsidR="00A95D51" w:rsidRDefault="00EB2E73">
            <w:pPr>
              <w:jc w:val="right"/>
            </w:pPr>
            <w:r>
              <w:rPr>
                <w:color w:val="000000"/>
                <w:sz w:val="24"/>
              </w:rPr>
              <w:t>500,000</w:t>
            </w:r>
          </w:p>
        </w:tc>
        <w:tc>
          <w:tcPr>
            <w:tcW w:w="1915" w:type="dxa"/>
            <w:vAlign w:val="center"/>
          </w:tcPr>
          <w:p w:rsidR="00A95D51" w:rsidRDefault="00EB2E73">
            <w:pPr>
              <w:jc w:val="right"/>
            </w:pPr>
            <w:r>
              <w:rPr>
                <w:color w:val="000000"/>
                <w:sz w:val="24"/>
              </w:rPr>
              <w:t>10,200,000.00</w:t>
            </w:r>
          </w:p>
        </w:tc>
        <w:tc>
          <w:tcPr>
            <w:tcW w:w="1680" w:type="dxa"/>
            <w:vAlign w:val="center"/>
          </w:tcPr>
          <w:p w:rsidR="00A95D51" w:rsidRDefault="00EB2E73">
            <w:pPr>
              <w:jc w:val="right"/>
            </w:pPr>
            <w:r>
              <w:rPr>
                <w:color w:val="000000"/>
                <w:sz w:val="24"/>
              </w:rPr>
              <w:t>0.49</w:t>
            </w:r>
          </w:p>
        </w:tc>
      </w:tr>
      <w:tr w:rsidR="00A95D51">
        <w:trPr>
          <w:jc w:val="center"/>
        </w:trPr>
        <w:tc>
          <w:tcPr>
            <w:tcW w:w="850" w:type="dxa"/>
            <w:vAlign w:val="center"/>
          </w:tcPr>
          <w:p w:rsidR="00A95D51" w:rsidRDefault="00EB2E73">
            <w:pPr>
              <w:jc w:val="center"/>
            </w:pPr>
            <w:r>
              <w:rPr>
                <w:color w:val="000000"/>
                <w:sz w:val="24"/>
              </w:rPr>
              <w:t>5</w:t>
            </w:r>
          </w:p>
        </w:tc>
        <w:tc>
          <w:tcPr>
            <w:tcW w:w="1327" w:type="dxa"/>
            <w:vAlign w:val="center"/>
          </w:tcPr>
          <w:p w:rsidR="00A95D51" w:rsidRDefault="00EB2E73">
            <w:pPr>
              <w:jc w:val="center"/>
            </w:pPr>
            <w:r>
              <w:rPr>
                <w:color w:val="000000"/>
                <w:sz w:val="24"/>
              </w:rPr>
              <w:t>002180</w:t>
            </w:r>
          </w:p>
        </w:tc>
        <w:tc>
          <w:tcPr>
            <w:tcW w:w="1769" w:type="dxa"/>
            <w:vAlign w:val="center"/>
          </w:tcPr>
          <w:p w:rsidR="00A95D51" w:rsidRDefault="00EB2E73">
            <w:pPr>
              <w:jc w:val="center"/>
            </w:pPr>
            <w:r>
              <w:rPr>
                <w:color w:val="000000"/>
                <w:sz w:val="24"/>
              </w:rPr>
              <w:t>艾派克</w:t>
            </w:r>
          </w:p>
        </w:tc>
        <w:tc>
          <w:tcPr>
            <w:tcW w:w="1327" w:type="dxa"/>
            <w:vAlign w:val="center"/>
          </w:tcPr>
          <w:p w:rsidR="00A95D51" w:rsidRDefault="00EB2E73">
            <w:pPr>
              <w:jc w:val="right"/>
            </w:pPr>
            <w:r>
              <w:rPr>
                <w:color w:val="000000"/>
                <w:sz w:val="24"/>
              </w:rPr>
              <w:t>200,000</w:t>
            </w:r>
          </w:p>
        </w:tc>
        <w:tc>
          <w:tcPr>
            <w:tcW w:w="1915" w:type="dxa"/>
            <w:vAlign w:val="center"/>
          </w:tcPr>
          <w:p w:rsidR="00A95D51" w:rsidRDefault="00EB2E73">
            <w:pPr>
              <w:jc w:val="right"/>
            </w:pPr>
            <w:r>
              <w:rPr>
                <w:color w:val="000000"/>
                <w:sz w:val="24"/>
              </w:rPr>
              <w:t>8,800,000.00</w:t>
            </w:r>
          </w:p>
        </w:tc>
        <w:tc>
          <w:tcPr>
            <w:tcW w:w="1680" w:type="dxa"/>
            <w:vAlign w:val="center"/>
          </w:tcPr>
          <w:p w:rsidR="00A95D51" w:rsidRDefault="00EB2E73">
            <w:pPr>
              <w:jc w:val="right"/>
            </w:pPr>
            <w:r>
              <w:rPr>
                <w:color w:val="000000"/>
                <w:sz w:val="24"/>
              </w:rPr>
              <w:t>0.43</w:t>
            </w:r>
          </w:p>
        </w:tc>
      </w:tr>
      <w:tr w:rsidR="00A95D51">
        <w:trPr>
          <w:jc w:val="center"/>
        </w:trPr>
        <w:tc>
          <w:tcPr>
            <w:tcW w:w="850" w:type="dxa"/>
            <w:vAlign w:val="center"/>
          </w:tcPr>
          <w:p w:rsidR="00A95D51" w:rsidRDefault="00EB2E73">
            <w:pPr>
              <w:jc w:val="center"/>
            </w:pPr>
            <w:r>
              <w:rPr>
                <w:color w:val="000000"/>
                <w:sz w:val="24"/>
              </w:rPr>
              <w:t>6</w:t>
            </w:r>
          </w:p>
        </w:tc>
        <w:tc>
          <w:tcPr>
            <w:tcW w:w="1327" w:type="dxa"/>
            <w:vAlign w:val="center"/>
          </w:tcPr>
          <w:p w:rsidR="00A95D51" w:rsidRDefault="00EB2E73">
            <w:pPr>
              <w:jc w:val="center"/>
            </w:pPr>
            <w:r>
              <w:rPr>
                <w:color w:val="000000"/>
                <w:sz w:val="24"/>
              </w:rPr>
              <w:t>002268</w:t>
            </w:r>
          </w:p>
        </w:tc>
        <w:tc>
          <w:tcPr>
            <w:tcW w:w="1769" w:type="dxa"/>
            <w:vAlign w:val="center"/>
          </w:tcPr>
          <w:p w:rsidR="00A95D51" w:rsidRDefault="00EB2E73">
            <w:pPr>
              <w:jc w:val="center"/>
            </w:pPr>
            <w:r>
              <w:rPr>
                <w:color w:val="000000"/>
                <w:sz w:val="24"/>
              </w:rPr>
              <w:t>卫</w:t>
            </w:r>
            <w:r>
              <w:rPr>
                <w:color w:val="000000"/>
                <w:sz w:val="24"/>
              </w:rPr>
              <w:t xml:space="preserve"> </w:t>
            </w:r>
            <w:r>
              <w:rPr>
                <w:color w:val="000000"/>
                <w:sz w:val="24"/>
              </w:rPr>
              <w:t>士</w:t>
            </w:r>
            <w:r>
              <w:rPr>
                <w:color w:val="000000"/>
                <w:sz w:val="24"/>
              </w:rPr>
              <w:t xml:space="preserve"> </w:t>
            </w:r>
            <w:r>
              <w:rPr>
                <w:color w:val="000000"/>
                <w:sz w:val="24"/>
              </w:rPr>
              <w:t>通</w:t>
            </w:r>
          </w:p>
        </w:tc>
        <w:tc>
          <w:tcPr>
            <w:tcW w:w="1327" w:type="dxa"/>
            <w:vAlign w:val="center"/>
          </w:tcPr>
          <w:p w:rsidR="00A95D51" w:rsidRDefault="00EB2E73">
            <w:pPr>
              <w:jc w:val="right"/>
            </w:pPr>
            <w:r>
              <w:rPr>
                <w:color w:val="000000"/>
                <w:sz w:val="24"/>
              </w:rPr>
              <w:t>100,000</w:t>
            </w:r>
          </w:p>
        </w:tc>
        <w:tc>
          <w:tcPr>
            <w:tcW w:w="1915" w:type="dxa"/>
            <w:vAlign w:val="center"/>
          </w:tcPr>
          <w:p w:rsidR="00A95D51" w:rsidRDefault="00EB2E73">
            <w:pPr>
              <w:jc w:val="right"/>
            </w:pPr>
            <w:r>
              <w:rPr>
                <w:color w:val="000000"/>
                <w:sz w:val="24"/>
              </w:rPr>
              <w:t>8,014,000.00</w:t>
            </w:r>
          </w:p>
        </w:tc>
        <w:tc>
          <w:tcPr>
            <w:tcW w:w="1680" w:type="dxa"/>
            <w:vAlign w:val="center"/>
          </w:tcPr>
          <w:p w:rsidR="00A95D51" w:rsidRDefault="00EB2E73">
            <w:pPr>
              <w:jc w:val="right"/>
            </w:pPr>
            <w:r>
              <w:rPr>
                <w:color w:val="000000"/>
                <w:sz w:val="24"/>
              </w:rPr>
              <w:t>0.39</w:t>
            </w:r>
          </w:p>
        </w:tc>
      </w:tr>
      <w:tr w:rsidR="00A95D51">
        <w:trPr>
          <w:jc w:val="center"/>
        </w:trPr>
        <w:tc>
          <w:tcPr>
            <w:tcW w:w="850" w:type="dxa"/>
            <w:vAlign w:val="center"/>
          </w:tcPr>
          <w:p w:rsidR="00A95D51" w:rsidRDefault="00EB2E73">
            <w:pPr>
              <w:jc w:val="center"/>
            </w:pPr>
            <w:r>
              <w:rPr>
                <w:color w:val="000000"/>
                <w:sz w:val="24"/>
              </w:rPr>
              <w:t>7</w:t>
            </w:r>
          </w:p>
        </w:tc>
        <w:tc>
          <w:tcPr>
            <w:tcW w:w="1327" w:type="dxa"/>
            <w:vAlign w:val="center"/>
          </w:tcPr>
          <w:p w:rsidR="00A95D51" w:rsidRDefault="00EB2E73">
            <w:pPr>
              <w:jc w:val="center"/>
            </w:pPr>
            <w:r>
              <w:rPr>
                <w:color w:val="000000"/>
                <w:sz w:val="24"/>
              </w:rPr>
              <w:t>300075</w:t>
            </w:r>
          </w:p>
        </w:tc>
        <w:tc>
          <w:tcPr>
            <w:tcW w:w="1769" w:type="dxa"/>
            <w:vAlign w:val="center"/>
          </w:tcPr>
          <w:p w:rsidR="00A95D51" w:rsidRDefault="00EB2E73">
            <w:pPr>
              <w:jc w:val="center"/>
            </w:pPr>
            <w:r>
              <w:rPr>
                <w:color w:val="000000"/>
                <w:sz w:val="24"/>
              </w:rPr>
              <w:t>数字政通</w:t>
            </w:r>
          </w:p>
        </w:tc>
        <w:tc>
          <w:tcPr>
            <w:tcW w:w="1327" w:type="dxa"/>
            <w:vAlign w:val="center"/>
          </w:tcPr>
          <w:p w:rsidR="00A95D51" w:rsidRDefault="00EB2E73">
            <w:pPr>
              <w:jc w:val="right"/>
            </w:pPr>
            <w:r>
              <w:rPr>
                <w:color w:val="000000"/>
                <w:sz w:val="24"/>
              </w:rPr>
              <w:t>149,953</w:t>
            </w:r>
          </w:p>
        </w:tc>
        <w:tc>
          <w:tcPr>
            <w:tcW w:w="1915" w:type="dxa"/>
            <w:vAlign w:val="center"/>
          </w:tcPr>
          <w:p w:rsidR="00A95D51" w:rsidRDefault="00EB2E73">
            <w:pPr>
              <w:jc w:val="right"/>
            </w:pPr>
            <w:r>
              <w:rPr>
                <w:color w:val="000000"/>
                <w:sz w:val="24"/>
              </w:rPr>
              <w:t>5,651,728.57</w:t>
            </w:r>
          </w:p>
        </w:tc>
        <w:tc>
          <w:tcPr>
            <w:tcW w:w="1680" w:type="dxa"/>
            <w:vAlign w:val="center"/>
          </w:tcPr>
          <w:p w:rsidR="00A95D51" w:rsidRDefault="00EB2E73">
            <w:pPr>
              <w:jc w:val="right"/>
            </w:pPr>
            <w:r>
              <w:rPr>
                <w:color w:val="000000"/>
                <w:sz w:val="24"/>
              </w:rPr>
              <w:t>0.27</w:t>
            </w:r>
          </w:p>
        </w:tc>
      </w:tr>
      <w:tr w:rsidR="00A95D51">
        <w:trPr>
          <w:jc w:val="center"/>
        </w:trPr>
        <w:tc>
          <w:tcPr>
            <w:tcW w:w="850" w:type="dxa"/>
            <w:vAlign w:val="center"/>
          </w:tcPr>
          <w:p w:rsidR="00A95D51" w:rsidRDefault="00EB2E73">
            <w:pPr>
              <w:jc w:val="center"/>
            </w:pPr>
            <w:r>
              <w:rPr>
                <w:color w:val="000000"/>
                <w:sz w:val="24"/>
              </w:rPr>
              <w:t>8</w:t>
            </w:r>
          </w:p>
        </w:tc>
        <w:tc>
          <w:tcPr>
            <w:tcW w:w="1327" w:type="dxa"/>
            <w:vAlign w:val="center"/>
          </w:tcPr>
          <w:p w:rsidR="00A95D51" w:rsidRDefault="00EB2E73">
            <w:pPr>
              <w:jc w:val="center"/>
            </w:pPr>
            <w:r>
              <w:rPr>
                <w:color w:val="000000"/>
                <w:sz w:val="24"/>
              </w:rPr>
              <w:t>002348</w:t>
            </w:r>
          </w:p>
        </w:tc>
        <w:tc>
          <w:tcPr>
            <w:tcW w:w="1769" w:type="dxa"/>
            <w:vAlign w:val="center"/>
          </w:tcPr>
          <w:p w:rsidR="00A95D51" w:rsidRDefault="00EB2E73">
            <w:pPr>
              <w:jc w:val="center"/>
            </w:pPr>
            <w:r>
              <w:rPr>
                <w:color w:val="000000"/>
                <w:sz w:val="24"/>
              </w:rPr>
              <w:t>高乐股份</w:t>
            </w:r>
          </w:p>
        </w:tc>
        <w:tc>
          <w:tcPr>
            <w:tcW w:w="1327" w:type="dxa"/>
            <w:vAlign w:val="center"/>
          </w:tcPr>
          <w:p w:rsidR="00A95D51" w:rsidRDefault="00EB2E73">
            <w:pPr>
              <w:jc w:val="right"/>
            </w:pPr>
            <w:r>
              <w:rPr>
                <w:color w:val="000000"/>
                <w:sz w:val="24"/>
              </w:rPr>
              <w:t>350,000</w:t>
            </w:r>
          </w:p>
        </w:tc>
        <w:tc>
          <w:tcPr>
            <w:tcW w:w="1915" w:type="dxa"/>
            <w:vAlign w:val="center"/>
          </w:tcPr>
          <w:p w:rsidR="00A95D51" w:rsidRDefault="00EB2E73">
            <w:pPr>
              <w:jc w:val="right"/>
            </w:pPr>
            <w:r>
              <w:rPr>
                <w:color w:val="000000"/>
                <w:sz w:val="24"/>
              </w:rPr>
              <w:t>5,470,500.00</w:t>
            </w:r>
          </w:p>
        </w:tc>
        <w:tc>
          <w:tcPr>
            <w:tcW w:w="1680" w:type="dxa"/>
            <w:vAlign w:val="center"/>
          </w:tcPr>
          <w:p w:rsidR="00A95D51" w:rsidRDefault="00EB2E73">
            <w:pPr>
              <w:jc w:val="right"/>
            </w:pPr>
            <w:r>
              <w:rPr>
                <w:color w:val="000000"/>
                <w:sz w:val="24"/>
              </w:rPr>
              <w:t>0.26</w:t>
            </w:r>
          </w:p>
        </w:tc>
      </w:tr>
      <w:tr w:rsidR="00A95D51">
        <w:trPr>
          <w:jc w:val="center"/>
        </w:trPr>
        <w:tc>
          <w:tcPr>
            <w:tcW w:w="850" w:type="dxa"/>
            <w:vAlign w:val="center"/>
          </w:tcPr>
          <w:p w:rsidR="00A95D51" w:rsidRDefault="00EB2E73">
            <w:pPr>
              <w:jc w:val="center"/>
            </w:pPr>
            <w:r>
              <w:rPr>
                <w:color w:val="000000"/>
                <w:sz w:val="24"/>
              </w:rPr>
              <w:t>9</w:t>
            </w:r>
          </w:p>
        </w:tc>
        <w:tc>
          <w:tcPr>
            <w:tcW w:w="1327" w:type="dxa"/>
            <w:vAlign w:val="center"/>
          </w:tcPr>
          <w:p w:rsidR="00A95D51" w:rsidRDefault="00EB2E73">
            <w:pPr>
              <w:jc w:val="center"/>
            </w:pPr>
            <w:r>
              <w:rPr>
                <w:color w:val="000000"/>
                <w:sz w:val="24"/>
              </w:rPr>
              <w:t>002030</w:t>
            </w:r>
          </w:p>
        </w:tc>
        <w:tc>
          <w:tcPr>
            <w:tcW w:w="1769" w:type="dxa"/>
            <w:vAlign w:val="center"/>
          </w:tcPr>
          <w:p w:rsidR="00A95D51" w:rsidRDefault="00EB2E73">
            <w:pPr>
              <w:jc w:val="center"/>
            </w:pPr>
            <w:r>
              <w:rPr>
                <w:color w:val="000000"/>
                <w:sz w:val="24"/>
              </w:rPr>
              <w:t>达安基因</w:t>
            </w:r>
          </w:p>
        </w:tc>
        <w:tc>
          <w:tcPr>
            <w:tcW w:w="1327" w:type="dxa"/>
            <w:vAlign w:val="center"/>
          </w:tcPr>
          <w:p w:rsidR="00A95D51" w:rsidRDefault="00EB2E73">
            <w:pPr>
              <w:jc w:val="right"/>
            </w:pPr>
            <w:r>
              <w:rPr>
                <w:color w:val="000000"/>
                <w:sz w:val="24"/>
              </w:rPr>
              <w:t>120,000</w:t>
            </w:r>
          </w:p>
        </w:tc>
        <w:tc>
          <w:tcPr>
            <w:tcW w:w="1915" w:type="dxa"/>
            <w:vAlign w:val="center"/>
          </w:tcPr>
          <w:p w:rsidR="00A95D51" w:rsidRDefault="00EB2E73">
            <w:pPr>
              <w:jc w:val="right"/>
            </w:pPr>
            <w:r>
              <w:rPr>
                <w:color w:val="000000"/>
                <w:sz w:val="24"/>
              </w:rPr>
              <w:t>5,316,000.00</w:t>
            </w:r>
          </w:p>
        </w:tc>
        <w:tc>
          <w:tcPr>
            <w:tcW w:w="1680" w:type="dxa"/>
            <w:vAlign w:val="center"/>
          </w:tcPr>
          <w:p w:rsidR="00A95D51" w:rsidRDefault="00EB2E73">
            <w:pPr>
              <w:jc w:val="right"/>
            </w:pPr>
            <w:r>
              <w:rPr>
                <w:color w:val="000000"/>
                <w:sz w:val="24"/>
              </w:rPr>
              <w:t>0.26</w:t>
            </w:r>
          </w:p>
        </w:tc>
      </w:tr>
      <w:tr w:rsidR="00A95D51">
        <w:trPr>
          <w:jc w:val="center"/>
        </w:trPr>
        <w:tc>
          <w:tcPr>
            <w:tcW w:w="850" w:type="dxa"/>
            <w:vAlign w:val="center"/>
          </w:tcPr>
          <w:p w:rsidR="00A95D51" w:rsidRDefault="00EB2E73">
            <w:pPr>
              <w:jc w:val="center"/>
            </w:pPr>
            <w:r>
              <w:rPr>
                <w:color w:val="000000"/>
                <w:sz w:val="24"/>
              </w:rPr>
              <w:t>10</w:t>
            </w:r>
          </w:p>
        </w:tc>
        <w:tc>
          <w:tcPr>
            <w:tcW w:w="1327" w:type="dxa"/>
            <w:vAlign w:val="center"/>
          </w:tcPr>
          <w:p w:rsidR="00A95D51" w:rsidRDefault="00EB2E73">
            <w:pPr>
              <w:jc w:val="center"/>
            </w:pPr>
            <w:r>
              <w:rPr>
                <w:color w:val="000000"/>
                <w:sz w:val="24"/>
              </w:rPr>
              <w:t>600153</w:t>
            </w:r>
          </w:p>
        </w:tc>
        <w:tc>
          <w:tcPr>
            <w:tcW w:w="1769" w:type="dxa"/>
            <w:vAlign w:val="center"/>
          </w:tcPr>
          <w:p w:rsidR="00A95D51" w:rsidRDefault="00EB2E73">
            <w:pPr>
              <w:jc w:val="center"/>
            </w:pPr>
            <w:r>
              <w:rPr>
                <w:color w:val="000000"/>
                <w:sz w:val="24"/>
              </w:rPr>
              <w:t>建发股份</w:t>
            </w:r>
          </w:p>
        </w:tc>
        <w:tc>
          <w:tcPr>
            <w:tcW w:w="1327" w:type="dxa"/>
            <w:vAlign w:val="center"/>
          </w:tcPr>
          <w:p w:rsidR="00A95D51" w:rsidRDefault="00EB2E73">
            <w:pPr>
              <w:jc w:val="right"/>
            </w:pPr>
            <w:r>
              <w:rPr>
                <w:color w:val="000000"/>
                <w:sz w:val="24"/>
              </w:rPr>
              <w:t>300,000</w:t>
            </w:r>
          </w:p>
        </w:tc>
        <w:tc>
          <w:tcPr>
            <w:tcW w:w="1915" w:type="dxa"/>
            <w:vAlign w:val="center"/>
          </w:tcPr>
          <w:p w:rsidR="00A95D51" w:rsidRDefault="00EB2E73">
            <w:pPr>
              <w:jc w:val="right"/>
            </w:pPr>
            <w:r>
              <w:rPr>
                <w:color w:val="000000"/>
                <w:sz w:val="24"/>
              </w:rPr>
              <w:t>5,253,000.00</w:t>
            </w:r>
          </w:p>
        </w:tc>
        <w:tc>
          <w:tcPr>
            <w:tcW w:w="1680" w:type="dxa"/>
            <w:vAlign w:val="center"/>
          </w:tcPr>
          <w:p w:rsidR="00A95D51" w:rsidRDefault="00EB2E73">
            <w:pPr>
              <w:jc w:val="right"/>
            </w:pPr>
            <w:r>
              <w:rPr>
                <w:color w:val="000000"/>
                <w:sz w:val="24"/>
              </w:rPr>
              <w:t>0.25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747,880,000.00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36.20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747,880,000.00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36.20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56,625,531.70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977,299,000.00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47.30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482,048,000.00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23.33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374,899.80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0.02</w:t>
            </w:r>
          </w:p>
        </w:tc>
      </w:tr>
      <w:tr w:rsidR="00A95D51">
        <w:trPr>
          <w:jc w:val="center"/>
        </w:trPr>
        <w:tc>
          <w:tcPr>
            <w:tcW w:w="850" w:type="dxa"/>
            <w:vAlign w:val="center"/>
          </w:tcPr>
          <w:p w:rsidR="00A95D51" w:rsidRDefault="00EB2E73">
            <w:pPr>
              <w:jc w:val="center"/>
            </w:pPr>
            <w:r>
              <w:rPr>
                <w:color w:val="000000"/>
                <w:sz w:val="24"/>
              </w:rPr>
              <w:t>8</w:t>
            </w:r>
          </w:p>
        </w:tc>
        <w:tc>
          <w:tcPr>
            <w:tcW w:w="3390" w:type="dxa"/>
            <w:vAlign w:val="center"/>
          </w:tcPr>
          <w:p w:rsidR="00A95D51" w:rsidRDefault="00EB2E73" w:rsidP="00C84697">
            <w:pPr>
              <w:jc w:val="left"/>
            </w:pPr>
            <w:r>
              <w:rPr>
                <w:color w:val="000000"/>
                <w:sz w:val="24"/>
              </w:rPr>
              <w:t>可交换债</w:t>
            </w:r>
          </w:p>
        </w:tc>
        <w:tc>
          <w:tcPr>
            <w:tcW w:w="2948" w:type="dxa"/>
            <w:vAlign w:val="center"/>
          </w:tcPr>
          <w:p w:rsidR="00A95D51" w:rsidRDefault="00EB2E73" w:rsidP="00C84697">
            <w:pPr>
              <w:jc w:val="right"/>
            </w:pPr>
            <w:r>
              <w:rPr>
                <w:color w:val="000000"/>
                <w:sz w:val="24"/>
              </w:rPr>
              <w:t>4,747,153.10</w:t>
            </w:r>
          </w:p>
        </w:tc>
        <w:tc>
          <w:tcPr>
            <w:tcW w:w="1680" w:type="dxa"/>
            <w:vAlign w:val="center"/>
          </w:tcPr>
          <w:p w:rsidR="00A95D51" w:rsidRDefault="00EB2E73" w:rsidP="00C84697">
            <w:pPr>
              <w:jc w:val="right"/>
            </w:pPr>
            <w:r>
              <w:rPr>
                <w:color w:val="000000"/>
                <w:sz w:val="24"/>
              </w:rPr>
              <w:t>0.23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2,268,974,584.60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109.82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95D51">
        <w:trPr>
          <w:jc w:val="center"/>
        </w:trPr>
        <w:tc>
          <w:tcPr>
            <w:tcW w:w="1075" w:type="dxa"/>
            <w:vAlign w:val="center"/>
          </w:tcPr>
          <w:p w:rsidR="00A95D51" w:rsidRDefault="00EB2E73">
            <w:pPr>
              <w:jc w:val="center"/>
            </w:pPr>
            <w:r>
              <w:rPr>
                <w:color w:val="000000"/>
                <w:sz w:val="24"/>
              </w:rPr>
              <w:t>1</w:t>
            </w:r>
          </w:p>
        </w:tc>
        <w:tc>
          <w:tcPr>
            <w:tcW w:w="1533" w:type="dxa"/>
            <w:vAlign w:val="center"/>
          </w:tcPr>
          <w:p w:rsidR="00A95D51" w:rsidRDefault="00EB2E73">
            <w:pPr>
              <w:jc w:val="center"/>
            </w:pPr>
            <w:r>
              <w:rPr>
                <w:color w:val="000000"/>
                <w:sz w:val="24"/>
              </w:rPr>
              <w:t>150205</w:t>
            </w:r>
          </w:p>
        </w:tc>
        <w:tc>
          <w:tcPr>
            <w:tcW w:w="1533" w:type="dxa"/>
            <w:vAlign w:val="center"/>
          </w:tcPr>
          <w:p w:rsidR="00A95D51" w:rsidRDefault="00EB2E73">
            <w:pPr>
              <w:jc w:val="center"/>
            </w:pPr>
            <w:r>
              <w:rPr>
                <w:color w:val="000000"/>
                <w:sz w:val="24"/>
              </w:rPr>
              <w:t>15</w:t>
            </w:r>
            <w:r>
              <w:rPr>
                <w:color w:val="000000"/>
                <w:sz w:val="24"/>
              </w:rPr>
              <w:t>国开</w:t>
            </w:r>
            <w:r>
              <w:rPr>
                <w:color w:val="000000"/>
                <w:sz w:val="24"/>
              </w:rPr>
              <w:t>05</w:t>
            </w:r>
          </w:p>
        </w:tc>
        <w:tc>
          <w:tcPr>
            <w:tcW w:w="1394" w:type="dxa"/>
            <w:vAlign w:val="center"/>
          </w:tcPr>
          <w:p w:rsidR="00A95D51" w:rsidRDefault="00EB2E73">
            <w:pPr>
              <w:jc w:val="right"/>
            </w:pPr>
            <w:r>
              <w:rPr>
                <w:color w:val="000000"/>
                <w:sz w:val="24"/>
              </w:rPr>
              <w:t>2,700,000</w:t>
            </w:r>
          </w:p>
        </w:tc>
        <w:tc>
          <w:tcPr>
            <w:tcW w:w="1944" w:type="dxa"/>
            <w:vAlign w:val="center"/>
          </w:tcPr>
          <w:p w:rsidR="00A95D51" w:rsidRDefault="00EB2E73">
            <w:pPr>
              <w:jc w:val="right"/>
            </w:pPr>
            <w:r>
              <w:rPr>
                <w:color w:val="000000"/>
                <w:sz w:val="24"/>
              </w:rPr>
              <w:t>263,169,000.00</w:t>
            </w:r>
          </w:p>
        </w:tc>
        <w:tc>
          <w:tcPr>
            <w:tcW w:w="1389" w:type="dxa"/>
            <w:vAlign w:val="center"/>
          </w:tcPr>
          <w:p w:rsidR="00A95D51" w:rsidRDefault="00EB2E73">
            <w:pPr>
              <w:jc w:val="right"/>
            </w:pPr>
            <w:r>
              <w:rPr>
                <w:color w:val="000000"/>
                <w:sz w:val="24"/>
              </w:rPr>
              <w:t>12.74</w:t>
            </w:r>
          </w:p>
        </w:tc>
      </w:tr>
      <w:tr w:rsidR="00A95D51">
        <w:trPr>
          <w:jc w:val="center"/>
        </w:trPr>
        <w:tc>
          <w:tcPr>
            <w:tcW w:w="1075" w:type="dxa"/>
            <w:vAlign w:val="center"/>
          </w:tcPr>
          <w:p w:rsidR="00A95D51" w:rsidRDefault="00EB2E73">
            <w:pPr>
              <w:jc w:val="center"/>
            </w:pPr>
            <w:r>
              <w:rPr>
                <w:color w:val="000000"/>
                <w:sz w:val="24"/>
              </w:rPr>
              <w:t>2</w:t>
            </w:r>
          </w:p>
        </w:tc>
        <w:tc>
          <w:tcPr>
            <w:tcW w:w="1533" w:type="dxa"/>
            <w:vAlign w:val="center"/>
          </w:tcPr>
          <w:p w:rsidR="00A95D51" w:rsidRDefault="00EB2E73">
            <w:pPr>
              <w:jc w:val="center"/>
            </w:pPr>
            <w:r>
              <w:rPr>
                <w:color w:val="000000"/>
                <w:sz w:val="24"/>
              </w:rPr>
              <w:t>101553006</w:t>
            </w:r>
          </w:p>
        </w:tc>
        <w:tc>
          <w:tcPr>
            <w:tcW w:w="1533" w:type="dxa"/>
            <w:vAlign w:val="center"/>
          </w:tcPr>
          <w:p w:rsidR="00A95D51" w:rsidRDefault="00EB2E73">
            <w:pPr>
              <w:jc w:val="center"/>
            </w:pPr>
            <w:r>
              <w:rPr>
                <w:color w:val="000000"/>
                <w:sz w:val="24"/>
              </w:rPr>
              <w:t>15</w:t>
            </w:r>
            <w:r>
              <w:rPr>
                <w:color w:val="000000"/>
                <w:sz w:val="24"/>
              </w:rPr>
              <w:t>铁道</w:t>
            </w:r>
            <w:r>
              <w:rPr>
                <w:color w:val="000000"/>
                <w:sz w:val="24"/>
              </w:rPr>
              <w:t>MTN001</w:t>
            </w:r>
          </w:p>
        </w:tc>
        <w:tc>
          <w:tcPr>
            <w:tcW w:w="1394" w:type="dxa"/>
            <w:vAlign w:val="center"/>
          </w:tcPr>
          <w:p w:rsidR="00A95D51" w:rsidRDefault="00EB2E73">
            <w:pPr>
              <w:jc w:val="right"/>
            </w:pPr>
            <w:r>
              <w:rPr>
                <w:color w:val="000000"/>
                <w:sz w:val="24"/>
              </w:rPr>
              <w:t>1,700,000</w:t>
            </w:r>
          </w:p>
        </w:tc>
        <w:tc>
          <w:tcPr>
            <w:tcW w:w="1944" w:type="dxa"/>
            <w:vAlign w:val="center"/>
          </w:tcPr>
          <w:p w:rsidR="00A95D51" w:rsidRDefault="00EB2E73">
            <w:pPr>
              <w:jc w:val="right"/>
            </w:pPr>
            <w:r>
              <w:rPr>
                <w:color w:val="000000"/>
                <w:sz w:val="24"/>
              </w:rPr>
              <w:t>174,403,000.00</w:t>
            </w:r>
          </w:p>
        </w:tc>
        <w:tc>
          <w:tcPr>
            <w:tcW w:w="1389" w:type="dxa"/>
            <w:vAlign w:val="center"/>
          </w:tcPr>
          <w:p w:rsidR="00A95D51" w:rsidRDefault="00EB2E73">
            <w:pPr>
              <w:jc w:val="right"/>
            </w:pPr>
            <w:r>
              <w:rPr>
                <w:color w:val="000000"/>
                <w:sz w:val="24"/>
              </w:rPr>
              <w:t>8.44</w:t>
            </w:r>
          </w:p>
        </w:tc>
      </w:tr>
      <w:tr w:rsidR="00A95D51">
        <w:trPr>
          <w:jc w:val="center"/>
        </w:trPr>
        <w:tc>
          <w:tcPr>
            <w:tcW w:w="1075" w:type="dxa"/>
            <w:vAlign w:val="center"/>
          </w:tcPr>
          <w:p w:rsidR="00A95D51" w:rsidRDefault="00EB2E73">
            <w:pPr>
              <w:jc w:val="center"/>
            </w:pPr>
            <w:r>
              <w:rPr>
                <w:color w:val="000000"/>
                <w:sz w:val="24"/>
              </w:rPr>
              <w:t>3</w:t>
            </w:r>
          </w:p>
        </w:tc>
        <w:tc>
          <w:tcPr>
            <w:tcW w:w="1533" w:type="dxa"/>
            <w:vAlign w:val="center"/>
          </w:tcPr>
          <w:p w:rsidR="00A95D51" w:rsidRDefault="00EB2E73">
            <w:pPr>
              <w:jc w:val="center"/>
            </w:pPr>
            <w:r>
              <w:rPr>
                <w:color w:val="000000"/>
                <w:sz w:val="24"/>
              </w:rPr>
              <w:t>011570004</w:t>
            </w:r>
          </w:p>
        </w:tc>
        <w:tc>
          <w:tcPr>
            <w:tcW w:w="1533" w:type="dxa"/>
            <w:vAlign w:val="center"/>
          </w:tcPr>
          <w:p w:rsidR="00A95D51" w:rsidRDefault="00EB2E73">
            <w:pPr>
              <w:jc w:val="center"/>
            </w:pPr>
            <w:r>
              <w:rPr>
                <w:color w:val="000000"/>
                <w:sz w:val="24"/>
              </w:rPr>
              <w:t>15</w:t>
            </w:r>
            <w:r>
              <w:rPr>
                <w:color w:val="000000"/>
                <w:sz w:val="24"/>
              </w:rPr>
              <w:t>赣高速</w:t>
            </w:r>
            <w:r>
              <w:rPr>
                <w:color w:val="000000"/>
                <w:sz w:val="24"/>
              </w:rPr>
              <w:t>SCP004</w:t>
            </w:r>
          </w:p>
        </w:tc>
        <w:tc>
          <w:tcPr>
            <w:tcW w:w="1394" w:type="dxa"/>
            <w:vAlign w:val="center"/>
          </w:tcPr>
          <w:p w:rsidR="00A95D51" w:rsidRDefault="00EB2E73">
            <w:pPr>
              <w:jc w:val="right"/>
            </w:pPr>
            <w:r>
              <w:rPr>
                <w:color w:val="000000"/>
                <w:sz w:val="24"/>
              </w:rPr>
              <w:t>1,200,000</w:t>
            </w:r>
          </w:p>
        </w:tc>
        <w:tc>
          <w:tcPr>
            <w:tcW w:w="1944" w:type="dxa"/>
            <w:vAlign w:val="center"/>
          </w:tcPr>
          <w:p w:rsidR="00A95D51" w:rsidRDefault="00EB2E73">
            <w:pPr>
              <w:jc w:val="right"/>
            </w:pPr>
            <w:r>
              <w:rPr>
                <w:color w:val="000000"/>
                <w:sz w:val="24"/>
              </w:rPr>
              <w:t>120,588,000.00</w:t>
            </w:r>
          </w:p>
        </w:tc>
        <w:tc>
          <w:tcPr>
            <w:tcW w:w="1389" w:type="dxa"/>
            <w:vAlign w:val="center"/>
          </w:tcPr>
          <w:p w:rsidR="00A95D51" w:rsidRDefault="00EB2E73">
            <w:pPr>
              <w:jc w:val="right"/>
            </w:pPr>
            <w:r>
              <w:rPr>
                <w:color w:val="000000"/>
                <w:sz w:val="24"/>
              </w:rPr>
              <w:t>5.84</w:t>
            </w:r>
          </w:p>
        </w:tc>
      </w:tr>
      <w:tr w:rsidR="00A95D51">
        <w:trPr>
          <w:jc w:val="center"/>
        </w:trPr>
        <w:tc>
          <w:tcPr>
            <w:tcW w:w="1075" w:type="dxa"/>
            <w:vAlign w:val="center"/>
          </w:tcPr>
          <w:p w:rsidR="00A95D51" w:rsidRDefault="00EB2E73">
            <w:pPr>
              <w:jc w:val="center"/>
            </w:pPr>
            <w:r>
              <w:rPr>
                <w:color w:val="000000"/>
                <w:sz w:val="24"/>
              </w:rPr>
              <w:t>4</w:t>
            </w:r>
          </w:p>
        </w:tc>
        <w:tc>
          <w:tcPr>
            <w:tcW w:w="1533" w:type="dxa"/>
            <w:vAlign w:val="center"/>
          </w:tcPr>
          <w:p w:rsidR="00A95D51" w:rsidRDefault="00EB2E73">
            <w:pPr>
              <w:jc w:val="center"/>
            </w:pPr>
            <w:r>
              <w:rPr>
                <w:color w:val="000000"/>
                <w:sz w:val="24"/>
              </w:rPr>
              <w:t>101453021</w:t>
            </w:r>
          </w:p>
        </w:tc>
        <w:tc>
          <w:tcPr>
            <w:tcW w:w="1533" w:type="dxa"/>
            <w:vAlign w:val="center"/>
          </w:tcPr>
          <w:p w:rsidR="00A95D51" w:rsidRDefault="00EB2E73">
            <w:pPr>
              <w:jc w:val="center"/>
            </w:pPr>
            <w:r>
              <w:rPr>
                <w:color w:val="000000"/>
                <w:sz w:val="24"/>
              </w:rPr>
              <w:t>14</w:t>
            </w:r>
            <w:r>
              <w:rPr>
                <w:color w:val="000000"/>
                <w:sz w:val="24"/>
              </w:rPr>
              <w:t>粤城建</w:t>
            </w:r>
            <w:r>
              <w:rPr>
                <w:color w:val="000000"/>
                <w:sz w:val="24"/>
              </w:rPr>
              <w:t>MTN001</w:t>
            </w:r>
          </w:p>
        </w:tc>
        <w:tc>
          <w:tcPr>
            <w:tcW w:w="1394" w:type="dxa"/>
            <w:vAlign w:val="center"/>
          </w:tcPr>
          <w:p w:rsidR="00A95D51" w:rsidRDefault="00EB2E73">
            <w:pPr>
              <w:jc w:val="right"/>
            </w:pPr>
            <w:r>
              <w:rPr>
                <w:color w:val="000000"/>
                <w:sz w:val="24"/>
              </w:rPr>
              <w:t>1,100,000</w:t>
            </w:r>
          </w:p>
        </w:tc>
        <w:tc>
          <w:tcPr>
            <w:tcW w:w="1944" w:type="dxa"/>
            <w:vAlign w:val="center"/>
          </w:tcPr>
          <w:p w:rsidR="00A95D51" w:rsidRDefault="00EB2E73">
            <w:pPr>
              <w:jc w:val="right"/>
            </w:pPr>
            <w:r>
              <w:rPr>
                <w:color w:val="000000"/>
                <w:sz w:val="24"/>
              </w:rPr>
              <w:t>115,027,000.00</w:t>
            </w:r>
          </w:p>
        </w:tc>
        <w:tc>
          <w:tcPr>
            <w:tcW w:w="1389" w:type="dxa"/>
            <w:vAlign w:val="center"/>
          </w:tcPr>
          <w:p w:rsidR="00A95D51" w:rsidRDefault="00EB2E73">
            <w:pPr>
              <w:jc w:val="right"/>
            </w:pPr>
            <w:r>
              <w:rPr>
                <w:color w:val="000000"/>
                <w:sz w:val="24"/>
              </w:rPr>
              <w:t>5.57</w:t>
            </w:r>
          </w:p>
        </w:tc>
      </w:tr>
      <w:tr w:rsidR="00A95D51">
        <w:trPr>
          <w:jc w:val="center"/>
        </w:trPr>
        <w:tc>
          <w:tcPr>
            <w:tcW w:w="1075" w:type="dxa"/>
            <w:vAlign w:val="center"/>
          </w:tcPr>
          <w:p w:rsidR="00A95D51" w:rsidRDefault="00EB2E73">
            <w:pPr>
              <w:jc w:val="center"/>
            </w:pPr>
            <w:r>
              <w:rPr>
                <w:color w:val="000000"/>
                <w:sz w:val="24"/>
              </w:rPr>
              <w:t>5</w:t>
            </w:r>
          </w:p>
        </w:tc>
        <w:tc>
          <w:tcPr>
            <w:tcW w:w="1533" w:type="dxa"/>
            <w:vAlign w:val="center"/>
          </w:tcPr>
          <w:p w:rsidR="00A95D51" w:rsidRDefault="00EB2E73">
            <w:pPr>
              <w:jc w:val="center"/>
            </w:pPr>
            <w:r>
              <w:rPr>
                <w:color w:val="000000"/>
                <w:sz w:val="24"/>
              </w:rPr>
              <w:t>150210</w:t>
            </w:r>
          </w:p>
        </w:tc>
        <w:tc>
          <w:tcPr>
            <w:tcW w:w="1533" w:type="dxa"/>
            <w:vAlign w:val="center"/>
          </w:tcPr>
          <w:p w:rsidR="00A95D51" w:rsidRDefault="00EB2E73">
            <w:pPr>
              <w:jc w:val="center"/>
            </w:pPr>
            <w:r>
              <w:rPr>
                <w:color w:val="000000"/>
                <w:sz w:val="24"/>
              </w:rPr>
              <w:t>15</w:t>
            </w:r>
            <w:r>
              <w:rPr>
                <w:color w:val="000000"/>
                <w:sz w:val="24"/>
              </w:rPr>
              <w:t>国开</w:t>
            </w:r>
            <w:r>
              <w:rPr>
                <w:color w:val="000000"/>
                <w:sz w:val="24"/>
              </w:rPr>
              <w:t>10</w:t>
            </w:r>
          </w:p>
        </w:tc>
        <w:tc>
          <w:tcPr>
            <w:tcW w:w="1394" w:type="dxa"/>
            <w:vAlign w:val="center"/>
          </w:tcPr>
          <w:p w:rsidR="00A95D51" w:rsidRDefault="00EB2E73">
            <w:pPr>
              <w:jc w:val="right"/>
            </w:pPr>
            <w:r>
              <w:rPr>
                <w:color w:val="000000"/>
                <w:sz w:val="24"/>
              </w:rPr>
              <w:t>1,000,000</w:t>
            </w:r>
          </w:p>
        </w:tc>
        <w:tc>
          <w:tcPr>
            <w:tcW w:w="1944" w:type="dxa"/>
            <w:vAlign w:val="center"/>
          </w:tcPr>
          <w:p w:rsidR="00A95D51" w:rsidRDefault="00EB2E73">
            <w:pPr>
              <w:jc w:val="right"/>
            </w:pPr>
            <w:r>
              <w:rPr>
                <w:color w:val="000000"/>
                <w:sz w:val="24"/>
              </w:rPr>
              <w:t>100,930,000.00</w:t>
            </w:r>
          </w:p>
        </w:tc>
        <w:tc>
          <w:tcPr>
            <w:tcW w:w="1389" w:type="dxa"/>
            <w:vAlign w:val="center"/>
          </w:tcPr>
          <w:p w:rsidR="00A95D51" w:rsidRDefault="00EB2E73">
            <w:pPr>
              <w:jc w:val="right"/>
            </w:pPr>
            <w:r>
              <w:rPr>
                <w:color w:val="000000"/>
                <w:sz w:val="24"/>
              </w:rPr>
              <w:t>4.88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5B06A7">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EB2E73"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242,219.75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51,906,444.17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39,369,827.82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3,264,362.90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94,782,854.64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A95D51">
        <w:trPr>
          <w:jc w:val="center"/>
        </w:trPr>
        <w:tc>
          <w:tcPr>
            <w:tcW w:w="1129" w:type="dxa"/>
            <w:vAlign w:val="center"/>
          </w:tcPr>
          <w:p w:rsidR="00A95D51" w:rsidRDefault="00EB2E73">
            <w:pPr>
              <w:jc w:val="center"/>
            </w:pPr>
            <w:r>
              <w:rPr>
                <w:rFonts w:eastAsiaTheme="minorEastAsia"/>
                <w:color w:val="000000"/>
                <w:sz w:val="24"/>
              </w:rPr>
              <w:t>1</w:t>
            </w:r>
          </w:p>
        </w:tc>
        <w:tc>
          <w:tcPr>
            <w:tcW w:w="1356" w:type="dxa"/>
            <w:vAlign w:val="center"/>
          </w:tcPr>
          <w:p w:rsidR="00A95D51" w:rsidRDefault="00EB2E73">
            <w:pPr>
              <w:jc w:val="center"/>
            </w:pPr>
            <w:r>
              <w:rPr>
                <w:rFonts w:eastAsiaTheme="minorEastAsia"/>
                <w:color w:val="000000"/>
                <w:sz w:val="24"/>
              </w:rPr>
              <w:t>600654</w:t>
            </w:r>
          </w:p>
        </w:tc>
        <w:tc>
          <w:tcPr>
            <w:tcW w:w="1355" w:type="dxa"/>
            <w:vAlign w:val="center"/>
          </w:tcPr>
          <w:p w:rsidR="00A95D51" w:rsidRDefault="00EB2E73">
            <w:pPr>
              <w:jc w:val="center"/>
            </w:pPr>
            <w:r>
              <w:rPr>
                <w:rFonts w:eastAsiaTheme="minorEastAsia"/>
                <w:color w:val="000000"/>
                <w:sz w:val="24"/>
              </w:rPr>
              <w:t>中安消</w:t>
            </w:r>
          </w:p>
        </w:tc>
        <w:tc>
          <w:tcPr>
            <w:tcW w:w="1880" w:type="dxa"/>
            <w:vAlign w:val="center"/>
          </w:tcPr>
          <w:p w:rsidR="00A95D51" w:rsidRDefault="00EB2E73">
            <w:pPr>
              <w:jc w:val="right"/>
            </w:pPr>
            <w:r>
              <w:rPr>
                <w:rFonts w:eastAsiaTheme="minorEastAsia"/>
                <w:color w:val="000000"/>
                <w:sz w:val="24"/>
              </w:rPr>
              <w:t>16,196,840.00</w:t>
            </w:r>
          </w:p>
        </w:tc>
        <w:tc>
          <w:tcPr>
            <w:tcW w:w="1724" w:type="dxa"/>
            <w:vAlign w:val="center"/>
          </w:tcPr>
          <w:p w:rsidR="00A95D51" w:rsidRDefault="00EB2E73">
            <w:pPr>
              <w:jc w:val="right"/>
            </w:pPr>
            <w:r>
              <w:rPr>
                <w:rFonts w:eastAsiaTheme="minorEastAsia"/>
                <w:color w:val="000000"/>
                <w:sz w:val="24"/>
              </w:rPr>
              <w:t>0.78</w:t>
            </w:r>
          </w:p>
        </w:tc>
        <w:tc>
          <w:tcPr>
            <w:tcW w:w="1424" w:type="dxa"/>
            <w:vAlign w:val="center"/>
          </w:tcPr>
          <w:p w:rsidR="00A95D51" w:rsidRDefault="00EB2E73">
            <w:pPr>
              <w:jc w:val="right"/>
            </w:pPr>
            <w:r>
              <w:rPr>
                <w:rFonts w:eastAsiaTheme="minorEastAsia"/>
                <w:color w:val="000000"/>
                <w:sz w:val="24"/>
              </w:rPr>
              <w:t>重大事项</w:t>
            </w:r>
          </w:p>
        </w:tc>
      </w:tr>
      <w:tr w:rsidR="00A95D51">
        <w:trPr>
          <w:jc w:val="center"/>
        </w:trPr>
        <w:tc>
          <w:tcPr>
            <w:tcW w:w="1129" w:type="dxa"/>
            <w:vAlign w:val="center"/>
          </w:tcPr>
          <w:p w:rsidR="00A95D51" w:rsidRDefault="00EB2E73">
            <w:pPr>
              <w:jc w:val="center"/>
            </w:pPr>
            <w:r>
              <w:rPr>
                <w:rFonts w:eastAsiaTheme="minorEastAsia"/>
                <w:color w:val="000000"/>
                <w:sz w:val="24"/>
              </w:rPr>
              <w:t>2</w:t>
            </w:r>
          </w:p>
        </w:tc>
        <w:tc>
          <w:tcPr>
            <w:tcW w:w="1356" w:type="dxa"/>
            <w:vAlign w:val="center"/>
          </w:tcPr>
          <w:p w:rsidR="00A95D51" w:rsidRDefault="00EB2E73">
            <w:pPr>
              <w:jc w:val="center"/>
            </w:pPr>
            <w:r>
              <w:rPr>
                <w:rFonts w:eastAsiaTheme="minorEastAsia"/>
                <w:color w:val="000000"/>
                <w:sz w:val="24"/>
              </w:rPr>
              <w:t>002268</w:t>
            </w:r>
          </w:p>
        </w:tc>
        <w:tc>
          <w:tcPr>
            <w:tcW w:w="1355" w:type="dxa"/>
            <w:vAlign w:val="center"/>
          </w:tcPr>
          <w:p w:rsidR="00A95D51" w:rsidRDefault="00EB2E73">
            <w:pPr>
              <w:jc w:val="center"/>
            </w:pPr>
            <w:r>
              <w:rPr>
                <w:rFonts w:eastAsiaTheme="minorEastAsia"/>
                <w:color w:val="000000"/>
                <w:sz w:val="24"/>
              </w:rPr>
              <w:t>卫</w:t>
            </w:r>
            <w:r>
              <w:rPr>
                <w:rFonts w:eastAsiaTheme="minorEastAsia"/>
                <w:color w:val="000000"/>
                <w:sz w:val="24"/>
              </w:rPr>
              <w:t xml:space="preserve"> </w:t>
            </w:r>
            <w:r>
              <w:rPr>
                <w:rFonts w:eastAsiaTheme="minorEastAsia"/>
                <w:color w:val="000000"/>
                <w:sz w:val="24"/>
              </w:rPr>
              <w:t>士</w:t>
            </w:r>
            <w:r>
              <w:rPr>
                <w:rFonts w:eastAsiaTheme="minorEastAsia"/>
                <w:color w:val="000000"/>
                <w:sz w:val="24"/>
              </w:rPr>
              <w:t xml:space="preserve"> </w:t>
            </w:r>
            <w:r>
              <w:rPr>
                <w:rFonts w:eastAsiaTheme="minorEastAsia"/>
                <w:color w:val="000000"/>
                <w:sz w:val="24"/>
              </w:rPr>
              <w:t>通</w:t>
            </w:r>
          </w:p>
        </w:tc>
        <w:tc>
          <w:tcPr>
            <w:tcW w:w="1880" w:type="dxa"/>
            <w:vAlign w:val="center"/>
          </w:tcPr>
          <w:p w:rsidR="00A95D51" w:rsidRDefault="00EB2E73">
            <w:pPr>
              <w:jc w:val="right"/>
            </w:pPr>
            <w:r>
              <w:rPr>
                <w:rFonts w:eastAsiaTheme="minorEastAsia"/>
                <w:color w:val="000000"/>
                <w:sz w:val="24"/>
              </w:rPr>
              <w:t>8,014,000.00</w:t>
            </w:r>
          </w:p>
        </w:tc>
        <w:tc>
          <w:tcPr>
            <w:tcW w:w="1724" w:type="dxa"/>
            <w:vAlign w:val="center"/>
          </w:tcPr>
          <w:p w:rsidR="00A95D51" w:rsidRDefault="00EB2E73">
            <w:pPr>
              <w:jc w:val="right"/>
            </w:pPr>
            <w:r>
              <w:rPr>
                <w:rFonts w:eastAsiaTheme="minorEastAsia"/>
                <w:color w:val="000000"/>
                <w:sz w:val="24"/>
              </w:rPr>
              <w:t>0.39</w:t>
            </w:r>
          </w:p>
        </w:tc>
        <w:tc>
          <w:tcPr>
            <w:tcW w:w="1424" w:type="dxa"/>
            <w:vAlign w:val="center"/>
          </w:tcPr>
          <w:p w:rsidR="00A95D51" w:rsidRDefault="00EB2E73">
            <w:pPr>
              <w:jc w:val="right"/>
            </w:pPr>
            <w:r>
              <w:rPr>
                <w:rFonts w:eastAsiaTheme="minorEastAsia"/>
                <w:color w:val="000000"/>
                <w:sz w:val="24"/>
              </w:rPr>
              <w:t>重大事项</w:t>
            </w:r>
          </w:p>
        </w:tc>
      </w:tr>
      <w:tr w:rsidR="00A95D51">
        <w:trPr>
          <w:jc w:val="center"/>
        </w:trPr>
        <w:tc>
          <w:tcPr>
            <w:tcW w:w="1129" w:type="dxa"/>
            <w:vAlign w:val="center"/>
          </w:tcPr>
          <w:p w:rsidR="00A95D51" w:rsidRDefault="00EB2E73">
            <w:pPr>
              <w:jc w:val="center"/>
            </w:pPr>
            <w:r>
              <w:rPr>
                <w:rFonts w:eastAsiaTheme="minorEastAsia"/>
                <w:color w:val="000000"/>
                <w:sz w:val="24"/>
              </w:rPr>
              <w:t>3</w:t>
            </w:r>
          </w:p>
        </w:tc>
        <w:tc>
          <w:tcPr>
            <w:tcW w:w="1356" w:type="dxa"/>
            <w:vAlign w:val="center"/>
          </w:tcPr>
          <w:p w:rsidR="00A95D51" w:rsidRDefault="00EB2E73">
            <w:pPr>
              <w:jc w:val="center"/>
            </w:pPr>
            <w:r>
              <w:rPr>
                <w:rFonts w:eastAsiaTheme="minorEastAsia"/>
                <w:color w:val="000000"/>
                <w:sz w:val="24"/>
              </w:rPr>
              <w:t>002348</w:t>
            </w:r>
          </w:p>
        </w:tc>
        <w:tc>
          <w:tcPr>
            <w:tcW w:w="1355" w:type="dxa"/>
            <w:vAlign w:val="center"/>
          </w:tcPr>
          <w:p w:rsidR="00A95D51" w:rsidRDefault="00EB2E73">
            <w:pPr>
              <w:jc w:val="center"/>
            </w:pPr>
            <w:r>
              <w:rPr>
                <w:rFonts w:eastAsiaTheme="minorEastAsia"/>
                <w:color w:val="000000"/>
                <w:sz w:val="24"/>
              </w:rPr>
              <w:t>高乐股份</w:t>
            </w:r>
          </w:p>
        </w:tc>
        <w:tc>
          <w:tcPr>
            <w:tcW w:w="1880" w:type="dxa"/>
            <w:vAlign w:val="center"/>
          </w:tcPr>
          <w:p w:rsidR="00A95D51" w:rsidRDefault="00EB2E73">
            <w:pPr>
              <w:jc w:val="right"/>
            </w:pPr>
            <w:r>
              <w:rPr>
                <w:rFonts w:eastAsiaTheme="minorEastAsia"/>
                <w:color w:val="000000"/>
                <w:sz w:val="24"/>
              </w:rPr>
              <w:t>5,470,500.00</w:t>
            </w:r>
          </w:p>
        </w:tc>
        <w:tc>
          <w:tcPr>
            <w:tcW w:w="1724" w:type="dxa"/>
            <w:vAlign w:val="center"/>
          </w:tcPr>
          <w:p w:rsidR="00A95D51" w:rsidRDefault="00EB2E73">
            <w:pPr>
              <w:jc w:val="right"/>
            </w:pPr>
            <w:r>
              <w:rPr>
                <w:rFonts w:eastAsiaTheme="minorEastAsia"/>
                <w:color w:val="000000"/>
                <w:sz w:val="24"/>
              </w:rPr>
              <w:t>0.26</w:t>
            </w:r>
          </w:p>
        </w:tc>
        <w:tc>
          <w:tcPr>
            <w:tcW w:w="1424" w:type="dxa"/>
            <w:vAlign w:val="center"/>
          </w:tcPr>
          <w:p w:rsidR="00A95D51" w:rsidRDefault="00EB2E73">
            <w:pPr>
              <w:jc w:val="right"/>
            </w:pPr>
            <w:r>
              <w:rPr>
                <w:rFonts w:eastAsiaTheme="minorEastAsia"/>
                <w:color w:val="000000"/>
                <w:sz w:val="24"/>
              </w:rPr>
              <w:t>重大事项</w:t>
            </w:r>
          </w:p>
        </w:tc>
      </w:tr>
      <w:tr w:rsidR="00A95D51">
        <w:trPr>
          <w:jc w:val="center"/>
        </w:trPr>
        <w:tc>
          <w:tcPr>
            <w:tcW w:w="1129" w:type="dxa"/>
            <w:vAlign w:val="center"/>
          </w:tcPr>
          <w:p w:rsidR="00A95D51" w:rsidRDefault="00EB2E73">
            <w:pPr>
              <w:jc w:val="center"/>
            </w:pPr>
            <w:r>
              <w:rPr>
                <w:rFonts w:eastAsiaTheme="minorEastAsia"/>
                <w:color w:val="000000"/>
                <w:sz w:val="24"/>
              </w:rPr>
              <w:t>4</w:t>
            </w:r>
          </w:p>
        </w:tc>
        <w:tc>
          <w:tcPr>
            <w:tcW w:w="1356" w:type="dxa"/>
            <w:vAlign w:val="center"/>
          </w:tcPr>
          <w:p w:rsidR="00A95D51" w:rsidRDefault="00EB2E73">
            <w:pPr>
              <w:jc w:val="center"/>
            </w:pPr>
            <w:r>
              <w:rPr>
                <w:rFonts w:eastAsiaTheme="minorEastAsia"/>
                <w:color w:val="000000"/>
                <w:sz w:val="24"/>
              </w:rPr>
              <w:t>600153</w:t>
            </w:r>
          </w:p>
        </w:tc>
        <w:tc>
          <w:tcPr>
            <w:tcW w:w="1355" w:type="dxa"/>
            <w:vAlign w:val="center"/>
          </w:tcPr>
          <w:p w:rsidR="00A95D51" w:rsidRDefault="00EB2E73">
            <w:pPr>
              <w:jc w:val="center"/>
            </w:pPr>
            <w:r>
              <w:rPr>
                <w:rFonts w:eastAsiaTheme="minorEastAsia"/>
                <w:color w:val="000000"/>
                <w:sz w:val="24"/>
              </w:rPr>
              <w:t>建发股份</w:t>
            </w:r>
          </w:p>
        </w:tc>
        <w:tc>
          <w:tcPr>
            <w:tcW w:w="1880" w:type="dxa"/>
            <w:vAlign w:val="center"/>
          </w:tcPr>
          <w:p w:rsidR="00A95D51" w:rsidRDefault="00EB2E73">
            <w:pPr>
              <w:jc w:val="right"/>
            </w:pPr>
            <w:r>
              <w:rPr>
                <w:rFonts w:eastAsiaTheme="minorEastAsia"/>
                <w:color w:val="000000"/>
                <w:sz w:val="24"/>
              </w:rPr>
              <w:t>5,253,000.00</w:t>
            </w:r>
          </w:p>
        </w:tc>
        <w:tc>
          <w:tcPr>
            <w:tcW w:w="1724" w:type="dxa"/>
            <w:vAlign w:val="center"/>
          </w:tcPr>
          <w:p w:rsidR="00A95D51" w:rsidRDefault="00EB2E73">
            <w:pPr>
              <w:jc w:val="right"/>
            </w:pPr>
            <w:r>
              <w:rPr>
                <w:rFonts w:eastAsiaTheme="minorEastAsia"/>
                <w:color w:val="000000"/>
                <w:sz w:val="24"/>
              </w:rPr>
              <w:t>0.25</w:t>
            </w:r>
          </w:p>
        </w:tc>
        <w:tc>
          <w:tcPr>
            <w:tcW w:w="1424" w:type="dxa"/>
            <w:vAlign w:val="center"/>
          </w:tcPr>
          <w:p w:rsidR="00A95D51" w:rsidRDefault="00EB2E73">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A95D51" w:rsidRDefault="00EB2E73">
      <w:pPr>
        <w:spacing w:before="29" w:line="288" w:lineRule="auto"/>
        <w:rPr>
          <w:rFonts w:eastAsiaTheme="minorEastAsia"/>
          <w:color w:val="000000"/>
          <w:sz w:val="24"/>
        </w:rPr>
      </w:pPr>
      <w:r>
        <w:rPr>
          <w:rFonts w:eastAsiaTheme="minorEastAsia"/>
          <w:color w:val="000000"/>
          <w:sz w:val="24"/>
        </w:rPr>
        <w:t>1</w:t>
      </w:r>
      <w:r>
        <w:rPr>
          <w:rFonts w:eastAsiaTheme="minorEastAsia"/>
          <w:color w:val="000000"/>
          <w:sz w:val="24"/>
        </w:rPr>
        <w:t>、本基金本报告期末未持有处于交换期的可交换债券。</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1949CA">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462,413,508.37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198,448,918.61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1,505,054,196.36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619,264,120.72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543,723,764.73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617,681,072.07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1,423,743,940.00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200,031,967.26</w:t>
            </w:r>
          </w:p>
        </w:tc>
      </w:tr>
    </w:tbl>
    <w:p w:rsidR="00A95D51" w:rsidRDefault="00EB2E7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1949CA">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31" w:type="dxa"/>
        <w:tblInd w:w="108" w:type="dxa"/>
        <w:tblLayout w:type="fixed"/>
        <w:tblLook w:val="0000" w:firstRow="0" w:lastRow="0" w:firstColumn="0" w:lastColumn="0" w:noHBand="0" w:noVBand="0"/>
      </w:tblPr>
      <w:tblGrid>
        <w:gridCol w:w="2268"/>
        <w:gridCol w:w="3402"/>
        <w:gridCol w:w="3261"/>
      </w:tblGrid>
      <w:tr w:rsidR="00560BDB" w:rsidRPr="00AE55CC" w:rsidTr="00560BDB">
        <w:tc>
          <w:tcPr>
            <w:tcW w:w="2268" w:type="dxa"/>
            <w:tcBorders>
              <w:top w:val="single" w:sz="8" w:space="0" w:color="000000"/>
              <w:left w:val="single" w:sz="8" w:space="0" w:color="000000"/>
              <w:bottom w:val="single" w:sz="8" w:space="0" w:color="000000"/>
              <w:right w:val="single" w:sz="8" w:space="0" w:color="000000"/>
            </w:tcBorders>
            <w:vAlign w:val="center"/>
          </w:tcPr>
          <w:p w:rsidR="00560BDB" w:rsidRPr="00AE55CC" w:rsidRDefault="00560BDB" w:rsidP="00560BD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3402" w:type="dxa"/>
            <w:tcBorders>
              <w:top w:val="single" w:sz="8" w:space="0" w:color="000000"/>
              <w:left w:val="single" w:sz="8" w:space="0" w:color="000000"/>
              <w:bottom w:val="single" w:sz="8" w:space="0" w:color="000000"/>
              <w:right w:val="single" w:sz="8" w:space="0" w:color="000000"/>
            </w:tcBorders>
            <w:vAlign w:val="center"/>
          </w:tcPr>
          <w:p w:rsidR="00560BDB" w:rsidRPr="00AE55CC" w:rsidRDefault="00560BDB" w:rsidP="00601826">
            <w:pPr>
              <w:autoSpaceDE w:val="0"/>
              <w:autoSpaceDN w:val="0"/>
              <w:adjustRightInd w:val="0"/>
              <w:spacing w:before="29" w:line="360" w:lineRule="auto"/>
              <w:ind w:left="17"/>
              <w:jc w:val="left"/>
              <w:rPr>
                <w:color w:val="000000"/>
                <w:sz w:val="24"/>
              </w:rPr>
            </w:pPr>
            <w:r w:rsidRPr="00AE55CC">
              <w:rPr>
                <w:sz w:val="24"/>
              </w:rPr>
              <w:t>交银双利债券</w:t>
            </w:r>
            <w:r w:rsidR="003D5EAC">
              <w:rPr>
                <w:rFonts w:hint="eastAsia"/>
                <w:sz w:val="24"/>
              </w:rPr>
              <w:t>A/B</w:t>
            </w:r>
            <w:bookmarkStart w:id="0" w:name="_GoBack"/>
            <w:bookmarkEnd w:id="0"/>
          </w:p>
        </w:tc>
        <w:tc>
          <w:tcPr>
            <w:tcW w:w="3261" w:type="dxa"/>
            <w:tcBorders>
              <w:top w:val="single" w:sz="8" w:space="0" w:color="000000"/>
              <w:left w:val="single" w:sz="8" w:space="0" w:color="000000"/>
              <w:bottom w:val="single" w:sz="8" w:space="0" w:color="000000"/>
              <w:right w:val="single" w:sz="8" w:space="0" w:color="000000"/>
            </w:tcBorders>
            <w:vAlign w:val="center"/>
          </w:tcPr>
          <w:p w:rsidR="00560BDB" w:rsidRPr="00857F74" w:rsidRDefault="00560BDB" w:rsidP="00601826">
            <w:pPr>
              <w:jc w:val="left"/>
              <w:rPr>
                <w:rFonts w:ascii="宋体" w:hAnsi="宋体"/>
                <w:color w:val="000000" w:themeColor="text1"/>
                <w:sz w:val="24"/>
              </w:rPr>
            </w:pPr>
            <w:r w:rsidRPr="00857F74">
              <w:rPr>
                <w:rFonts w:ascii="宋体" w:hAnsi="宋体"/>
                <w:color w:val="000000" w:themeColor="text1"/>
                <w:sz w:val="24"/>
              </w:rPr>
              <w:t>交银双利债券C</w:t>
            </w:r>
          </w:p>
        </w:tc>
      </w:tr>
      <w:tr w:rsidR="00560BDB" w:rsidRPr="00AE55CC" w:rsidTr="00560BDB">
        <w:tc>
          <w:tcPr>
            <w:tcW w:w="2268" w:type="dxa"/>
            <w:tcBorders>
              <w:top w:val="single" w:sz="8" w:space="0" w:color="000000"/>
              <w:left w:val="single" w:sz="8" w:space="0" w:color="000000"/>
              <w:bottom w:val="single" w:sz="8" w:space="0" w:color="000000"/>
              <w:right w:val="single" w:sz="8" w:space="0" w:color="000000"/>
            </w:tcBorders>
            <w:vAlign w:val="center"/>
          </w:tcPr>
          <w:p w:rsidR="00560BDB" w:rsidRPr="00AE55CC" w:rsidRDefault="00560BDB" w:rsidP="00560BD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3402" w:type="dxa"/>
            <w:tcBorders>
              <w:top w:val="single" w:sz="8" w:space="0" w:color="000000"/>
              <w:left w:val="single" w:sz="8" w:space="0" w:color="000000"/>
              <w:bottom w:val="single" w:sz="8" w:space="0" w:color="000000"/>
              <w:right w:val="single" w:sz="8" w:space="0" w:color="000000"/>
            </w:tcBorders>
            <w:vAlign w:val="center"/>
          </w:tcPr>
          <w:p w:rsidR="00560BDB" w:rsidRPr="00AE55CC" w:rsidRDefault="00560BDB" w:rsidP="00601826">
            <w:pPr>
              <w:jc w:val="left"/>
              <w:rPr>
                <w:sz w:val="24"/>
              </w:rPr>
            </w:pPr>
            <w:r w:rsidRPr="00AE55CC">
              <w:rPr>
                <w:color w:val="000000"/>
                <w:sz w:val="24"/>
              </w:rPr>
              <w:t>23,971,180.55</w:t>
            </w:r>
          </w:p>
        </w:tc>
        <w:tc>
          <w:tcPr>
            <w:tcW w:w="3261" w:type="dxa"/>
            <w:tcBorders>
              <w:top w:val="single" w:sz="8" w:space="0" w:color="000000"/>
              <w:left w:val="single" w:sz="8" w:space="0" w:color="000000"/>
              <w:bottom w:val="single" w:sz="8" w:space="0" w:color="000000"/>
              <w:right w:val="single" w:sz="8" w:space="0" w:color="000000"/>
            </w:tcBorders>
            <w:vAlign w:val="center"/>
          </w:tcPr>
          <w:p w:rsidR="00560BDB" w:rsidRPr="00857F74" w:rsidRDefault="00560BDB" w:rsidP="00601826">
            <w:pPr>
              <w:jc w:val="left"/>
              <w:rPr>
                <w:rFonts w:ascii="宋体" w:hAnsi="宋体"/>
                <w:color w:val="000000" w:themeColor="text1"/>
                <w:sz w:val="24"/>
              </w:rPr>
            </w:pPr>
            <w:r w:rsidRPr="00857F74">
              <w:rPr>
                <w:rFonts w:ascii="宋体" w:hAnsi="宋体"/>
                <w:color w:val="000000" w:themeColor="text1"/>
                <w:sz w:val="24"/>
              </w:rPr>
              <w:t>-</w:t>
            </w:r>
          </w:p>
        </w:tc>
      </w:tr>
      <w:tr w:rsidR="00560BDB" w:rsidRPr="00AE55CC" w:rsidTr="00560BDB">
        <w:tc>
          <w:tcPr>
            <w:tcW w:w="2268" w:type="dxa"/>
            <w:tcBorders>
              <w:top w:val="single" w:sz="8" w:space="0" w:color="000000"/>
              <w:left w:val="single" w:sz="8" w:space="0" w:color="000000"/>
              <w:bottom w:val="single" w:sz="8" w:space="0" w:color="000000"/>
              <w:right w:val="single" w:sz="8" w:space="0" w:color="000000"/>
            </w:tcBorders>
            <w:vAlign w:val="center"/>
          </w:tcPr>
          <w:p w:rsidR="00560BDB" w:rsidRPr="00AE55CC" w:rsidRDefault="00560BDB" w:rsidP="00560BD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3402" w:type="dxa"/>
            <w:tcBorders>
              <w:top w:val="single" w:sz="8" w:space="0" w:color="000000"/>
              <w:left w:val="single" w:sz="8" w:space="0" w:color="000000"/>
              <w:bottom w:val="single" w:sz="8" w:space="0" w:color="000000"/>
              <w:right w:val="single" w:sz="8" w:space="0" w:color="000000"/>
            </w:tcBorders>
            <w:vAlign w:val="center"/>
          </w:tcPr>
          <w:p w:rsidR="00560BDB" w:rsidRPr="00AE55CC" w:rsidRDefault="00560BDB" w:rsidP="00601826">
            <w:pPr>
              <w:jc w:val="left"/>
              <w:rPr>
                <w:color w:val="000000"/>
                <w:kern w:val="0"/>
                <w:sz w:val="24"/>
              </w:rPr>
            </w:pPr>
            <w:r w:rsidRPr="00AE55CC">
              <w:rPr>
                <w:color w:val="000000"/>
                <w:sz w:val="24"/>
              </w:rPr>
              <w:t>1,905,499.25</w:t>
            </w:r>
          </w:p>
        </w:tc>
        <w:tc>
          <w:tcPr>
            <w:tcW w:w="3261" w:type="dxa"/>
            <w:tcBorders>
              <w:top w:val="single" w:sz="8" w:space="0" w:color="000000"/>
              <w:left w:val="single" w:sz="8" w:space="0" w:color="000000"/>
              <w:bottom w:val="single" w:sz="8" w:space="0" w:color="000000"/>
              <w:right w:val="single" w:sz="8" w:space="0" w:color="000000"/>
            </w:tcBorders>
            <w:vAlign w:val="center"/>
          </w:tcPr>
          <w:p w:rsidR="00560BDB" w:rsidRPr="00857F74" w:rsidRDefault="00560BDB" w:rsidP="00601826">
            <w:pPr>
              <w:jc w:val="left"/>
              <w:rPr>
                <w:rFonts w:ascii="宋体" w:hAnsi="宋体"/>
                <w:color w:val="000000" w:themeColor="text1"/>
                <w:sz w:val="24"/>
              </w:rPr>
            </w:pPr>
            <w:r w:rsidRPr="00857F74">
              <w:rPr>
                <w:rFonts w:ascii="宋体" w:hAnsi="宋体"/>
                <w:color w:val="000000" w:themeColor="text1"/>
                <w:sz w:val="24"/>
              </w:rPr>
              <w:t>-</w:t>
            </w:r>
          </w:p>
        </w:tc>
      </w:tr>
      <w:tr w:rsidR="00560BDB" w:rsidRPr="00AE55CC" w:rsidTr="00560BDB">
        <w:tc>
          <w:tcPr>
            <w:tcW w:w="2268" w:type="dxa"/>
            <w:tcBorders>
              <w:top w:val="single" w:sz="8" w:space="0" w:color="000000"/>
              <w:left w:val="single" w:sz="8" w:space="0" w:color="000000"/>
              <w:bottom w:val="single" w:sz="8" w:space="0" w:color="000000"/>
              <w:right w:val="single" w:sz="8" w:space="0" w:color="000000"/>
            </w:tcBorders>
            <w:vAlign w:val="center"/>
          </w:tcPr>
          <w:p w:rsidR="00560BDB" w:rsidRPr="00AE55CC" w:rsidRDefault="00560BDB" w:rsidP="00560BD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3402" w:type="dxa"/>
            <w:tcBorders>
              <w:top w:val="single" w:sz="8" w:space="0" w:color="000000"/>
              <w:left w:val="single" w:sz="8" w:space="0" w:color="000000"/>
              <w:bottom w:val="single" w:sz="8" w:space="0" w:color="000000"/>
              <w:right w:val="single" w:sz="8" w:space="0" w:color="000000"/>
            </w:tcBorders>
            <w:vAlign w:val="center"/>
          </w:tcPr>
          <w:p w:rsidR="00560BDB" w:rsidRPr="00AE55CC" w:rsidRDefault="00560BDB" w:rsidP="00601826">
            <w:pPr>
              <w:jc w:val="left"/>
              <w:rPr>
                <w:color w:val="000000"/>
                <w:kern w:val="0"/>
                <w:sz w:val="24"/>
              </w:rPr>
            </w:pPr>
            <w:r w:rsidRPr="00AE55CC">
              <w:rPr>
                <w:color w:val="000000"/>
                <w:sz w:val="24"/>
              </w:rPr>
              <w:t>-</w:t>
            </w:r>
          </w:p>
        </w:tc>
        <w:tc>
          <w:tcPr>
            <w:tcW w:w="3261" w:type="dxa"/>
            <w:tcBorders>
              <w:top w:val="single" w:sz="8" w:space="0" w:color="000000"/>
              <w:left w:val="single" w:sz="8" w:space="0" w:color="000000"/>
              <w:bottom w:val="single" w:sz="8" w:space="0" w:color="000000"/>
              <w:right w:val="single" w:sz="8" w:space="0" w:color="000000"/>
            </w:tcBorders>
            <w:vAlign w:val="center"/>
          </w:tcPr>
          <w:p w:rsidR="00560BDB" w:rsidRPr="00857F74" w:rsidRDefault="00560BDB" w:rsidP="00601826">
            <w:pPr>
              <w:jc w:val="left"/>
              <w:rPr>
                <w:rFonts w:ascii="宋体" w:hAnsi="宋体"/>
                <w:color w:val="000000" w:themeColor="text1"/>
                <w:sz w:val="24"/>
              </w:rPr>
            </w:pPr>
            <w:r w:rsidRPr="00857F74">
              <w:rPr>
                <w:rFonts w:ascii="宋体" w:hAnsi="宋体"/>
                <w:color w:val="000000" w:themeColor="text1"/>
                <w:sz w:val="24"/>
              </w:rPr>
              <w:t>-</w:t>
            </w:r>
          </w:p>
        </w:tc>
      </w:tr>
      <w:tr w:rsidR="00560BDB" w:rsidRPr="00AE55CC" w:rsidTr="00560BDB">
        <w:tc>
          <w:tcPr>
            <w:tcW w:w="2268" w:type="dxa"/>
            <w:tcBorders>
              <w:top w:val="single" w:sz="8" w:space="0" w:color="000000"/>
              <w:left w:val="single" w:sz="8" w:space="0" w:color="000000"/>
              <w:bottom w:val="single" w:sz="8" w:space="0" w:color="000000"/>
              <w:right w:val="single" w:sz="8" w:space="0" w:color="000000"/>
            </w:tcBorders>
            <w:vAlign w:val="center"/>
          </w:tcPr>
          <w:p w:rsidR="00560BDB" w:rsidRPr="00AE55CC" w:rsidRDefault="00560BDB" w:rsidP="00560BDB">
            <w:pPr>
              <w:adjustRightInd w:val="0"/>
              <w:snapToGrid w:val="0"/>
              <w:spacing w:line="360" w:lineRule="exact"/>
              <w:rPr>
                <w:color w:val="000000"/>
                <w:sz w:val="24"/>
              </w:rPr>
            </w:pPr>
            <w:r w:rsidRPr="00AE55CC">
              <w:rPr>
                <w:color w:val="000000"/>
                <w:sz w:val="24"/>
              </w:rPr>
              <w:t>报告期期末管理人持有的本基金份额</w:t>
            </w:r>
          </w:p>
        </w:tc>
        <w:tc>
          <w:tcPr>
            <w:tcW w:w="3402" w:type="dxa"/>
            <w:tcBorders>
              <w:top w:val="single" w:sz="8" w:space="0" w:color="000000"/>
              <w:left w:val="single" w:sz="8" w:space="0" w:color="000000"/>
              <w:bottom w:val="single" w:sz="8" w:space="0" w:color="000000"/>
              <w:right w:val="single" w:sz="8" w:space="0" w:color="000000"/>
            </w:tcBorders>
            <w:vAlign w:val="center"/>
          </w:tcPr>
          <w:p w:rsidR="00560BDB" w:rsidRPr="00AE55CC" w:rsidRDefault="00560BDB" w:rsidP="00601826">
            <w:pPr>
              <w:jc w:val="left"/>
              <w:rPr>
                <w:sz w:val="24"/>
              </w:rPr>
            </w:pPr>
            <w:r w:rsidRPr="00AE55CC">
              <w:rPr>
                <w:color w:val="000000"/>
                <w:sz w:val="24"/>
              </w:rPr>
              <w:t>25,876,679.80</w:t>
            </w:r>
          </w:p>
        </w:tc>
        <w:tc>
          <w:tcPr>
            <w:tcW w:w="3261" w:type="dxa"/>
            <w:tcBorders>
              <w:top w:val="single" w:sz="8" w:space="0" w:color="000000"/>
              <w:left w:val="single" w:sz="8" w:space="0" w:color="000000"/>
              <w:bottom w:val="single" w:sz="8" w:space="0" w:color="000000"/>
              <w:right w:val="single" w:sz="8" w:space="0" w:color="000000"/>
            </w:tcBorders>
            <w:vAlign w:val="center"/>
          </w:tcPr>
          <w:p w:rsidR="00560BDB" w:rsidRPr="00857F74" w:rsidRDefault="00560BDB" w:rsidP="00601826">
            <w:pPr>
              <w:jc w:val="left"/>
              <w:rPr>
                <w:rFonts w:ascii="宋体" w:hAnsi="宋体"/>
                <w:color w:val="000000" w:themeColor="text1"/>
                <w:sz w:val="24"/>
              </w:rPr>
            </w:pPr>
            <w:r w:rsidRPr="00857F74">
              <w:rPr>
                <w:rFonts w:ascii="宋体" w:hAnsi="宋体"/>
                <w:color w:val="000000" w:themeColor="text1"/>
                <w:sz w:val="24"/>
              </w:rPr>
              <w:t>-</w:t>
            </w:r>
          </w:p>
        </w:tc>
      </w:tr>
      <w:tr w:rsidR="00560BDB" w:rsidRPr="00AE55CC" w:rsidTr="00560BDB">
        <w:tc>
          <w:tcPr>
            <w:tcW w:w="2268" w:type="dxa"/>
            <w:tcBorders>
              <w:top w:val="single" w:sz="8" w:space="0" w:color="000000"/>
              <w:left w:val="single" w:sz="8" w:space="0" w:color="000000"/>
              <w:bottom w:val="single" w:sz="8" w:space="0" w:color="000000"/>
              <w:right w:val="single" w:sz="8" w:space="0" w:color="000000"/>
            </w:tcBorders>
            <w:vAlign w:val="center"/>
          </w:tcPr>
          <w:p w:rsidR="00560BDB" w:rsidRPr="00AE55CC" w:rsidRDefault="00560BDB" w:rsidP="00560BD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3402" w:type="dxa"/>
            <w:tcBorders>
              <w:top w:val="single" w:sz="8" w:space="0" w:color="000000"/>
              <w:left w:val="single" w:sz="8" w:space="0" w:color="000000"/>
              <w:bottom w:val="single" w:sz="8" w:space="0" w:color="000000"/>
              <w:right w:val="single" w:sz="8" w:space="0" w:color="000000"/>
            </w:tcBorders>
            <w:vAlign w:val="center"/>
          </w:tcPr>
          <w:p w:rsidR="00560BDB" w:rsidRPr="00AE55CC" w:rsidRDefault="00560BDB" w:rsidP="00601826">
            <w:pPr>
              <w:jc w:val="left"/>
              <w:rPr>
                <w:color w:val="000000"/>
                <w:kern w:val="0"/>
                <w:sz w:val="24"/>
              </w:rPr>
            </w:pPr>
            <w:r w:rsidRPr="00AE55CC">
              <w:rPr>
                <w:color w:val="000000"/>
                <w:sz w:val="24"/>
              </w:rPr>
              <w:t>1.59</w:t>
            </w:r>
          </w:p>
        </w:tc>
        <w:tc>
          <w:tcPr>
            <w:tcW w:w="3261" w:type="dxa"/>
            <w:tcBorders>
              <w:top w:val="single" w:sz="8" w:space="0" w:color="000000"/>
              <w:left w:val="single" w:sz="8" w:space="0" w:color="000000"/>
              <w:bottom w:val="single" w:sz="8" w:space="0" w:color="000000"/>
              <w:right w:val="single" w:sz="8" w:space="0" w:color="000000"/>
            </w:tcBorders>
            <w:vAlign w:val="center"/>
          </w:tcPr>
          <w:p w:rsidR="00560BDB" w:rsidRPr="00857F74" w:rsidRDefault="00560BDB" w:rsidP="00601826">
            <w:pPr>
              <w:jc w:val="left"/>
              <w:rPr>
                <w:rFonts w:ascii="宋体" w:hAnsi="宋体"/>
                <w:color w:val="000000" w:themeColor="text1"/>
                <w:sz w:val="24"/>
              </w:rPr>
            </w:pPr>
            <w:r w:rsidRPr="00857F74">
              <w:rPr>
                <w:rFonts w:ascii="宋体" w:hAnsi="宋体"/>
                <w:color w:val="000000" w:themeColor="text1"/>
                <w:sz w:val="24"/>
              </w:rPr>
              <w:t>-</w:t>
            </w:r>
          </w:p>
        </w:tc>
      </w:tr>
    </w:tbl>
    <w:p w:rsidR="00A95D51" w:rsidRDefault="00EB2E7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85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7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70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8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9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A95D51">
        <w:trPr>
          <w:jc w:val="center"/>
        </w:trPr>
        <w:tc>
          <w:tcPr>
            <w:tcW w:w="1032" w:type="dxa"/>
            <w:vAlign w:val="center"/>
          </w:tcPr>
          <w:p w:rsidR="00A95D51" w:rsidRDefault="00EB2E73">
            <w:pPr>
              <w:jc w:val="center"/>
            </w:pPr>
            <w:r>
              <w:rPr>
                <w:rFonts w:eastAsiaTheme="minorEastAsia"/>
                <w:color w:val="000000"/>
                <w:sz w:val="24"/>
              </w:rPr>
              <w:t>1</w:t>
            </w:r>
          </w:p>
        </w:tc>
        <w:tc>
          <w:tcPr>
            <w:tcW w:w="1776" w:type="dxa"/>
            <w:vAlign w:val="center"/>
          </w:tcPr>
          <w:p w:rsidR="00A95D51" w:rsidRDefault="00EB2E73">
            <w:pPr>
              <w:jc w:val="center"/>
            </w:pPr>
            <w:r>
              <w:rPr>
                <w:rFonts w:eastAsiaTheme="minorEastAsia"/>
                <w:color w:val="000000"/>
                <w:sz w:val="24"/>
              </w:rPr>
              <w:t>红利再投</w:t>
            </w:r>
          </w:p>
        </w:tc>
        <w:tc>
          <w:tcPr>
            <w:tcW w:w="1317" w:type="dxa"/>
            <w:vAlign w:val="center"/>
          </w:tcPr>
          <w:p w:rsidR="00A95D51" w:rsidRDefault="00EB2E73">
            <w:pPr>
              <w:jc w:val="center"/>
            </w:pPr>
            <w:r>
              <w:rPr>
                <w:rFonts w:eastAsiaTheme="minorEastAsia"/>
                <w:color w:val="000000"/>
                <w:sz w:val="24"/>
              </w:rPr>
              <w:t>2015-04-14</w:t>
            </w:r>
          </w:p>
        </w:tc>
        <w:tc>
          <w:tcPr>
            <w:tcW w:w="1633" w:type="dxa"/>
            <w:vAlign w:val="center"/>
          </w:tcPr>
          <w:p w:rsidR="00A95D51" w:rsidRDefault="00EB2E73">
            <w:pPr>
              <w:jc w:val="right"/>
            </w:pPr>
            <w:r>
              <w:rPr>
                <w:rFonts w:eastAsiaTheme="minorEastAsia"/>
                <w:color w:val="000000"/>
                <w:sz w:val="24"/>
              </w:rPr>
              <w:t>1,905,499.25</w:t>
            </w:r>
          </w:p>
        </w:tc>
        <w:tc>
          <w:tcPr>
            <w:tcW w:w="1767" w:type="dxa"/>
            <w:vAlign w:val="center"/>
          </w:tcPr>
          <w:p w:rsidR="00A95D51" w:rsidRDefault="00EB2E73">
            <w:pPr>
              <w:jc w:val="right"/>
            </w:pPr>
            <w:r>
              <w:rPr>
                <w:rFonts w:eastAsiaTheme="minorEastAsia"/>
                <w:color w:val="000000"/>
                <w:sz w:val="24"/>
              </w:rPr>
              <w:t>2,397,118.06</w:t>
            </w:r>
          </w:p>
        </w:tc>
        <w:tc>
          <w:tcPr>
            <w:tcW w:w="1343" w:type="dxa"/>
            <w:vAlign w:val="center"/>
          </w:tcPr>
          <w:p w:rsidR="00A95D51" w:rsidRDefault="00EB2E73">
            <w:pPr>
              <w:jc w:val="center"/>
            </w:pPr>
            <w:r>
              <w:rPr>
                <w:rFonts w:eastAsiaTheme="minorEastAsia"/>
                <w:color w:val="000000"/>
                <w:sz w:val="24"/>
              </w:rPr>
              <w:t>-</w:t>
            </w:r>
          </w:p>
        </w:tc>
      </w:tr>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851"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7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701"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1,905,499.25</w:t>
            </w:r>
          </w:p>
        </w:tc>
        <w:tc>
          <w:tcPr>
            <w:tcW w:w="18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2,397,118.06</w:t>
            </w:r>
          </w:p>
        </w:tc>
        <w:tc>
          <w:tcPr>
            <w:tcW w:w="1397"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1949CA">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A95D51" w:rsidRDefault="00EB2E73">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A95D51" w:rsidRDefault="00EB2E73">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A95D51" w:rsidRDefault="00EB2E73">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A95D51" w:rsidRDefault="00EB2E73">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A95D51" w:rsidRDefault="00EB2E73">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A95D51" w:rsidRDefault="00EB2E73">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95D51" w:rsidRDefault="00EB2E73">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A95D51" w:rsidRDefault="00EB2E73">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5A2" w:rsidRDefault="000105A2">
      <w:r>
        <w:separator/>
      </w:r>
    </w:p>
  </w:endnote>
  <w:endnote w:type="continuationSeparator" w:id="0">
    <w:p w:rsidR="000105A2" w:rsidRDefault="0001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9434C7">
      <w:rPr>
        <w:rFonts w:hint="eastAsia"/>
        <w:kern w:val="0"/>
        <w:szCs w:val="21"/>
      </w:rPr>
      <w:t xml:space="preserve"> </w:t>
    </w:r>
    <w:r w:rsidR="001C1FB8">
      <w:rPr>
        <w:kern w:val="0"/>
        <w:szCs w:val="21"/>
      </w:rPr>
      <w:fldChar w:fldCharType="begin"/>
    </w:r>
    <w:r>
      <w:rPr>
        <w:kern w:val="0"/>
        <w:szCs w:val="21"/>
      </w:rPr>
      <w:instrText xml:space="preserve"> PAGE </w:instrText>
    </w:r>
    <w:r w:rsidR="001C1FB8">
      <w:rPr>
        <w:kern w:val="0"/>
        <w:szCs w:val="21"/>
      </w:rPr>
      <w:fldChar w:fldCharType="separate"/>
    </w:r>
    <w:r w:rsidR="003D5EAC">
      <w:rPr>
        <w:noProof/>
        <w:kern w:val="0"/>
        <w:szCs w:val="21"/>
      </w:rPr>
      <w:t>13</w:t>
    </w:r>
    <w:r w:rsidR="001C1FB8">
      <w:rPr>
        <w:kern w:val="0"/>
        <w:szCs w:val="21"/>
      </w:rPr>
      <w:fldChar w:fldCharType="end"/>
    </w:r>
    <w:r w:rsidR="009434C7">
      <w:rPr>
        <w:kern w:val="0"/>
        <w:szCs w:val="21"/>
      </w:rPr>
      <w:t xml:space="preserve"> </w:t>
    </w:r>
    <w:r>
      <w:rPr>
        <w:rFonts w:hint="eastAsia"/>
        <w:kern w:val="0"/>
        <w:szCs w:val="21"/>
      </w:rPr>
      <w:t>页</w:t>
    </w:r>
    <w:r w:rsidR="009434C7">
      <w:rPr>
        <w:rFonts w:hint="eastAsia"/>
        <w:kern w:val="0"/>
        <w:szCs w:val="21"/>
      </w:rPr>
      <w:t xml:space="preserve"> </w:t>
    </w:r>
    <w:r>
      <w:rPr>
        <w:rFonts w:hint="eastAsia"/>
        <w:kern w:val="0"/>
        <w:szCs w:val="21"/>
      </w:rPr>
      <w:t>共</w:t>
    </w:r>
    <w:r w:rsidR="009434C7">
      <w:rPr>
        <w:rFonts w:hint="eastAsia"/>
        <w:kern w:val="0"/>
        <w:szCs w:val="21"/>
      </w:rPr>
      <w:t xml:space="preserve"> </w:t>
    </w:r>
    <w:r w:rsidR="001C1FB8">
      <w:rPr>
        <w:kern w:val="0"/>
        <w:szCs w:val="21"/>
      </w:rPr>
      <w:fldChar w:fldCharType="begin"/>
    </w:r>
    <w:r>
      <w:rPr>
        <w:kern w:val="0"/>
        <w:szCs w:val="21"/>
      </w:rPr>
      <w:instrText xml:space="preserve"> NUMPAGES </w:instrText>
    </w:r>
    <w:r w:rsidR="001C1FB8">
      <w:rPr>
        <w:kern w:val="0"/>
        <w:szCs w:val="21"/>
      </w:rPr>
      <w:fldChar w:fldCharType="separate"/>
    </w:r>
    <w:r w:rsidR="003D5EAC">
      <w:rPr>
        <w:noProof/>
        <w:kern w:val="0"/>
        <w:szCs w:val="21"/>
      </w:rPr>
      <w:t>14</w:t>
    </w:r>
    <w:r w:rsidR="001C1FB8">
      <w:rPr>
        <w:kern w:val="0"/>
        <w:szCs w:val="21"/>
      </w:rPr>
      <w:fldChar w:fldCharType="end"/>
    </w:r>
    <w:r w:rsidR="009434C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1C1FB8">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5A2" w:rsidRDefault="000105A2">
      <w:r>
        <w:separator/>
      </w:r>
    </w:p>
  </w:footnote>
  <w:footnote w:type="continuationSeparator" w:id="0">
    <w:p w:rsidR="000105A2" w:rsidRDefault="00010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3D5EAC"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5A2"/>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5EAC"/>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0BDB"/>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06A7"/>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826"/>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273F"/>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5D51"/>
    <w:rsid w:val="00A96B6F"/>
    <w:rsid w:val="00AA0CE8"/>
    <w:rsid w:val="00AA23A3"/>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443B"/>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4697"/>
    <w:rsid w:val="00C850A3"/>
    <w:rsid w:val="00C85401"/>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2E73"/>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379F44EF-F3D8-4959-8D60-9F12745C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8463-ED95-4F94-B11B-0DDE6C6C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164</TotalTime>
  <Pages>14</Pages>
  <Words>1251</Words>
  <Characters>7132</Characters>
  <Application>Microsoft Office Word</Application>
  <DocSecurity>0</DocSecurity>
  <Lines>59</Lines>
  <Paragraphs>16</Paragraphs>
  <ScaleCrop>false</ScaleCrop>
  <Company>TRT. Ltd. Co.</Company>
  <LinksUpToDate>false</LinksUpToDate>
  <CharactersWithSpaces>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363</cp:revision>
  <cp:lastPrinted>2007-07-19T00:46:00Z</cp:lastPrinted>
  <dcterms:created xsi:type="dcterms:W3CDTF">2014-01-17T06:19:00Z</dcterms:created>
  <dcterms:modified xsi:type="dcterms:W3CDTF">2015-07-15T07:08:00Z</dcterms:modified>
</cp:coreProperties>
</file>