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4648D" w:rsidRDefault="00B25F8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338,309,889.89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本基金是一只股票型基金，属于基金中的高风险品种，本基金的风险与预期收益高于混合型基金、债券型基</w:t>
            </w:r>
            <w:r w:rsidRPr="00414345">
              <w:rPr>
                <w:color w:val="000000"/>
                <w:kern w:val="0"/>
                <w:sz w:val="24"/>
                <w:szCs w:val="24"/>
              </w:rPr>
              <w:lastRenderedPageBreak/>
              <w:t>金和货币市场基金。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73476" w:rsidRPr="00414345" w:rsidTr="00A7347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73476" w:rsidRPr="00414345" w:rsidTr="00A7347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190,825,140.12</w:t>
            </w:r>
          </w:p>
        </w:tc>
      </w:tr>
      <w:tr w:rsidR="00A73476" w:rsidRPr="00414345" w:rsidTr="00A7347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86,316,852.73</w:t>
            </w:r>
          </w:p>
        </w:tc>
      </w:tr>
      <w:tr w:rsidR="00A73476" w:rsidRPr="00414345" w:rsidTr="00A7347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0.2812</w:t>
            </w:r>
          </w:p>
        </w:tc>
      </w:tr>
      <w:tr w:rsidR="00A73476" w:rsidRPr="00414345" w:rsidTr="00A7347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778,631,598.54</w:t>
            </w:r>
          </w:p>
        </w:tc>
      </w:tr>
      <w:tr w:rsidR="00A73476" w:rsidRPr="00414345" w:rsidTr="00A7347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2.302</w:t>
            </w:r>
          </w:p>
        </w:tc>
      </w:tr>
    </w:tbl>
    <w:p w:rsidR="0044648D" w:rsidRDefault="00B25F8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4648D">
        <w:trPr>
          <w:jc w:val="center"/>
        </w:trPr>
        <w:tc>
          <w:tcPr>
            <w:tcW w:w="1701" w:type="dxa"/>
            <w:vAlign w:val="center"/>
          </w:tcPr>
          <w:p w:rsidR="0044648D" w:rsidRDefault="00B25F8D">
            <w:pPr>
              <w:jc w:val="left"/>
            </w:pPr>
            <w:r>
              <w:rPr>
                <w:color w:val="000000"/>
                <w:sz w:val="24"/>
                <w:szCs w:val="24"/>
              </w:rPr>
              <w:t>过去三个月</w:t>
            </w:r>
          </w:p>
        </w:tc>
        <w:tc>
          <w:tcPr>
            <w:tcW w:w="1045" w:type="dxa"/>
            <w:vAlign w:val="center"/>
          </w:tcPr>
          <w:p w:rsidR="0044648D" w:rsidRDefault="00B25F8D">
            <w:pPr>
              <w:jc w:val="center"/>
            </w:pPr>
            <w:r>
              <w:rPr>
                <w:color w:val="000000"/>
                <w:sz w:val="24"/>
                <w:szCs w:val="24"/>
              </w:rPr>
              <w:t>22.77%</w:t>
            </w:r>
          </w:p>
        </w:tc>
        <w:tc>
          <w:tcPr>
            <w:tcW w:w="1344" w:type="dxa"/>
            <w:vAlign w:val="center"/>
          </w:tcPr>
          <w:p w:rsidR="0044648D" w:rsidRDefault="00B25F8D">
            <w:pPr>
              <w:jc w:val="center"/>
            </w:pPr>
            <w:r>
              <w:rPr>
                <w:color w:val="000000"/>
                <w:sz w:val="24"/>
                <w:szCs w:val="24"/>
              </w:rPr>
              <w:t>2.94%</w:t>
            </w:r>
          </w:p>
        </w:tc>
        <w:tc>
          <w:tcPr>
            <w:tcW w:w="1194" w:type="dxa"/>
            <w:vAlign w:val="center"/>
          </w:tcPr>
          <w:p w:rsidR="0044648D" w:rsidRDefault="00B25F8D">
            <w:pPr>
              <w:jc w:val="center"/>
            </w:pPr>
            <w:r>
              <w:rPr>
                <w:color w:val="000000"/>
                <w:sz w:val="24"/>
                <w:szCs w:val="24"/>
              </w:rPr>
              <w:t>19.87%</w:t>
            </w:r>
          </w:p>
        </w:tc>
        <w:tc>
          <w:tcPr>
            <w:tcW w:w="1492" w:type="dxa"/>
            <w:vAlign w:val="center"/>
          </w:tcPr>
          <w:p w:rsidR="0044648D" w:rsidRDefault="00B25F8D">
            <w:pPr>
              <w:jc w:val="center"/>
            </w:pPr>
            <w:r>
              <w:rPr>
                <w:color w:val="000000"/>
                <w:sz w:val="24"/>
                <w:szCs w:val="24"/>
              </w:rPr>
              <w:t>2.19%</w:t>
            </w:r>
          </w:p>
        </w:tc>
        <w:tc>
          <w:tcPr>
            <w:tcW w:w="1194" w:type="dxa"/>
            <w:vAlign w:val="center"/>
          </w:tcPr>
          <w:p w:rsidR="0044648D" w:rsidRDefault="00B25F8D">
            <w:pPr>
              <w:jc w:val="center"/>
            </w:pPr>
            <w:r>
              <w:rPr>
                <w:color w:val="000000"/>
                <w:sz w:val="24"/>
                <w:szCs w:val="24"/>
              </w:rPr>
              <w:t>2.90%</w:t>
            </w:r>
          </w:p>
        </w:tc>
        <w:tc>
          <w:tcPr>
            <w:tcW w:w="898" w:type="dxa"/>
            <w:vAlign w:val="center"/>
          </w:tcPr>
          <w:p w:rsidR="0044648D" w:rsidRDefault="00B25F8D">
            <w:pPr>
              <w:jc w:val="center"/>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4648D">
        <w:trPr>
          <w:jc w:val="center"/>
        </w:trPr>
        <w:tc>
          <w:tcPr>
            <w:tcW w:w="846" w:type="dxa"/>
            <w:vAlign w:val="center"/>
          </w:tcPr>
          <w:p w:rsidR="0044648D" w:rsidRDefault="00B25F8D">
            <w:pPr>
              <w:jc w:val="center"/>
            </w:pPr>
            <w:r>
              <w:rPr>
                <w:color w:val="000000"/>
                <w:sz w:val="24"/>
                <w:szCs w:val="24"/>
              </w:rPr>
              <w:t>王少成</w:t>
            </w:r>
          </w:p>
        </w:tc>
        <w:tc>
          <w:tcPr>
            <w:tcW w:w="845" w:type="dxa"/>
            <w:vAlign w:val="center"/>
          </w:tcPr>
          <w:p w:rsidR="0044648D" w:rsidRDefault="00B25F8D" w:rsidP="00A73476">
            <w:pPr>
              <w:jc w:val="center"/>
            </w:pPr>
            <w:r>
              <w:rPr>
                <w:color w:val="000000"/>
                <w:sz w:val="24"/>
                <w:szCs w:val="24"/>
              </w:rPr>
              <w:t>本基金、交银成长股票、交银先锋股票、交银成长</w:t>
            </w:r>
            <w:r>
              <w:rPr>
                <w:color w:val="000000"/>
                <w:sz w:val="24"/>
                <w:szCs w:val="24"/>
              </w:rPr>
              <w:t>30</w:t>
            </w:r>
            <w:r>
              <w:rPr>
                <w:color w:val="000000"/>
                <w:sz w:val="24"/>
                <w:szCs w:val="24"/>
              </w:rPr>
              <w:t>股票的基金经理</w:t>
            </w:r>
            <w:r w:rsidR="00822DB6">
              <w:rPr>
                <w:rFonts w:hint="eastAsia"/>
                <w:color w:val="000000"/>
                <w:sz w:val="24"/>
                <w:szCs w:val="24"/>
              </w:rPr>
              <w:t>，</w:t>
            </w:r>
            <w:r w:rsidR="00A73476">
              <w:rPr>
                <w:rFonts w:hint="eastAsia"/>
                <w:color w:val="000000"/>
                <w:sz w:val="24"/>
                <w:szCs w:val="24"/>
              </w:rPr>
              <w:t>公司</w:t>
            </w:r>
            <w:r w:rsidR="00A73476">
              <w:rPr>
                <w:color w:val="000000"/>
                <w:sz w:val="24"/>
                <w:szCs w:val="24"/>
              </w:rPr>
              <w:t>权</w:t>
            </w:r>
            <w:r w:rsidR="00A73476">
              <w:rPr>
                <w:color w:val="000000"/>
                <w:sz w:val="24"/>
                <w:szCs w:val="24"/>
              </w:rPr>
              <w:lastRenderedPageBreak/>
              <w:t>益投资总监</w:t>
            </w:r>
          </w:p>
        </w:tc>
        <w:tc>
          <w:tcPr>
            <w:tcW w:w="1549" w:type="dxa"/>
            <w:vAlign w:val="center"/>
          </w:tcPr>
          <w:p w:rsidR="0044648D" w:rsidRDefault="00B25F8D">
            <w:pPr>
              <w:jc w:val="center"/>
            </w:pPr>
            <w:r>
              <w:rPr>
                <w:color w:val="000000"/>
                <w:sz w:val="24"/>
                <w:szCs w:val="24"/>
              </w:rPr>
              <w:lastRenderedPageBreak/>
              <w:t>2013-03-21</w:t>
            </w:r>
          </w:p>
        </w:tc>
        <w:tc>
          <w:tcPr>
            <w:tcW w:w="1548" w:type="dxa"/>
            <w:vAlign w:val="center"/>
          </w:tcPr>
          <w:p w:rsidR="0044648D" w:rsidRDefault="00B25F8D">
            <w:pPr>
              <w:jc w:val="center"/>
            </w:pPr>
            <w:r>
              <w:rPr>
                <w:color w:val="000000"/>
                <w:sz w:val="24"/>
                <w:szCs w:val="24"/>
              </w:rPr>
              <w:t>-</w:t>
            </w:r>
          </w:p>
        </w:tc>
        <w:tc>
          <w:tcPr>
            <w:tcW w:w="1407" w:type="dxa"/>
            <w:vAlign w:val="center"/>
          </w:tcPr>
          <w:p w:rsidR="0044648D" w:rsidRDefault="00B25F8D">
            <w:pPr>
              <w:jc w:val="center"/>
            </w:pPr>
            <w:r>
              <w:rPr>
                <w:color w:val="000000"/>
                <w:sz w:val="24"/>
                <w:szCs w:val="24"/>
              </w:rPr>
              <w:t>11</w:t>
            </w:r>
            <w:r>
              <w:rPr>
                <w:color w:val="000000"/>
                <w:sz w:val="24"/>
                <w:szCs w:val="24"/>
              </w:rPr>
              <w:t>年</w:t>
            </w:r>
          </w:p>
        </w:tc>
        <w:tc>
          <w:tcPr>
            <w:tcW w:w="2673" w:type="dxa"/>
            <w:vAlign w:val="center"/>
          </w:tcPr>
          <w:p w:rsidR="0044648D" w:rsidRDefault="00B25F8D">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w:t>
            </w:r>
            <w:r>
              <w:rPr>
                <w:color w:val="000000"/>
                <w:sz w:val="24"/>
                <w:szCs w:val="24"/>
              </w:rPr>
              <w:lastRenderedPageBreak/>
              <w:t>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r w:rsidR="00A73476">
              <w:rPr>
                <w:color w:val="000000"/>
                <w:sz w:val="24"/>
                <w:szCs w:val="24"/>
              </w:rPr>
              <w:t>，</w:t>
            </w:r>
            <w:r w:rsidR="00822DB6">
              <w:rPr>
                <w:rFonts w:hint="eastAsia"/>
                <w:color w:val="000000"/>
                <w:sz w:val="24"/>
                <w:szCs w:val="24"/>
              </w:rPr>
              <w:t>历任</w:t>
            </w:r>
            <w:r w:rsidR="00A73476">
              <w:rPr>
                <w:color w:val="000000"/>
                <w:sz w:val="24"/>
                <w:szCs w:val="24"/>
              </w:rPr>
              <w:t>公司权益部副总经理</w:t>
            </w:r>
            <w:r>
              <w:rPr>
                <w:color w:val="000000"/>
                <w:sz w:val="24"/>
                <w:szCs w:val="24"/>
              </w:rPr>
              <w:t>。</w:t>
            </w:r>
          </w:p>
        </w:tc>
      </w:tr>
      <w:tr w:rsidR="0044648D">
        <w:trPr>
          <w:jc w:val="center"/>
        </w:trPr>
        <w:tc>
          <w:tcPr>
            <w:tcW w:w="846" w:type="dxa"/>
            <w:vAlign w:val="center"/>
          </w:tcPr>
          <w:p w:rsidR="0044648D" w:rsidRDefault="00B25F8D">
            <w:pPr>
              <w:jc w:val="center"/>
            </w:pPr>
            <w:r>
              <w:rPr>
                <w:color w:val="000000"/>
                <w:sz w:val="24"/>
                <w:szCs w:val="24"/>
              </w:rPr>
              <w:lastRenderedPageBreak/>
              <w:t>任相栋</w:t>
            </w:r>
          </w:p>
        </w:tc>
        <w:tc>
          <w:tcPr>
            <w:tcW w:w="845" w:type="dxa"/>
            <w:vAlign w:val="center"/>
          </w:tcPr>
          <w:p w:rsidR="0044648D" w:rsidRDefault="00B25F8D">
            <w:pPr>
              <w:jc w:val="center"/>
            </w:pPr>
            <w:r>
              <w:rPr>
                <w:color w:val="000000"/>
                <w:sz w:val="24"/>
                <w:szCs w:val="24"/>
              </w:rPr>
              <w:t>本基金的基金经理</w:t>
            </w:r>
          </w:p>
        </w:tc>
        <w:tc>
          <w:tcPr>
            <w:tcW w:w="1549" w:type="dxa"/>
            <w:vAlign w:val="center"/>
          </w:tcPr>
          <w:p w:rsidR="0044648D" w:rsidRDefault="00B25F8D">
            <w:pPr>
              <w:jc w:val="center"/>
            </w:pPr>
            <w:r>
              <w:rPr>
                <w:color w:val="000000"/>
                <w:sz w:val="24"/>
                <w:szCs w:val="24"/>
              </w:rPr>
              <w:t>2015-01-21</w:t>
            </w:r>
          </w:p>
        </w:tc>
        <w:tc>
          <w:tcPr>
            <w:tcW w:w="1548" w:type="dxa"/>
            <w:vAlign w:val="center"/>
          </w:tcPr>
          <w:p w:rsidR="0044648D" w:rsidRDefault="00B25F8D">
            <w:pPr>
              <w:jc w:val="center"/>
            </w:pPr>
            <w:r>
              <w:rPr>
                <w:color w:val="000000"/>
                <w:sz w:val="24"/>
                <w:szCs w:val="24"/>
              </w:rPr>
              <w:t>-</w:t>
            </w:r>
          </w:p>
        </w:tc>
        <w:tc>
          <w:tcPr>
            <w:tcW w:w="1407" w:type="dxa"/>
            <w:vAlign w:val="center"/>
          </w:tcPr>
          <w:p w:rsidR="0044648D" w:rsidRDefault="00B25F8D">
            <w:pPr>
              <w:jc w:val="center"/>
            </w:pPr>
            <w:r>
              <w:rPr>
                <w:color w:val="000000"/>
                <w:sz w:val="24"/>
                <w:szCs w:val="24"/>
              </w:rPr>
              <w:t>5</w:t>
            </w:r>
            <w:r>
              <w:rPr>
                <w:color w:val="000000"/>
                <w:sz w:val="24"/>
                <w:szCs w:val="24"/>
              </w:rPr>
              <w:t>年</w:t>
            </w:r>
          </w:p>
        </w:tc>
        <w:tc>
          <w:tcPr>
            <w:tcW w:w="2673" w:type="dxa"/>
            <w:vAlign w:val="center"/>
          </w:tcPr>
          <w:p w:rsidR="0044648D" w:rsidRDefault="00B25F8D">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4648D" w:rsidRDefault="00B25F8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4648D" w:rsidRDefault="00B25F8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4648D" w:rsidRDefault="00B25F8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4648D" w:rsidRDefault="00B25F8D">
      <w:pPr>
        <w:spacing w:before="29" w:line="288" w:lineRule="auto"/>
        <w:ind w:firstLineChars="200" w:firstLine="480"/>
        <w:rPr>
          <w:color w:val="000000"/>
          <w:sz w:val="24"/>
          <w:szCs w:val="24"/>
        </w:rPr>
      </w:pPr>
      <w:r>
        <w:rPr>
          <w:color w:val="000000"/>
          <w:sz w:val="24"/>
          <w:szCs w:val="24"/>
        </w:rPr>
        <w:t>2015</w:t>
      </w:r>
      <w:r>
        <w:rPr>
          <w:color w:val="000000"/>
          <w:sz w:val="24"/>
          <w:szCs w:val="24"/>
        </w:rPr>
        <w:t>年二季度，国内经济形势延续了低增长、低通胀的态势，美国经济部分经济指标走强，加息预期渐强。股票指数在二季度经历过山车，上证综指振幅达</w:t>
      </w:r>
      <w:r>
        <w:rPr>
          <w:color w:val="000000"/>
          <w:sz w:val="24"/>
          <w:szCs w:val="24"/>
        </w:rPr>
        <w:t>38.31%</w:t>
      </w:r>
      <w:r>
        <w:rPr>
          <w:color w:val="000000"/>
          <w:sz w:val="24"/>
          <w:szCs w:val="24"/>
        </w:rPr>
        <w:t>，创业板综指振幅更达到</w:t>
      </w:r>
      <w:r>
        <w:rPr>
          <w:color w:val="000000"/>
          <w:sz w:val="24"/>
          <w:szCs w:val="24"/>
        </w:rPr>
        <w:t>78.08%</w:t>
      </w:r>
      <w:r>
        <w:rPr>
          <w:color w:val="000000"/>
          <w:sz w:val="24"/>
          <w:szCs w:val="24"/>
        </w:rPr>
        <w:t>，市场巨大波动背后是投资者情绪的巨幅波动，股票市场流动性趋势性转向的预期和美国加息的预期。</w:t>
      </w:r>
    </w:p>
    <w:p w:rsidR="0044648D" w:rsidRDefault="00B25F8D">
      <w:pPr>
        <w:spacing w:before="29" w:line="288" w:lineRule="auto"/>
        <w:ind w:firstLineChars="200" w:firstLine="480"/>
        <w:rPr>
          <w:color w:val="000000"/>
          <w:sz w:val="24"/>
          <w:szCs w:val="24"/>
        </w:rPr>
      </w:pPr>
      <w:r>
        <w:rPr>
          <w:color w:val="000000"/>
          <w:sz w:val="24"/>
          <w:szCs w:val="24"/>
        </w:rPr>
        <w:t>本基金二季度配置均衡，从计算机、医疗设备等行业和个股中取得了一定超额收益。由于市场明显的泡沫化倾向，本基金</w:t>
      </w:r>
      <w:r>
        <w:rPr>
          <w:color w:val="000000"/>
          <w:sz w:val="24"/>
          <w:szCs w:val="24"/>
        </w:rPr>
        <w:t>6</w:t>
      </w:r>
      <w:r>
        <w:rPr>
          <w:color w:val="000000"/>
          <w:sz w:val="24"/>
          <w:szCs w:val="24"/>
        </w:rPr>
        <w:t>月中旬开始尝试降低股票配置比例，并对创业板股票进行着重减持，这点是领先于市场的。但由于对股市去杠杆冲击力的估计不足，在</w:t>
      </w:r>
      <w:r>
        <w:rPr>
          <w:color w:val="000000"/>
          <w:sz w:val="24"/>
          <w:szCs w:val="24"/>
        </w:rPr>
        <w:t>6</w:t>
      </w:r>
      <w:r>
        <w:rPr>
          <w:color w:val="000000"/>
          <w:sz w:val="24"/>
          <w:szCs w:val="24"/>
        </w:rPr>
        <w:t>月底减仓幅度仍然有限，本基金的收益率从</w:t>
      </w:r>
      <w:r>
        <w:rPr>
          <w:color w:val="000000"/>
          <w:sz w:val="24"/>
          <w:szCs w:val="24"/>
        </w:rPr>
        <w:t>6</w:t>
      </w:r>
      <w:r>
        <w:rPr>
          <w:color w:val="000000"/>
          <w:sz w:val="24"/>
          <w:szCs w:val="24"/>
        </w:rPr>
        <w:t>月中旬开始出现了明显的回调。</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从未来一个季度看，股票市场面临的不确定性因素仍然众多，这包括货币政策继续宽松的空间是否会低于投资者预期，美国加息对新兴市场国家的整体冲击等，眼前市场面临的投资者信心崩溃问题也亟待解决。但同时，我们必须看到，股指从</w:t>
      </w:r>
      <w:r w:rsidRPr="00414345">
        <w:rPr>
          <w:color w:val="000000"/>
          <w:sz w:val="24"/>
          <w:szCs w:val="24"/>
        </w:rPr>
        <w:t>6</w:t>
      </w:r>
      <w:r w:rsidRPr="00414345">
        <w:rPr>
          <w:color w:val="000000"/>
          <w:sz w:val="24"/>
          <w:szCs w:val="24"/>
        </w:rPr>
        <w:t>月以来的调整已演变为踩踏，泥沙俱下的市场在个股层面可能酝酿着新的机会。并且从更长远的眼光看，国内转型升级的进程仍然继续，居民增加金融配置的大趋势仍在，本基金希望能在控制好风险的情况下，在绝望中寻找新希望，为投资者创造更好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2.302</w:t>
      </w:r>
      <w:r w:rsidRPr="00414345">
        <w:rPr>
          <w:color w:val="000000"/>
          <w:sz w:val="24"/>
          <w:szCs w:val="24"/>
        </w:rPr>
        <w:t>元，本报告期份额净值增长率为</w:t>
      </w:r>
      <w:r w:rsidRPr="00414345">
        <w:rPr>
          <w:color w:val="000000"/>
          <w:sz w:val="24"/>
          <w:szCs w:val="24"/>
        </w:rPr>
        <w:t>22.77%</w:t>
      </w:r>
      <w:r w:rsidRPr="00414345">
        <w:rPr>
          <w:color w:val="000000"/>
          <w:sz w:val="24"/>
          <w:szCs w:val="24"/>
        </w:rPr>
        <w:t>，同期业绩比较基准增长率</w:t>
      </w:r>
      <w:r w:rsidRPr="00414345">
        <w:rPr>
          <w:color w:val="000000"/>
          <w:sz w:val="24"/>
          <w:szCs w:val="24"/>
        </w:rPr>
        <w:t>19.87%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698,694,486.38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698,694,486.38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179,704,539.23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20.42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1,750,042.36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880,149,067.97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17,291,520.00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514,427,518.75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16,265,413.00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96,869,601.90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15,659,374.95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38,181,057.78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698,694,486.38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4648D">
        <w:trPr>
          <w:jc w:val="center"/>
        </w:trPr>
        <w:tc>
          <w:tcPr>
            <w:tcW w:w="855" w:type="dxa"/>
            <w:vAlign w:val="center"/>
          </w:tcPr>
          <w:p w:rsidR="0044648D" w:rsidRDefault="00B25F8D">
            <w:pPr>
              <w:jc w:val="center"/>
            </w:pPr>
            <w:r>
              <w:rPr>
                <w:color w:val="000000"/>
                <w:sz w:val="24"/>
                <w:szCs w:val="24"/>
              </w:rPr>
              <w:t>1</w:t>
            </w:r>
          </w:p>
        </w:tc>
        <w:tc>
          <w:tcPr>
            <w:tcW w:w="1334" w:type="dxa"/>
            <w:vAlign w:val="center"/>
          </w:tcPr>
          <w:p w:rsidR="0044648D" w:rsidRDefault="00B25F8D">
            <w:pPr>
              <w:jc w:val="center"/>
            </w:pPr>
            <w:r>
              <w:rPr>
                <w:color w:val="000000"/>
                <w:sz w:val="24"/>
                <w:szCs w:val="24"/>
              </w:rPr>
              <w:t>600389</w:t>
            </w:r>
          </w:p>
        </w:tc>
        <w:tc>
          <w:tcPr>
            <w:tcW w:w="1777" w:type="dxa"/>
            <w:vAlign w:val="center"/>
          </w:tcPr>
          <w:p w:rsidR="0044648D" w:rsidRDefault="00B25F8D">
            <w:pPr>
              <w:jc w:val="center"/>
            </w:pPr>
            <w:r>
              <w:rPr>
                <w:color w:val="000000"/>
                <w:sz w:val="24"/>
                <w:szCs w:val="24"/>
              </w:rPr>
              <w:t>江山股份</w:t>
            </w:r>
          </w:p>
        </w:tc>
        <w:tc>
          <w:tcPr>
            <w:tcW w:w="1334" w:type="dxa"/>
            <w:vAlign w:val="center"/>
          </w:tcPr>
          <w:p w:rsidR="0044648D" w:rsidRDefault="00B25F8D">
            <w:pPr>
              <w:jc w:val="right"/>
            </w:pPr>
            <w:r>
              <w:rPr>
                <w:color w:val="000000"/>
                <w:sz w:val="24"/>
                <w:szCs w:val="24"/>
              </w:rPr>
              <w:t>2,024,458</w:t>
            </w:r>
          </w:p>
        </w:tc>
        <w:tc>
          <w:tcPr>
            <w:tcW w:w="1924" w:type="dxa"/>
            <w:vAlign w:val="center"/>
          </w:tcPr>
          <w:p w:rsidR="0044648D" w:rsidRDefault="00B25F8D">
            <w:pPr>
              <w:jc w:val="right"/>
            </w:pPr>
            <w:r>
              <w:rPr>
                <w:color w:val="000000"/>
                <w:sz w:val="24"/>
                <w:szCs w:val="24"/>
              </w:rPr>
              <w:t>63,244,067.92</w:t>
            </w:r>
          </w:p>
        </w:tc>
        <w:tc>
          <w:tcPr>
            <w:tcW w:w="1644" w:type="dxa"/>
            <w:vAlign w:val="center"/>
          </w:tcPr>
          <w:p w:rsidR="0044648D" w:rsidRDefault="00B25F8D">
            <w:pPr>
              <w:jc w:val="right"/>
            </w:pPr>
            <w:r>
              <w:rPr>
                <w:color w:val="000000"/>
                <w:sz w:val="24"/>
                <w:szCs w:val="24"/>
              </w:rPr>
              <w:t>8.12</w:t>
            </w:r>
          </w:p>
        </w:tc>
      </w:tr>
      <w:tr w:rsidR="0044648D">
        <w:trPr>
          <w:jc w:val="center"/>
        </w:trPr>
        <w:tc>
          <w:tcPr>
            <w:tcW w:w="855" w:type="dxa"/>
            <w:vAlign w:val="center"/>
          </w:tcPr>
          <w:p w:rsidR="0044648D" w:rsidRDefault="00B25F8D">
            <w:pPr>
              <w:jc w:val="center"/>
            </w:pPr>
            <w:r>
              <w:rPr>
                <w:color w:val="000000"/>
                <w:sz w:val="24"/>
                <w:szCs w:val="24"/>
              </w:rPr>
              <w:t>2</w:t>
            </w:r>
          </w:p>
        </w:tc>
        <w:tc>
          <w:tcPr>
            <w:tcW w:w="1334" w:type="dxa"/>
            <w:vAlign w:val="center"/>
          </w:tcPr>
          <w:p w:rsidR="0044648D" w:rsidRDefault="00B25F8D">
            <w:pPr>
              <w:jc w:val="center"/>
            </w:pPr>
            <w:r>
              <w:rPr>
                <w:color w:val="000000"/>
                <w:sz w:val="24"/>
                <w:szCs w:val="24"/>
              </w:rPr>
              <w:t>600967</w:t>
            </w:r>
          </w:p>
        </w:tc>
        <w:tc>
          <w:tcPr>
            <w:tcW w:w="1777" w:type="dxa"/>
            <w:vAlign w:val="center"/>
          </w:tcPr>
          <w:p w:rsidR="0044648D" w:rsidRDefault="00B25F8D">
            <w:pPr>
              <w:jc w:val="center"/>
            </w:pPr>
            <w:r>
              <w:rPr>
                <w:color w:val="000000"/>
                <w:sz w:val="24"/>
                <w:szCs w:val="24"/>
              </w:rPr>
              <w:t>北方创业</w:t>
            </w:r>
          </w:p>
        </w:tc>
        <w:tc>
          <w:tcPr>
            <w:tcW w:w="1334" w:type="dxa"/>
            <w:vAlign w:val="center"/>
          </w:tcPr>
          <w:p w:rsidR="0044648D" w:rsidRDefault="00B25F8D">
            <w:pPr>
              <w:jc w:val="right"/>
            </w:pPr>
            <w:r>
              <w:rPr>
                <w:color w:val="000000"/>
                <w:sz w:val="24"/>
                <w:szCs w:val="24"/>
              </w:rPr>
              <w:t>2,471,923</w:t>
            </w:r>
          </w:p>
        </w:tc>
        <w:tc>
          <w:tcPr>
            <w:tcW w:w="1924" w:type="dxa"/>
            <w:vAlign w:val="center"/>
          </w:tcPr>
          <w:p w:rsidR="0044648D" w:rsidRDefault="00B25F8D">
            <w:pPr>
              <w:jc w:val="right"/>
            </w:pPr>
            <w:r>
              <w:rPr>
                <w:color w:val="000000"/>
                <w:sz w:val="24"/>
                <w:szCs w:val="24"/>
              </w:rPr>
              <w:t>51,589,033.01</w:t>
            </w:r>
          </w:p>
        </w:tc>
        <w:tc>
          <w:tcPr>
            <w:tcW w:w="1644" w:type="dxa"/>
            <w:vAlign w:val="center"/>
          </w:tcPr>
          <w:p w:rsidR="0044648D" w:rsidRDefault="00B25F8D">
            <w:pPr>
              <w:jc w:val="right"/>
            </w:pPr>
            <w:r>
              <w:rPr>
                <w:color w:val="000000"/>
                <w:sz w:val="24"/>
                <w:szCs w:val="24"/>
              </w:rPr>
              <w:t>6.63</w:t>
            </w:r>
          </w:p>
        </w:tc>
      </w:tr>
      <w:tr w:rsidR="0044648D">
        <w:trPr>
          <w:jc w:val="center"/>
        </w:trPr>
        <w:tc>
          <w:tcPr>
            <w:tcW w:w="855" w:type="dxa"/>
            <w:vAlign w:val="center"/>
          </w:tcPr>
          <w:p w:rsidR="0044648D" w:rsidRDefault="00B25F8D">
            <w:pPr>
              <w:jc w:val="center"/>
            </w:pPr>
            <w:r>
              <w:rPr>
                <w:color w:val="000000"/>
                <w:sz w:val="24"/>
                <w:szCs w:val="24"/>
              </w:rPr>
              <w:t>3</w:t>
            </w:r>
          </w:p>
        </w:tc>
        <w:tc>
          <w:tcPr>
            <w:tcW w:w="1334" w:type="dxa"/>
            <w:vAlign w:val="center"/>
          </w:tcPr>
          <w:p w:rsidR="0044648D" w:rsidRDefault="00B25F8D">
            <w:pPr>
              <w:jc w:val="center"/>
            </w:pPr>
            <w:r>
              <w:rPr>
                <w:color w:val="000000"/>
                <w:sz w:val="24"/>
                <w:szCs w:val="24"/>
              </w:rPr>
              <w:t>300166</w:t>
            </w:r>
          </w:p>
        </w:tc>
        <w:tc>
          <w:tcPr>
            <w:tcW w:w="1777" w:type="dxa"/>
            <w:vAlign w:val="center"/>
          </w:tcPr>
          <w:p w:rsidR="0044648D" w:rsidRDefault="00B25F8D">
            <w:pPr>
              <w:jc w:val="center"/>
            </w:pPr>
            <w:r>
              <w:rPr>
                <w:color w:val="000000"/>
                <w:sz w:val="24"/>
                <w:szCs w:val="24"/>
              </w:rPr>
              <w:t>东方国信</w:t>
            </w:r>
          </w:p>
        </w:tc>
        <w:tc>
          <w:tcPr>
            <w:tcW w:w="1334" w:type="dxa"/>
            <w:vAlign w:val="center"/>
          </w:tcPr>
          <w:p w:rsidR="0044648D" w:rsidRDefault="00B25F8D">
            <w:pPr>
              <w:jc w:val="right"/>
            </w:pPr>
            <w:r>
              <w:rPr>
                <w:color w:val="000000"/>
                <w:sz w:val="24"/>
                <w:szCs w:val="24"/>
              </w:rPr>
              <w:t>1,266,803</w:t>
            </w:r>
          </w:p>
        </w:tc>
        <w:tc>
          <w:tcPr>
            <w:tcW w:w="1924" w:type="dxa"/>
            <w:vAlign w:val="center"/>
          </w:tcPr>
          <w:p w:rsidR="0044648D" w:rsidRDefault="00B25F8D">
            <w:pPr>
              <w:jc w:val="right"/>
            </w:pPr>
            <w:r>
              <w:rPr>
                <w:color w:val="000000"/>
                <w:sz w:val="24"/>
                <w:szCs w:val="24"/>
              </w:rPr>
              <w:t>45,503,563.76</w:t>
            </w:r>
          </w:p>
        </w:tc>
        <w:tc>
          <w:tcPr>
            <w:tcW w:w="1644" w:type="dxa"/>
            <w:vAlign w:val="center"/>
          </w:tcPr>
          <w:p w:rsidR="0044648D" w:rsidRDefault="00B25F8D">
            <w:pPr>
              <w:jc w:val="right"/>
            </w:pPr>
            <w:r>
              <w:rPr>
                <w:color w:val="000000"/>
                <w:sz w:val="24"/>
                <w:szCs w:val="24"/>
              </w:rPr>
              <w:t>5.84</w:t>
            </w:r>
          </w:p>
        </w:tc>
      </w:tr>
      <w:tr w:rsidR="0044648D">
        <w:trPr>
          <w:jc w:val="center"/>
        </w:trPr>
        <w:tc>
          <w:tcPr>
            <w:tcW w:w="855" w:type="dxa"/>
            <w:vAlign w:val="center"/>
          </w:tcPr>
          <w:p w:rsidR="0044648D" w:rsidRDefault="00B25F8D">
            <w:pPr>
              <w:jc w:val="center"/>
            </w:pPr>
            <w:r>
              <w:rPr>
                <w:color w:val="000000"/>
                <w:sz w:val="24"/>
                <w:szCs w:val="24"/>
              </w:rPr>
              <w:t>4</w:t>
            </w:r>
          </w:p>
        </w:tc>
        <w:tc>
          <w:tcPr>
            <w:tcW w:w="1334" w:type="dxa"/>
            <w:vAlign w:val="center"/>
          </w:tcPr>
          <w:p w:rsidR="0044648D" w:rsidRDefault="00B25F8D">
            <w:pPr>
              <w:jc w:val="center"/>
            </w:pPr>
            <w:r>
              <w:rPr>
                <w:color w:val="000000"/>
                <w:sz w:val="24"/>
                <w:szCs w:val="24"/>
              </w:rPr>
              <w:t>002169</w:t>
            </w:r>
          </w:p>
        </w:tc>
        <w:tc>
          <w:tcPr>
            <w:tcW w:w="1777" w:type="dxa"/>
            <w:vAlign w:val="center"/>
          </w:tcPr>
          <w:p w:rsidR="0044648D" w:rsidRDefault="00B25F8D">
            <w:pPr>
              <w:jc w:val="center"/>
            </w:pPr>
            <w:r>
              <w:rPr>
                <w:color w:val="000000"/>
                <w:sz w:val="24"/>
                <w:szCs w:val="24"/>
              </w:rPr>
              <w:t>智光电气</w:t>
            </w:r>
          </w:p>
        </w:tc>
        <w:tc>
          <w:tcPr>
            <w:tcW w:w="1334" w:type="dxa"/>
            <w:vAlign w:val="center"/>
          </w:tcPr>
          <w:p w:rsidR="0044648D" w:rsidRDefault="00B25F8D">
            <w:pPr>
              <w:jc w:val="right"/>
            </w:pPr>
            <w:r>
              <w:rPr>
                <w:color w:val="000000"/>
                <w:sz w:val="24"/>
                <w:szCs w:val="24"/>
              </w:rPr>
              <w:t>1,618,074</w:t>
            </w:r>
          </w:p>
        </w:tc>
        <w:tc>
          <w:tcPr>
            <w:tcW w:w="1924" w:type="dxa"/>
            <w:vAlign w:val="center"/>
          </w:tcPr>
          <w:p w:rsidR="0044648D" w:rsidRDefault="00B25F8D">
            <w:pPr>
              <w:jc w:val="right"/>
            </w:pPr>
            <w:r>
              <w:rPr>
                <w:color w:val="000000"/>
                <w:sz w:val="24"/>
                <w:szCs w:val="24"/>
              </w:rPr>
              <w:t>42,976,045.44</w:t>
            </w:r>
          </w:p>
        </w:tc>
        <w:tc>
          <w:tcPr>
            <w:tcW w:w="1644" w:type="dxa"/>
            <w:vAlign w:val="center"/>
          </w:tcPr>
          <w:p w:rsidR="0044648D" w:rsidRDefault="00B25F8D">
            <w:pPr>
              <w:jc w:val="right"/>
            </w:pPr>
            <w:r>
              <w:rPr>
                <w:color w:val="000000"/>
                <w:sz w:val="24"/>
                <w:szCs w:val="24"/>
              </w:rPr>
              <w:t>5.52</w:t>
            </w:r>
          </w:p>
        </w:tc>
      </w:tr>
      <w:tr w:rsidR="0044648D">
        <w:trPr>
          <w:jc w:val="center"/>
        </w:trPr>
        <w:tc>
          <w:tcPr>
            <w:tcW w:w="855" w:type="dxa"/>
            <w:vAlign w:val="center"/>
          </w:tcPr>
          <w:p w:rsidR="0044648D" w:rsidRDefault="00B25F8D">
            <w:pPr>
              <w:jc w:val="center"/>
            </w:pPr>
            <w:r>
              <w:rPr>
                <w:color w:val="000000"/>
                <w:sz w:val="24"/>
                <w:szCs w:val="24"/>
              </w:rPr>
              <w:t>5</w:t>
            </w:r>
          </w:p>
        </w:tc>
        <w:tc>
          <w:tcPr>
            <w:tcW w:w="1334" w:type="dxa"/>
            <w:vAlign w:val="center"/>
          </w:tcPr>
          <w:p w:rsidR="0044648D" w:rsidRDefault="00B25F8D">
            <w:pPr>
              <w:jc w:val="center"/>
            </w:pPr>
            <w:r>
              <w:rPr>
                <w:color w:val="000000"/>
                <w:sz w:val="24"/>
                <w:szCs w:val="24"/>
              </w:rPr>
              <w:t>002053</w:t>
            </w:r>
          </w:p>
        </w:tc>
        <w:tc>
          <w:tcPr>
            <w:tcW w:w="1777" w:type="dxa"/>
            <w:vAlign w:val="center"/>
          </w:tcPr>
          <w:p w:rsidR="0044648D" w:rsidRDefault="00B25F8D">
            <w:pPr>
              <w:jc w:val="center"/>
            </w:pPr>
            <w:r>
              <w:rPr>
                <w:color w:val="000000"/>
                <w:sz w:val="24"/>
                <w:szCs w:val="24"/>
              </w:rPr>
              <w:t>云南盐化</w:t>
            </w:r>
          </w:p>
        </w:tc>
        <w:tc>
          <w:tcPr>
            <w:tcW w:w="1334" w:type="dxa"/>
            <w:vAlign w:val="center"/>
          </w:tcPr>
          <w:p w:rsidR="0044648D" w:rsidRDefault="00B25F8D">
            <w:pPr>
              <w:jc w:val="right"/>
            </w:pPr>
            <w:r>
              <w:rPr>
                <w:color w:val="000000"/>
                <w:sz w:val="24"/>
                <w:szCs w:val="24"/>
              </w:rPr>
              <w:t>1,331,309</w:t>
            </w:r>
          </w:p>
        </w:tc>
        <w:tc>
          <w:tcPr>
            <w:tcW w:w="1924" w:type="dxa"/>
            <w:vAlign w:val="center"/>
          </w:tcPr>
          <w:p w:rsidR="0044648D" w:rsidRDefault="00B25F8D">
            <w:pPr>
              <w:jc w:val="right"/>
            </w:pPr>
            <w:r>
              <w:rPr>
                <w:color w:val="000000"/>
                <w:sz w:val="24"/>
                <w:szCs w:val="24"/>
              </w:rPr>
              <w:t>38,221,881.39</w:t>
            </w:r>
          </w:p>
        </w:tc>
        <w:tc>
          <w:tcPr>
            <w:tcW w:w="1644" w:type="dxa"/>
            <w:vAlign w:val="center"/>
          </w:tcPr>
          <w:p w:rsidR="0044648D" w:rsidRDefault="00B25F8D">
            <w:pPr>
              <w:jc w:val="right"/>
            </w:pPr>
            <w:r>
              <w:rPr>
                <w:color w:val="000000"/>
                <w:sz w:val="24"/>
                <w:szCs w:val="24"/>
              </w:rPr>
              <w:t>4.91</w:t>
            </w:r>
          </w:p>
        </w:tc>
      </w:tr>
      <w:tr w:rsidR="0044648D">
        <w:trPr>
          <w:jc w:val="center"/>
        </w:trPr>
        <w:tc>
          <w:tcPr>
            <w:tcW w:w="855" w:type="dxa"/>
            <w:vAlign w:val="center"/>
          </w:tcPr>
          <w:p w:rsidR="0044648D" w:rsidRDefault="00B25F8D">
            <w:pPr>
              <w:jc w:val="center"/>
            </w:pPr>
            <w:r>
              <w:rPr>
                <w:color w:val="000000"/>
                <w:sz w:val="24"/>
                <w:szCs w:val="24"/>
              </w:rPr>
              <w:t>6</w:t>
            </w:r>
          </w:p>
        </w:tc>
        <w:tc>
          <w:tcPr>
            <w:tcW w:w="1334" w:type="dxa"/>
            <w:vAlign w:val="center"/>
          </w:tcPr>
          <w:p w:rsidR="0044648D" w:rsidRDefault="00B25F8D">
            <w:pPr>
              <w:jc w:val="center"/>
            </w:pPr>
            <w:r>
              <w:rPr>
                <w:color w:val="000000"/>
                <w:sz w:val="24"/>
                <w:szCs w:val="24"/>
              </w:rPr>
              <w:t>600805</w:t>
            </w:r>
          </w:p>
        </w:tc>
        <w:tc>
          <w:tcPr>
            <w:tcW w:w="1777" w:type="dxa"/>
            <w:vAlign w:val="center"/>
          </w:tcPr>
          <w:p w:rsidR="0044648D" w:rsidRDefault="00B25F8D">
            <w:pPr>
              <w:jc w:val="center"/>
            </w:pPr>
            <w:r>
              <w:rPr>
                <w:color w:val="000000"/>
                <w:sz w:val="24"/>
                <w:szCs w:val="24"/>
              </w:rPr>
              <w:t>悦达投资</w:t>
            </w:r>
          </w:p>
        </w:tc>
        <w:tc>
          <w:tcPr>
            <w:tcW w:w="1334" w:type="dxa"/>
            <w:vAlign w:val="center"/>
          </w:tcPr>
          <w:p w:rsidR="0044648D" w:rsidRDefault="00B25F8D">
            <w:pPr>
              <w:jc w:val="right"/>
            </w:pPr>
            <w:r>
              <w:rPr>
                <w:color w:val="000000"/>
                <w:sz w:val="24"/>
                <w:szCs w:val="24"/>
              </w:rPr>
              <w:t>2,442,806</w:t>
            </w:r>
          </w:p>
        </w:tc>
        <w:tc>
          <w:tcPr>
            <w:tcW w:w="1924" w:type="dxa"/>
            <w:vAlign w:val="center"/>
          </w:tcPr>
          <w:p w:rsidR="0044648D" w:rsidRDefault="00B25F8D">
            <w:pPr>
              <w:jc w:val="right"/>
            </w:pPr>
            <w:r>
              <w:rPr>
                <w:color w:val="000000"/>
                <w:sz w:val="24"/>
                <w:szCs w:val="24"/>
              </w:rPr>
              <w:t>38,181,057.78</w:t>
            </w:r>
          </w:p>
        </w:tc>
        <w:tc>
          <w:tcPr>
            <w:tcW w:w="1644" w:type="dxa"/>
            <w:vAlign w:val="center"/>
          </w:tcPr>
          <w:p w:rsidR="0044648D" w:rsidRDefault="00B25F8D">
            <w:pPr>
              <w:jc w:val="right"/>
            </w:pPr>
            <w:r>
              <w:rPr>
                <w:color w:val="000000"/>
                <w:sz w:val="24"/>
                <w:szCs w:val="24"/>
              </w:rPr>
              <w:t>4.90</w:t>
            </w:r>
          </w:p>
        </w:tc>
      </w:tr>
      <w:tr w:rsidR="0044648D">
        <w:trPr>
          <w:jc w:val="center"/>
        </w:trPr>
        <w:tc>
          <w:tcPr>
            <w:tcW w:w="855" w:type="dxa"/>
            <w:vAlign w:val="center"/>
          </w:tcPr>
          <w:p w:rsidR="0044648D" w:rsidRDefault="00B25F8D">
            <w:pPr>
              <w:jc w:val="center"/>
            </w:pPr>
            <w:r>
              <w:rPr>
                <w:color w:val="000000"/>
                <w:sz w:val="24"/>
                <w:szCs w:val="24"/>
              </w:rPr>
              <w:t>7</w:t>
            </w:r>
          </w:p>
        </w:tc>
        <w:tc>
          <w:tcPr>
            <w:tcW w:w="1334" w:type="dxa"/>
            <w:vAlign w:val="center"/>
          </w:tcPr>
          <w:p w:rsidR="0044648D" w:rsidRDefault="00B25F8D">
            <w:pPr>
              <w:jc w:val="center"/>
            </w:pPr>
            <w:r>
              <w:rPr>
                <w:color w:val="000000"/>
                <w:sz w:val="24"/>
                <w:szCs w:val="24"/>
              </w:rPr>
              <w:t>600707</w:t>
            </w:r>
          </w:p>
        </w:tc>
        <w:tc>
          <w:tcPr>
            <w:tcW w:w="1777" w:type="dxa"/>
            <w:vAlign w:val="center"/>
          </w:tcPr>
          <w:p w:rsidR="0044648D" w:rsidRDefault="00B25F8D">
            <w:pPr>
              <w:jc w:val="center"/>
            </w:pPr>
            <w:r>
              <w:rPr>
                <w:color w:val="000000"/>
                <w:sz w:val="24"/>
                <w:szCs w:val="24"/>
              </w:rPr>
              <w:t>彩虹股份</w:t>
            </w:r>
          </w:p>
        </w:tc>
        <w:tc>
          <w:tcPr>
            <w:tcW w:w="1334" w:type="dxa"/>
            <w:vAlign w:val="center"/>
          </w:tcPr>
          <w:p w:rsidR="0044648D" w:rsidRDefault="00B25F8D">
            <w:pPr>
              <w:jc w:val="right"/>
            </w:pPr>
            <w:r>
              <w:rPr>
                <w:color w:val="000000"/>
                <w:sz w:val="24"/>
                <w:szCs w:val="24"/>
              </w:rPr>
              <w:t>2,301,360</w:t>
            </w:r>
          </w:p>
        </w:tc>
        <w:tc>
          <w:tcPr>
            <w:tcW w:w="1924" w:type="dxa"/>
            <w:vAlign w:val="center"/>
          </w:tcPr>
          <w:p w:rsidR="0044648D" w:rsidRDefault="00B25F8D">
            <w:pPr>
              <w:jc w:val="right"/>
            </w:pPr>
            <w:r>
              <w:rPr>
                <w:color w:val="000000"/>
                <w:sz w:val="24"/>
                <w:szCs w:val="24"/>
              </w:rPr>
              <w:t>36,131,352.00</w:t>
            </w:r>
          </w:p>
        </w:tc>
        <w:tc>
          <w:tcPr>
            <w:tcW w:w="1644" w:type="dxa"/>
            <w:vAlign w:val="center"/>
          </w:tcPr>
          <w:p w:rsidR="0044648D" w:rsidRDefault="00B25F8D">
            <w:pPr>
              <w:jc w:val="right"/>
            </w:pPr>
            <w:r>
              <w:rPr>
                <w:color w:val="000000"/>
                <w:sz w:val="24"/>
                <w:szCs w:val="24"/>
              </w:rPr>
              <w:t>4.64</w:t>
            </w:r>
          </w:p>
        </w:tc>
      </w:tr>
      <w:tr w:rsidR="0044648D">
        <w:trPr>
          <w:jc w:val="center"/>
        </w:trPr>
        <w:tc>
          <w:tcPr>
            <w:tcW w:w="855" w:type="dxa"/>
            <w:vAlign w:val="center"/>
          </w:tcPr>
          <w:p w:rsidR="0044648D" w:rsidRDefault="00B25F8D">
            <w:pPr>
              <w:jc w:val="center"/>
            </w:pPr>
            <w:r>
              <w:rPr>
                <w:color w:val="000000"/>
                <w:sz w:val="24"/>
                <w:szCs w:val="24"/>
              </w:rPr>
              <w:t>8</w:t>
            </w:r>
          </w:p>
        </w:tc>
        <w:tc>
          <w:tcPr>
            <w:tcW w:w="1334" w:type="dxa"/>
            <w:vAlign w:val="center"/>
          </w:tcPr>
          <w:p w:rsidR="0044648D" w:rsidRDefault="00B25F8D">
            <w:pPr>
              <w:jc w:val="center"/>
            </w:pPr>
            <w:r>
              <w:rPr>
                <w:color w:val="000000"/>
                <w:sz w:val="24"/>
                <w:szCs w:val="24"/>
              </w:rPr>
              <w:t>002180</w:t>
            </w:r>
          </w:p>
        </w:tc>
        <w:tc>
          <w:tcPr>
            <w:tcW w:w="1777" w:type="dxa"/>
            <w:vAlign w:val="center"/>
          </w:tcPr>
          <w:p w:rsidR="0044648D" w:rsidRDefault="00B25F8D">
            <w:pPr>
              <w:jc w:val="center"/>
            </w:pPr>
            <w:r>
              <w:rPr>
                <w:color w:val="000000"/>
                <w:sz w:val="24"/>
                <w:szCs w:val="24"/>
              </w:rPr>
              <w:t>艾派克</w:t>
            </w:r>
          </w:p>
        </w:tc>
        <w:tc>
          <w:tcPr>
            <w:tcW w:w="1334" w:type="dxa"/>
            <w:vAlign w:val="center"/>
          </w:tcPr>
          <w:p w:rsidR="0044648D" w:rsidRDefault="00B25F8D">
            <w:pPr>
              <w:jc w:val="right"/>
            </w:pPr>
            <w:r>
              <w:rPr>
                <w:color w:val="000000"/>
                <w:sz w:val="24"/>
                <w:szCs w:val="24"/>
              </w:rPr>
              <w:t>795,519</w:t>
            </w:r>
          </w:p>
        </w:tc>
        <w:tc>
          <w:tcPr>
            <w:tcW w:w="1924" w:type="dxa"/>
            <w:vAlign w:val="center"/>
          </w:tcPr>
          <w:p w:rsidR="0044648D" w:rsidRDefault="00B25F8D">
            <w:pPr>
              <w:jc w:val="right"/>
            </w:pPr>
            <w:r>
              <w:rPr>
                <w:color w:val="000000"/>
                <w:sz w:val="24"/>
                <w:szCs w:val="24"/>
              </w:rPr>
              <w:t>35,002,836.00</w:t>
            </w:r>
          </w:p>
        </w:tc>
        <w:tc>
          <w:tcPr>
            <w:tcW w:w="1644" w:type="dxa"/>
            <w:vAlign w:val="center"/>
          </w:tcPr>
          <w:p w:rsidR="0044648D" w:rsidRDefault="00B25F8D">
            <w:pPr>
              <w:jc w:val="right"/>
            </w:pPr>
            <w:r>
              <w:rPr>
                <w:color w:val="000000"/>
                <w:sz w:val="24"/>
                <w:szCs w:val="24"/>
              </w:rPr>
              <w:t>4.50</w:t>
            </w:r>
          </w:p>
        </w:tc>
      </w:tr>
      <w:tr w:rsidR="0044648D">
        <w:trPr>
          <w:jc w:val="center"/>
        </w:trPr>
        <w:tc>
          <w:tcPr>
            <w:tcW w:w="855" w:type="dxa"/>
            <w:vAlign w:val="center"/>
          </w:tcPr>
          <w:p w:rsidR="0044648D" w:rsidRDefault="00B25F8D">
            <w:pPr>
              <w:jc w:val="center"/>
            </w:pPr>
            <w:r>
              <w:rPr>
                <w:color w:val="000000"/>
                <w:sz w:val="24"/>
                <w:szCs w:val="24"/>
              </w:rPr>
              <w:t>9</w:t>
            </w:r>
          </w:p>
        </w:tc>
        <w:tc>
          <w:tcPr>
            <w:tcW w:w="1334" w:type="dxa"/>
            <w:vAlign w:val="center"/>
          </w:tcPr>
          <w:p w:rsidR="0044648D" w:rsidRDefault="00B25F8D">
            <w:pPr>
              <w:jc w:val="center"/>
            </w:pPr>
            <w:r>
              <w:rPr>
                <w:color w:val="000000"/>
                <w:sz w:val="24"/>
                <w:szCs w:val="24"/>
              </w:rPr>
              <w:t>600835</w:t>
            </w:r>
          </w:p>
        </w:tc>
        <w:tc>
          <w:tcPr>
            <w:tcW w:w="1777" w:type="dxa"/>
            <w:vAlign w:val="center"/>
          </w:tcPr>
          <w:p w:rsidR="0044648D" w:rsidRDefault="00B25F8D">
            <w:pPr>
              <w:jc w:val="center"/>
            </w:pPr>
            <w:r>
              <w:rPr>
                <w:color w:val="000000"/>
                <w:sz w:val="24"/>
                <w:szCs w:val="24"/>
              </w:rPr>
              <w:t>上海机电</w:t>
            </w:r>
          </w:p>
        </w:tc>
        <w:tc>
          <w:tcPr>
            <w:tcW w:w="1334" w:type="dxa"/>
            <w:vAlign w:val="center"/>
          </w:tcPr>
          <w:p w:rsidR="0044648D" w:rsidRDefault="00B25F8D">
            <w:pPr>
              <w:jc w:val="right"/>
            </w:pPr>
            <w:r>
              <w:rPr>
                <w:color w:val="000000"/>
                <w:sz w:val="24"/>
                <w:szCs w:val="24"/>
              </w:rPr>
              <w:t>990,705</w:t>
            </w:r>
          </w:p>
        </w:tc>
        <w:tc>
          <w:tcPr>
            <w:tcW w:w="1924" w:type="dxa"/>
            <w:vAlign w:val="center"/>
          </w:tcPr>
          <w:p w:rsidR="0044648D" w:rsidRDefault="00B25F8D">
            <w:pPr>
              <w:jc w:val="right"/>
            </w:pPr>
            <w:r>
              <w:rPr>
                <w:color w:val="000000"/>
                <w:sz w:val="24"/>
                <w:szCs w:val="24"/>
              </w:rPr>
              <w:t>32,633,822.70</w:t>
            </w:r>
          </w:p>
        </w:tc>
        <w:tc>
          <w:tcPr>
            <w:tcW w:w="1644" w:type="dxa"/>
            <w:vAlign w:val="center"/>
          </w:tcPr>
          <w:p w:rsidR="0044648D" w:rsidRDefault="00B25F8D">
            <w:pPr>
              <w:jc w:val="right"/>
            </w:pPr>
            <w:r>
              <w:rPr>
                <w:color w:val="000000"/>
                <w:sz w:val="24"/>
                <w:szCs w:val="24"/>
              </w:rPr>
              <w:t>4.19</w:t>
            </w:r>
          </w:p>
        </w:tc>
      </w:tr>
      <w:tr w:rsidR="0044648D">
        <w:trPr>
          <w:jc w:val="center"/>
        </w:trPr>
        <w:tc>
          <w:tcPr>
            <w:tcW w:w="855" w:type="dxa"/>
            <w:vAlign w:val="center"/>
          </w:tcPr>
          <w:p w:rsidR="0044648D" w:rsidRDefault="00B25F8D">
            <w:pPr>
              <w:jc w:val="center"/>
            </w:pPr>
            <w:r>
              <w:rPr>
                <w:color w:val="000000"/>
                <w:sz w:val="24"/>
                <w:szCs w:val="24"/>
              </w:rPr>
              <w:t>10</w:t>
            </w:r>
          </w:p>
        </w:tc>
        <w:tc>
          <w:tcPr>
            <w:tcW w:w="1334" w:type="dxa"/>
            <w:vAlign w:val="center"/>
          </w:tcPr>
          <w:p w:rsidR="0044648D" w:rsidRDefault="00B25F8D">
            <w:pPr>
              <w:jc w:val="center"/>
            </w:pPr>
            <w:r>
              <w:rPr>
                <w:color w:val="000000"/>
                <w:sz w:val="24"/>
                <w:szCs w:val="24"/>
              </w:rPr>
              <w:t>600418</w:t>
            </w:r>
          </w:p>
        </w:tc>
        <w:tc>
          <w:tcPr>
            <w:tcW w:w="1777" w:type="dxa"/>
            <w:vAlign w:val="center"/>
          </w:tcPr>
          <w:p w:rsidR="0044648D" w:rsidRDefault="00B25F8D">
            <w:pPr>
              <w:jc w:val="center"/>
            </w:pPr>
            <w:r>
              <w:rPr>
                <w:color w:val="000000"/>
                <w:sz w:val="24"/>
                <w:szCs w:val="24"/>
              </w:rPr>
              <w:t>江淮汽车</w:t>
            </w:r>
          </w:p>
        </w:tc>
        <w:tc>
          <w:tcPr>
            <w:tcW w:w="1334" w:type="dxa"/>
            <w:vAlign w:val="center"/>
          </w:tcPr>
          <w:p w:rsidR="0044648D" w:rsidRDefault="00B25F8D">
            <w:pPr>
              <w:jc w:val="right"/>
            </w:pPr>
            <w:r>
              <w:rPr>
                <w:color w:val="000000"/>
                <w:sz w:val="24"/>
                <w:szCs w:val="24"/>
              </w:rPr>
              <w:t>2,311,842</w:t>
            </w:r>
          </w:p>
        </w:tc>
        <w:tc>
          <w:tcPr>
            <w:tcW w:w="1924" w:type="dxa"/>
            <w:vAlign w:val="center"/>
          </w:tcPr>
          <w:p w:rsidR="0044648D" w:rsidRDefault="00B25F8D">
            <w:pPr>
              <w:jc w:val="right"/>
            </w:pPr>
            <w:r>
              <w:rPr>
                <w:color w:val="000000"/>
                <w:sz w:val="24"/>
                <w:szCs w:val="24"/>
              </w:rPr>
              <w:t>32,550,735.36</w:t>
            </w:r>
          </w:p>
        </w:tc>
        <w:tc>
          <w:tcPr>
            <w:tcW w:w="1644" w:type="dxa"/>
            <w:vAlign w:val="center"/>
          </w:tcPr>
          <w:p w:rsidR="0044648D" w:rsidRDefault="00B25F8D">
            <w:pPr>
              <w:jc w:val="right"/>
            </w:pPr>
            <w:r>
              <w:rPr>
                <w:color w:val="000000"/>
                <w:sz w:val="24"/>
                <w:szCs w:val="24"/>
              </w:rPr>
              <w:t>4.18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297,838.91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31,540.77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1,420,662.68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1,750,042.36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4648D">
        <w:trPr>
          <w:jc w:val="center"/>
        </w:trPr>
        <w:tc>
          <w:tcPr>
            <w:tcW w:w="1129" w:type="dxa"/>
            <w:vAlign w:val="center"/>
          </w:tcPr>
          <w:p w:rsidR="0044648D" w:rsidRDefault="00B25F8D">
            <w:pPr>
              <w:jc w:val="center"/>
            </w:pPr>
            <w:r>
              <w:rPr>
                <w:color w:val="000000"/>
                <w:sz w:val="24"/>
                <w:szCs w:val="24"/>
              </w:rPr>
              <w:t>1</w:t>
            </w:r>
          </w:p>
        </w:tc>
        <w:tc>
          <w:tcPr>
            <w:tcW w:w="1356" w:type="dxa"/>
            <w:vAlign w:val="center"/>
          </w:tcPr>
          <w:p w:rsidR="0044648D" w:rsidRDefault="00B25F8D">
            <w:pPr>
              <w:jc w:val="center"/>
            </w:pPr>
            <w:r>
              <w:rPr>
                <w:color w:val="000000"/>
                <w:sz w:val="24"/>
                <w:szCs w:val="24"/>
              </w:rPr>
              <w:t>600967</w:t>
            </w:r>
          </w:p>
        </w:tc>
        <w:tc>
          <w:tcPr>
            <w:tcW w:w="1355" w:type="dxa"/>
            <w:vAlign w:val="center"/>
          </w:tcPr>
          <w:p w:rsidR="0044648D" w:rsidRDefault="00B25F8D">
            <w:pPr>
              <w:jc w:val="center"/>
            </w:pPr>
            <w:r>
              <w:rPr>
                <w:color w:val="000000"/>
                <w:sz w:val="24"/>
                <w:szCs w:val="24"/>
              </w:rPr>
              <w:t>北方创业</w:t>
            </w:r>
          </w:p>
        </w:tc>
        <w:tc>
          <w:tcPr>
            <w:tcW w:w="1880" w:type="dxa"/>
            <w:vAlign w:val="center"/>
          </w:tcPr>
          <w:p w:rsidR="0044648D" w:rsidRDefault="00B25F8D">
            <w:pPr>
              <w:jc w:val="right"/>
            </w:pPr>
            <w:r>
              <w:rPr>
                <w:color w:val="000000"/>
                <w:sz w:val="24"/>
                <w:szCs w:val="24"/>
              </w:rPr>
              <w:t>51,589,033.01</w:t>
            </w:r>
          </w:p>
        </w:tc>
        <w:tc>
          <w:tcPr>
            <w:tcW w:w="1724" w:type="dxa"/>
            <w:vAlign w:val="center"/>
          </w:tcPr>
          <w:p w:rsidR="0044648D" w:rsidRDefault="00B25F8D">
            <w:pPr>
              <w:jc w:val="right"/>
            </w:pPr>
            <w:r>
              <w:rPr>
                <w:color w:val="000000"/>
                <w:sz w:val="24"/>
                <w:szCs w:val="24"/>
              </w:rPr>
              <w:t>6.63</w:t>
            </w:r>
          </w:p>
        </w:tc>
        <w:tc>
          <w:tcPr>
            <w:tcW w:w="1424" w:type="dxa"/>
            <w:vAlign w:val="center"/>
          </w:tcPr>
          <w:p w:rsidR="0044648D" w:rsidRDefault="00B25F8D">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320,477,738.35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215,363,215.67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197,531,064.13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338,309,889.89</w:t>
            </w:r>
          </w:p>
        </w:tc>
      </w:tr>
    </w:tbl>
    <w:p w:rsidR="0044648D" w:rsidRDefault="00B25F8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4648D" w:rsidRDefault="00B25F8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、《交银施罗德先进制造股票证券投资基金基金合同》；</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、《交银施罗德先进制造股票证券投资基金招募说明书》；</w:t>
      </w:r>
      <w:r>
        <w:rPr>
          <w:color w:val="000000"/>
          <w:sz w:val="24"/>
          <w:szCs w:val="24"/>
        </w:rPr>
        <w:t xml:space="preserve"> </w:t>
      </w:r>
    </w:p>
    <w:p w:rsidR="0044648D" w:rsidRDefault="00B25F8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、《交银施罗德先进制造股票证券投资基金托管协议》；</w:t>
      </w:r>
    </w:p>
    <w:p w:rsidR="0044648D" w:rsidRDefault="00B25F8D">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44648D" w:rsidRDefault="00B25F8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4648D" w:rsidRDefault="00B25F8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、报告期内交银施罗德先进制造股票证券投资基金在指定报刊上各项公告的原稿。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4648D" w:rsidRDefault="00B25F8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07F" w:rsidRDefault="009F607F" w:rsidP="00876D65">
      <w:r>
        <w:separator/>
      </w:r>
    </w:p>
  </w:endnote>
  <w:endnote w:type="continuationSeparator" w:id="0">
    <w:p w:rsidR="009F607F" w:rsidRDefault="009F607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091064">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091064">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07F" w:rsidRDefault="009F607F" w:rsidP="00876D65">
      <w:r>
        <w:separator/>
      </w:r>
    </w:p>
  </w:footnote>
  <w:footnote w:type="continuationSeparator" w:id="0">
    <w:p w:rsidR="009F607F" w:rsidRDefault="009F607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1064"/>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648D"/>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15A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2DB6"/>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07F"/>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3476"/>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5F8D"/>
    <w:rsid w:val="00B27479"/>
    <w:rsid w:val="00B32AA7"/>
    <w:rsid w:val="00B34678"/>
    <w:rsid w:val="00B35024"/>
    <w:rsid w:val="00B371B4"/>
    <w:rsid w:val="00B40F64"/>
    <w:rsid w:val="00B42A76"/>
    <w:rsid w:val="00B45C8E"/>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2924"/>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0BEB2B-F5A9-4B51-9DB5-9F63BDD6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1234E-5240-48E2-A0EE-6E9689C5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563</cp:revision>
  <dcterms:created xsi:type="dcterms:W3CDTF">2012-10-16T06:07:00Z</dcterms:created>
  <dcterms:modified xsi:type="dcterms:W3CDTF">2015-07-15T06:53:00Z</dcterms:modified>
</cp:coreProperties>
</file>