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2015</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2015</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8"/>
          <w:footerReference w:type="default" r:id="rId9"/>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二〇一五年七月十八日</w:t>
      </w:r>
    </w:p>
    <w:p w:rsidR="00220542" w:rsidRPr="0036023B" w:rsidRDefault="00220542" w:rsidP="002F7EC7">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6C6AB2" w:rsidRDefault="002F7EC7">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C6AB2" w:rsidRDefault="002F7EC7">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C6AB2" w:rsidRDefault="002F7EC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C6AB2" w:rsidRDefault="002F7EC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C6AB2" w:rsidRDefault="002F7EC7">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2015</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2F7EC7">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977,524,362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2F7EC7">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F7EC7" w:rsidRPr="0036023B" w:rsidTr="002F7EC7">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(2015</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-2015</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2F7EC7" w:rsidRPr="0036023B" w:rsidTr="002F7EC7">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430,146,855.69</w:t>
            </w:r>
          </w:p>
        </w:tc>
      </w:tr>
      <w:tr w:rsidR="002F7EC7" w:rsidRPr="0036023B" w:rsidTr="002F7EC7">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189,168,628.52</w:t>
            </w:r>
          </w:p>
        </w:tc>
      </w:tr>
      <w:tr w:rsidR="002F7EC7" w:rsidRPr="0036023B" w:rsidTr="002F7EC7">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0.1584</w:t>
            </w:r>
          </w:p>
        </w:tc>
      </w:tr>
      <w:tr w:rsidR="002F7EC7" w:rsidRPr="0036023B" w:rsidTr="002F7EC7">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1,227,362,634.97</w:t>
            </w:r>
          </w:p>
        </w:tc>
      </w:tr>
      <w:tr w:rsidR="002F7EC7" w:rsidRPr="0036023B" w:rsidTr="002F7EC7">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1.256</w:t>
            </w:r>
          </w:p>
        </w:tc>
      </w:tr>
    </w:tbl>
    <w:p w:rsidR="006C6AB2" w:rsidRDefault="002F7EC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6C6AB2">
        <w:trPr>
          <w:jc w:val="center"/>
        </w:trPr>
        <w:tc>
          <w:tcPr>
            <w:tcW w:w="1469" w:type="dxa"/>
            <w:vAlign w:val="center"/>
          </w:tcPr>
          <w:p w:rsidR="006C6AB2" w:rsidRDefault="002F7EC7">
            <w:pPr>
              <w:jc w:val="left"/>
            </w:pPr>
            <w:r>
              <w:rPr>
                <w:color w:val="000000"/>
                <w:sz w:val="24"/>
              </w:rPr>
              <w:t>过去三个月</w:t>
            </w:r>
          </w:p>
        </w:tc>
        <w:tc>
          <w:tcPr>
            <w:tcW w:w="1150" w:type="dxa"/>
            <w:vAlign w:val="center"/>
          </w:tcPr>
          <w:p w:rsidR="006C6AB2" w:rsidRDefault="002F7EC7">
            <w:pPr>
              <w:jc w:val="center"/>
            </w:pPr>
            <w:r>
              <w:rPr>
                <w:color w:val="000000"/>
                <w:sz w:val="24"/>
              </w:rPr>
              <w:t>7.08%</w:t>
            </w:r>
          </w:p>
        </w:tc>
        <w:tc>
          <w:tcPr>
            <w:tcW w:w="1223" w:type="dxa"/>
            <w:vAlign w:val="center"/>
          </w:tcPr>
          <w:p w:rsidR="006C6AB2" w:rsidRDefault="002F7EC7">
            <w:pPr>
              <w:jc w:val="center"/>
            </w:pPr>
            <w:r>
              <w:rPr>
                <w:color w:val="000000"/>
                <w:sz w:val="24"/>
              </w:rPr>
              <w:t>2.65%</w:t>
            </w:r>
          </w:p>
        </w:tc>
        <w:tc>
          <w:tcPr>
            <w:tcW w:w="1244" w:type="dxa"/>
            <w:vAlign w:val="center"/>
          </w:tcPr>
          <w:p w:rsidR="006C6AB2" w:rsidRDefault="002F7EC7">
            <w:pPr>
              <w:jc w:val="center"/>
            </w:pPr>
            <w:r>
              <w:rPr>
                <w:color w:val="000000"/>
                <w:sz w:val="24"/>
              </w:rPr>
              <w:t>6.52%</w:t>
            </w:r>
          </w:p>
        </w:tc>
        <w:tc>
          <w:tcPr>
            <w:tcW w:w="1251" w:type="dxa"/>
            <w:vAlign w:val="center"/>
          </w:tcPr>
          <w:p w:rsidR="006C6AB2" w:rsidRDefault="002F7EC7">
            <w:pPr>
              <w:jc w:val="center"/>
            </w:pPr>
            <w:r>
              <w:rPr>
                <w:color w:val="000000"/>
                <w:sz w:val="24"/>
              </w:rPr>
              <w:t>2.68%</w:t>
            </w:r>
          </w:p>
        </w:tc>
        <w:tc>
          <w:tcPr>
            <w:tcW w:w="1263" w:type="dxa"/>
            <w:vAlign w:val="center"/>
          </w:tcPr>
          <w:p w:rsidR="006C6AB2" w:rsidRDefault="002F7EC7">
            <w:pPr>
              <w:jc w:val="center"/>
            </w:pPr>
            <w:r>
              <w:rPr>
                <w:color w:val="000000"/>
                <w:sz w:val="24"/>
              </w:rPr>
              <w:t>0.56%</w:t>
            </w:r>
          </w:p>
        </w:tc>
        <w:tc>
          <w:tcPr>
            <w:tcW w:w="1268" w:type="dxa"/>
            <w:vAlign w:val="center"/>
          </w:tcPr>
          <w:p w:rsidR="006C6AB2" w:rsidRDefault="002F7EC7">
            <w:pPr>
              <w:jc w:val="center"/>
            </w:pPr>
            <w:r>
              <w:rPr>
                <w:color w:val="000000"/>
                <w:sz w:val="24"/>
              </w:rPr>
              <w:t>-0.03%</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2015</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6C1D5C" w:rsidRPr="0036023B" w:rsidRDefault="006C1D5C" w:rsidP="0099526C">
      <w:pPr>
        <w:tabs>
          <w:tab w:val="left" w:pos="1800"/>
        </w:tabs>
        <w:spacing w:before="29" w:line="288" w:lineRule="auto"/>
        <w:rPr>
          <w:color w:val="000000"/>
          <w:sz w:val="24"/>
        </w:rPr>
      </w:pPr>
    </w:p>
    <w:p w:rsidR="00220542" w:rsidRPr="0036023B" w:rsidRDefault="00220542" w:rsidP="002F7EC7">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6C6AB2">
        <w:trPr>
          <w:jc w:val="center"/>
        </w:trPr>
        <w:tc>
          <w:tcPr>
            <w:tcW w:w="846" w:type="dxa"/>
            <w:vAlign w:val="center"/>
          </w:tcPr>
          <w:p w:rsidR="006C6AB2" w:rsidRDefault="002F7EC7">
            <w:pPr>
              <w:jc w:val="center"/>
            </w:pPr>
            <w:r>
              <w:rPr>
                <w:color w:val="000000"/>
                <w:sz w:val="24"/>
              </w:rPr>
              <w:t>蔡铮</w:t>
            </w:r>
          </w:p>
        </w:tc>
        <w:tc>
          <w:tcPr>
            <w:tcW w:w="845" w:type="dxa"/>
            <w:vAlign w:val="center"/>
          </w:tcPr>
          <w:p w:rsidR="006C6AB2" w:rsidRDefault="002F7EC7" w:rsidP="00EC52D7">
            <w:pPr>
              <w:jc w:val="center"/>
            </w:pPr>
            <w:r>
              <w:rPr>
                <w:color w:val="000000"/>
                <w:sz w:val="24"/>
              </w:rPr>
              <w:t>本基金及其联接基金、交银环球精选股票</w:t>
            </w:r>
            <w:r w:rsidR="00EC52D7">
              <w:rPr>
                <w:rFonts w:hint="eastAsia"/>
                <w:color w:val="000000"/>
                <w:sz w:val="24"/>
              </w:rPr>
              <w:t>基金</w:t>
            </w:r>
            <w:r>
              <w:rPr>
                <w:color w:val="000000"/>
                <w:sz w:val="24"/>
              </w:rPr>
              <w:t>(QDII)</w:t>
            </w:r>
            <w:r>
              <w:rPr>
                <w:color w:val="000000"/>
                <w:sz w:val="24"/>
              </w:rPr>
              <w:t>、交银深证</w:t>
            </w:r>
            <w:r>
              <w:rPr>
                <w:color w:val="000000"/>
                <w:sz w:val="24"/>
              </w:rPr>
              <w:t>300</w:t>
            </w:r>
            <w:r>
              <w:rPr>
                <w:color w:val="000000"/>
                <w:sz w:val="24"/>
              </w:rPr>
              <w:t>价值</w:t>
            </w:r>
            <w:r>
              <w:rPr>
                <w:color w:val="000000"/>
                <w:sz w:val="24"/>
              </w:rPr>
              <w:t>ETF</w:t>
            </w:r>
            <w:r>
              <w:rPr>
                <w:color w:val="000000"/>
                <w:sz w:val="24"/>
              </w:rPr>
              <w:t>及其联接基金、交银全球资源股票</w:t>
            </w:r>
            <w:r w:rsidR="00EC52D7">
              <w:rPr>
                <w:rFonts w:hint="eastAsia"/>
                <w:color w:val="000000"/>
                <w:sz w:val="24"/>
              </w:rPr>
              <w:t>基金</w:t>
            </w:r>
            <w:bookmarkStart w:id="0" w:name="_GoBack"/>
            <w:bookmarkEnd w:id="0"/>
            <w:r>
              <w:rPr>
                <w:color w:val="000000"/>
                <w:sz w:val="24"/>
              </w:rPr>
              <w:t>(QDII)</w:t>
            </w:r>
            <w:r>
              <w:rPr>
                <w:color w:val="000000"/>
                <w:sz w:val="24"/>
              </w:rPr>
              <w:t>、交银沪深</w:t>
            </w:r>
            <w:r>
              <w:rPr>
                <w:color w:val="000000"/>
                <w:sz w:val="24"/>
              </w:rPr>
              <w:t>300</w:t>
            </w:r>
            <w:r>
              <w:rPr>
                <w:color w:val="000000"/>
                <w:sz w:val="24"/>
              </w:rPr>
              <w:t>分层等权指数基金、交银国证新能源指数分级基金、交银中证海外中国互联网指数基金（</w:t>
            </w:r>
            <w:r>
              <w:rPr>
                <w:color w:val="000000"/>
                <w:sz w:val="24"/>
              </w:rPr>
              <w:t>QDII-LOF)</w:t>
            </w:r>
            <w:r>
              <w:rPr>
                <w:color w:val="000000"/>
                <w:sz w:val="24"/>
              </w:rPr>
              <w:t>、交银中证互联网金融指数分级基金的基金经理，公司量化投资部助理总经理</w:t>
            </w:r>
          </w:p>
        </w:tc>
        <w:tc>
          <w:tcPr>
            <w:tcW w:w="1549" w:type="dxa"/>
            <w:vAlign w:val="center"/>
          </w:tcPr>
          <w:p w:rsidR="006C6AB2" w:rsidRDefault="002F7EC7">
            <w:pPr>
              <w:jc w:val="center"/>
            </w:pPr>
            <w:r>
              <w:rPr>
                <w:color w:val="000000"/>
                <w:sz w:val="24"/>
              </w:rPr>
              <w:t>2012-12-27</w:t>
            </w:r>
          </w:p>
        </w:tc>
        <w:tc>
          <w:tcPr>
            <w:tcW w:w="1548" w:type="dxa"/>
            <w:vAlign w:val="center"/>
          </w:tcPr>
          <w:p w:rsidR="006C6AB2" w:rsidRDefault="002F7EC7">
            <w:pPr>
              <w:jc w:val="center"/>
            </w:pPr>
            <w:r>
              <w:rPr>
                <w:color w:val="000000"/>
                <w:sz w:val="24"/>
              </w:rPr>
              <w:t>-</w:t>
            </w:r>
          </w:p>
        </w:tc>
        <w:tc>
          <w:tcPr>
            <w:tcW w:w="1407" w:type="dxa"/>
            <w:vAlign w:val="center"/>
          </w:tcPr>
          <w:p w:rsidR="006C6AB2" w:rsidRDefault="002F7EC7">
            <w:pPr>
              <w:jc w:val="center"/>
            </w:pPr>
            <w:r>
              <w:rPr>
                <w:color w:val="000000"/>
                <w:sz w:val="24"/>
              </w:rPr>
              <w:t>6</w:t>
            </w:r>
            <w:r>
              <w:rPr>
                <w:color w:val="000000"/>
                <w:sz w:val="24"/>
              </w:rPr>
              <w:t>年</w:t>
            </w:r>
          </w:p>
        </w:tc>
        <w:tc>
          <w:tcPr>
            <w:tcW w:w="2673" w:type="dxa"/>
            <w:vAlign w:val="center"/>
          </w:tcPr>
          <w:p w:rsidR="006C6AB2" w:rsidRDefault="002F7EC7">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6C6AB2" w:rsidRDefault="002F7EC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C6AB2" w:rsidRDefault="002F7EC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C6AB2" w:rsidRDefault="002F7EC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6C6AB2" w:rsidRDefault="002F7EC7">
      <w:pPr>
        <w:spacing w:before="29" w:line="288" w:lineRule="auto"/>
        <w:ind w:firstLineChars="200" w:firstLine="480"/>
        <w:rPr>
          <w:color w:val="000000"/>
          <w:sz w:val="24"/>
        </w:rPr>
      </w:pPr>
      <w:r>
        <w:rPr>
          <w:color w:val="000000"/>
          <w:sz w:val="24"/>
        </w:rPr>
        <w:t>2015</w:t>
      </w:r>
      <w:r>
        <w:rPr>
          <w:color w:val="000000"/>
          <w:sz w:val="24"/>
        </w:rPr>
        <w:t>年第二季度，国内经济增速弱企稳，内需疲软，经济基本面对资本市场的支持力度较为有限。但通胀压力并不明显，货币政策持续进一步宽松，使资本市场在本季度前期仍然维持年初以来的上涨趋势。但随着季末资金面收紧以及场外配资去杠杆压力，市场出现较大幅度回调。作为跟踪基准指数的指数基金，在本季度呈现出先涨后跌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展望未来一个季度，宽松的货币政策环境有望持续，但经过此轮调整，市场风险偏好会急剧下降。总体而言，预计产业创新的发展思路不会改变，改革进程有望进一步加快，因此对</w:t>
      </w:r>
      <w:r w:rsidRPr="0036023B">
        <w:rPr>
          <w:color w:val="000000"/>
          <w:sz w:val="24"/>
        </w:rPr>
        <w:t>A</w:t>
      </w:r>
      <w:r w:rsidRPr="0036023B">
        <w:rPr>
          <w:color w:val="000000"/>
          <w:sz w:val="24"/>
        </w:rPr>
        <w:t>股市场保持谨慎乐观的态度。</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2015</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日，本基金份额净值</w:t>
      </w:r>
      <w:r w:rsidRPr="0036023B">
        <w:rPr>
          <w:color w:val="000000"/>
          <w:sz w:val="24"/>
        </w:rPr>
        <w:t>1.256</w:t>
      </w:r>
      <w:r w:rsidRPr="0036023B">
        <w:rPr>
          <w:color w:val="000000"/>
          <w:sz w:val="24"/>
        </w:rPr>
        <w:t>元，本报告期份额净值增长率为</w:t>
      </w:r>
      <w:r w:rsidRPr="0036023B">
        <w:rPr>
          <w:color w:val="000000"/>
          <w:sz w:val="24"/>
        </w:rPr>
        <w:t>7.08%</w:t>
      </w:r>
      <w:r w:rsidRPr="0036023B">
        <w:rPr>
          <w:color w:val="000000"/>
          <w:sz w:val="24"/>
        </w:rPr>
        <w:t>，同期业绩比较基准增长率为</w:t>
      </w:r>
      <w:r w:rsidRPr="0036023B">
        <w:rPr>
          <w:color w:val="000000"/>
          <w:sz w:val="24"/>
        </w:rPr>
        <w:t>6.52%</w:t>
      </w:r>
      <w:r w:rsidRPr="0036023B">
        <w:rPr>
          <w:color w:val="000000"/>
          <w:sz w:val="24"/>
        </w:rPr>
        <w:t>。本报告期内本基金的日均跟踪偏离度为</w:t>
      </w:r>
      <w:r w:rsidRPr="0036023B">
        <w:rPr>
          <w:color w:val="000000"/>
          <w:sz w:val="24"/>
        </w:rPr>
        <w:t>0.05%</w:t>
      </w:r>
      <w:r w:rsidRPr="0036023B">
        <w:rPr>
          <w:color w:val="000000"/>
          <w:sz w:val="24"/>
        </w:rPr>
        <w:t>，跟踪误差为</w:t>
      </w:r>
      <w:r w:rsidRPr="0036023B">
        <w:rPr>
          <w:color w:val="000000"/>
          <w:sz w:val="24"/>
        </w:rPr>
        <w:t>0.08%</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2F7EC7">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1,187,419,299.61</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96.43</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1,187,419,299.61</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96.43</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437,383.10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0.04</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437,383.10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0.04</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23,217,295.58</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1.89</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20,258,683.38</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1.65</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1,231,332,661.67</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注：本表权益投资股票项中含可退替代款估值增值，而</w:t>
      </w:r>
      <w:r w:rsidR="006F51A0">
        <w:rPr>
          <w:rFonts w:hint="eastAsia"/>
          <w:color w:val="000000"/>
          <w:sz w:val="24"/>
        </w:rPr>
        <w:t>5</w:t>
      </w:r>
      <w:r w:rsidR="006F51A0">
        <w:rPr>
          <w:color w:val="000000"/>
          <w:sz w:val="24"/>
        </w:rPr>
        <w:t>.2.1</w:t>
      </w:r>
      <w:r w:rsidR="006F51A0">
        <w:rPr>
          <w:rFonts w:hint="eastAsia"/>
          <w:color w:val="000000"/>
          <w:sz w:val="24"/>
        </w:rPr>
        <w:t>和</w:t>
      </w:r>
      <w:r w:rsidRPr="0036023B">
        <w:rPr>
          <w:color w:val="000000"/>
          <w:sz w:val="24"/>
        </w:rPr>
        <w:t>5.2.2</w:t>
      </w:r>
      <w:r w:rsidRPr="0036023B">
        <w:rPr>
          <w:color w:val="000000"/>
          <w:sz w:val="24"/>
        </w:rPr>
        <w:t>合计项中不含可退替代款估值增值，因此二者存在上述差异。</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582"/>
        <w:gridCol w:w="2897"/>
        <w:gridCol w:w="1674"/>
      </w:tblGrid>
      <w:tr w:rsidR="00091560" w:rsidRPr="0036023B" w:rsidTr="00C17304">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A86210">
            <w:pPr>
              <w:adjustRightInd w:val="0"/>
              <w:snapToGrid w:val="0"/>
              <w:spacing w:before="29" w:line="288" w:lineRule="auto"/>
              <w:jc w:val="center"/>
              <w:rPr>
                <w:sz w:val="24"/>
              </w:rPr>
            </w:pPr>
            <w:r w:rsidRPr="0036023B">
              <w:rPr>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5D142B">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5D142B">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3,276,850.20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0.27</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86C7C">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A86C7C">
            <w:pPr>
              <w:adjustRightInd w:val="0"/>
              <w:snapToGrid w:val="0"/>
              <w:spacing w:before="29" w:line="288" w:lineRule="auto"/>
              <w:rPr>
                <w:sz w:val="24"/>
              </w:rPr>
            </w:pPr>
            <w:r w:rsidRPr="0036023B">
              <w:rPr>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7,022,093.10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0.57</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10,298,943.30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0.84</w:t>
            </w:r>
          </w:p>
        </w:tc>
      </w:tr>
    </w:tbl>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2,562,526.26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0.21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66,761,255.39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5.44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267,940,181.88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21.83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66,830,560.91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5.45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99,065,412.12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8.07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11,724,395.97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39,837,647.97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3.25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37,072,311.28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3.02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542,804,493.26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44.23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32,937,454.83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2.68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9,501,784.93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0.77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1,177,038,024.80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95.90</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6C6AB2">
        <w:trPr>
          <w:jc w:val="center"/>
        </w:trPr>
        <w:tc>
          <w:tcPr>
            <w:tcW w:w="850" w:type="dxa"/>
            <w:vAlign w:val="center"/>
          </w:tcPr>
          <w:p w:rsidR="006C6AB2" w:rsidRDefault="002F7EC7">
            <w:pPr>
              <w:jc w:val="center"/>
            </w:pPr>
            <w:r>
              <w:rPr>
                <w:color w:val="000000"/>
                <w:sz w:val="24"/>
              </w:rPr>
              <w:t>1</w:t>
            </w:r>
          </w:p>
        </w:tc>
        <w:tc>
          <w:tcPr>
            <w:tcW w:w="1327" w:type="dxa"/>
            <w:vAlign w:val="center"/>
          </w:tcPr>
          <w:p w:rsidR="006C6AB2" w:rsidRDefault="002F7EC7">
            <w:pPr>
              <w:jc w:val="center"/>
            </w:pPr>
            <w:r>
              <w:rPr>
                <w:color w:val="000000"/>
                <w:sz w:val="24"/>
              </w:rPr>
              <w:t>600036</w:t>
            </w:r>
          </w:p>
        </w:tc>
        <w:tc>
          <w:tcPr>
            <w:tcW w:w="1769" w:type="dxa"/>
            <w:vAlign w:val="center"/>
          </w:tcPr>
          <w:p w:rsidR="006C6AB2" w:rsidRDefault="002F7EC7">
            <w:pPr>
              <w:jc w:val="center"/>
            </w:pPr>
            <w:r>
              <w:rPr>
                <w:color w:val="000000"/>
                <w:sz w:val="24"/>
              </w:rPr>
              <w:t>招商银行</w:t>
            </w:r>
          </w:p>
        </w:tc>
        <w:tc>
          <w:tcPr>
            <w:tcW w:w="1327" w:type="dxa"/>
            <w:vAlign w:val="center"/>
          </w:tcPr>
          <w:p w:rsidR="006C6AB2" w:rsidRDefault="002F7EC7">
            <w:pPr>
              <w:jc w:val="right"/>
            </w:pPr>
            <w:r>
              <w:rPr>
                <w:color w:val="000000"/>
                <w:sz w:val="24"/>
              </w:rPr>
              <w:t>3,820,082</w:t>
            </w:r>
          </w:p>
        </w:tc>
        <w:tc>
          <w:tcPr>
            <w:tcW w:w="1915" w:type="dxa"/>
            <w:vAlign w:val="center"/>
          </w:tcPr>
          <w:p w:rsidR="006C6AB2" w:rsidRDefault="002F7EC7">
            <w:pPr>
              <w:jc w:val="right"/>
            </w:pPr>
            <w:r>
              <w:rPr>
                <w:color w:val="000000"/>
                <w:sz w:val="24"/>
              </w:rPr>
              <w:t>71,511,935.04</w:t>
            </w:r>
          </w:p>
        </w:tc>
        <w:tc>
          <w:tcPr>
            <w:tcW w:w="1680" w:type="dxa"/>
            <w:vAlign w:val="center"/>
          </w:tcPr>
          <w:p w:rsidR="006C6AB2" w:rsidRDefault="002F7EC7">
            <w:pPr>
              <w:jc w:val="right"/>
            </w:pPr>
            <w:r>
              <w:rPr>
                <w:color w:val="000000"/>
                <w:sz w:val="24"/>
              </w:rPr>
              <w:t>5.83</w:t>
            </w:r>
          </w:p>
        </w:tc>
      </w:tr>
      <w:tr w:rsidR="006C6AB2">
        <w:trPr>
          <w:jc w:val="center"/>
        </w:trPr>
        <w:tc>
          <w:tcPr>
            <w:tcW w:w="850" w:type="dxa"/>
            <w:vAlign w:val="center"/>
          </w:tcPr>
          <w:p w:rsidR="006C6AB2" w:rsidRDefault="002F7EC7">
            <w:pPr>
              <w:jc w:val="center"/>
            </w:pPr>
            <w:r>
              <w:rPr>
                <w:color w:val="000000"/>
                <w:sz w:val="24"/>
              </w:rPr>
              <w:t>2</w:t>
            </w:r>
          </w:p>
        </w:tc>
        <w:tc>
          <w:tcPr>
            <w:tcW w:w="1327" w:type="dxa"/>
            <w:vAlign w:val="center"/>
          </w:tcPr>
          <w:p w:rsidR="006C6AB2" w:rsidRDefault="002F7EC7">
            <w:pPr>
              <w:jc w:val="center"/>
            </w:pPr>
            <w:r>
              <w:rPr>
                <w:color w:val="000000"/>
                <w:sz w:val="24"/>
              </w:rPr>
              <w:t>600016</w:t>
            </w:r>
          </w:p>
        </w:tc>
        <w:tc>
          <w:tcPr>
            <w:tcW w:w="1769" w:type="dxa"/>
            <w:vAlign w:val="center"/>
          </w:tcPr>
          <w:p w:rsidR="006C6AB2" w:rsidRDefault="002F7EC7">
            <w:pPr>
              <w:jc w:val="center"/>
            </w:pPr>
            <w:r>
              <w:rPr>
                <w:color w:val="000000"/>
                <w:sz w:val="24"/>
              </w:rPr>
              <w:t>民生银行</w:t>
            </w:r>
          </w:p>
        </w:tc>
        <w:tc>
          <w:tcPr>
            <w:tcW w:w="1327" w:type="dxa"/>
            <w:vAlign w:val="center"/>
          </w:tcPr>
          <w:p w:rsidR="006C6AB2" w:rsidRDefault="002F7EC7">
            <w:pPr>
              <w:jc w:val="right"/>
            </w:pPr>
            <w:r>
              <w:rPr>
                <w:color w:val="000000"/>
                <w:sz w:val="24"/>
              </w:rPr>
              <w:t>5,176,119</w:t>
            </w:r>
          </w:p>
        </w:tc>
        <w:tc>
          <w:tcPr>
            <w:tcW w:w="1915" w:type="dxa"/>
            <w:vAlign w:val="center"/>
          </w:tcPr>
          <w:p w:rsidR="006C6AB2" w:rsidRDefault="002F7EC7">
            <w:pPr>
              <w:jc w:val="right"/>
            </w:pPr>
            <w:r>
              <w:rPr>
                <w:color w:val="000000"/>
                <w:sz w:val="24"/>
              </w:rPr>
              <w:t>51,450,622.86</w:t>
            </w:r>
          </w:p>
        </w:tc>
        <w:tc>
          <w:tcPr>
            <w:tcW w:w="1680" w:type="dxa"/>
            <w:vAlign w:val="center"/>
          </w:tcPr>
          <w:p w:rsidR="006C6AB2" w:rsidRDefault="002F7EC7">
            <w:pPr>
              <w:jc w:val="right"/>
            </w:pPr>
            <w:r>
              <w:rPr>
                <w:color w:val="000000"/>
                <w:sz w:val="24"/>
              </w:rPr>
              <w:t>4.19</w:t>
            </w:r>
          </w:p>
        </w:tc>
      </w:tr>
      <w:tr w:rsidR="006C6AB2">
        <w:trPr>
          <w:jc w:val="center"/>
        </w:trPr>
        <w:tc>
          <w:tcPr>
            <w:tcW w:w="850" w:type="dxa"/>
            <w:vAlign w:val="center"/>
          </w:tcPr>
          <w:p w:rsidR="006C6AB2" w:rsidRDefault="002F7EC7">
            <w:pPr>
              <w:jc w:val="center"/>
            </w:pPr>
            <w:r>
              <w:rPr>
                <w:color w:val="000000"/>
                <w:sz w:val="24"/>
              </w:rPr>
              <w:t>3</w:t>
            </w:r>
          </w:p>
        </w:tc>
        <w:tc>
          <w:tcPr>
            <w:tcW w:w="1327" w:type="dxa"/>
            <w:vAlign w:val="center"/>
          </w:tcPr>
          <w:p w:rsidR="006C6AB2" w:rsidRDefault="002F7EC7">
            <w:pPr>
              <w:jc w:val="center"/>
            </w:pPr>
            <w:r>
              <w:rPr>
                <w:color w:val="000000"/>
                <w:sz w:val="24"/>
              </w:rPr>
              <w:t>600030</w:t>
            </w:r>
          </w:p>
        </w:tc>
        <w:tc>
          <w:tcPr>
            <w:tcW w:w="1769" w:type="dxa"/>
            <w:vAlign w:val="center"/>
          </w:tcPr>
          <w:p w:rsidR="006C6AB2" w:rsidRDefault="002F7EC7">
            <w:pPr>
              <w:jc w:val="center"/>
            </w:pPr>
            <w:r>
              <w:rPr>
                <w:color w:val="000000"/>
                <w:sz w:val="24"/>
              </w:rPr>
              <w:t>中信证券</w:t>
            </w:r>
          </w:p>
        </w:tc>
        <w:tc>
          <w:tcPr>
            <w:tcW w:w="1327" w:type="dxa"/>
            <w:vAlign w:val="center"/>
          </w:tcPr>
          <w:p w:rsidR="006C6AB2" w:rsidRDefault="002F7EC7">
            <w:pPr>
              <w:jc w:val="right"/>
            </w:pPr>
            <w:r>
              <w:rPr>
                <w:color w:val="000000"/>
                <w:sz w:val="24"/>
              </w:rPr>
              <w:t>1,824,907</w:t>
            </w:r>
          </w:p>
        </w:tc>
        <w:tc>
          <w:tcPr>
            <w:tcW w:w="1915" w:type="dxa"/>
            <w:vAlign w:val="center"/>
          </w:tcPr>
          <w:p w:rsidR="006C6AB2" w:rsidRDefault="002F7EC7">
            <w:pPr>
              <w:jc w:val="right"/>
            </w:pPr>
            <w:r>
              <w:rPr>
                <w:color w:val="000000"/>
                <w:sz w:val="24"/>
              </w:rPr>
              <w:t>49,108,247.37</w:t>
            </w:r>
          </w:p>
        </w:tc>
        <w:tc>
          <w:tcPr>
            <w:tcW w:w="1680" w:type="dxa"/>
            <w:vAlign w:val="center"/>
          </w:tcPr>
          <w:p w:rsidR="006C6AB2" w:rsidRDefault="002F7EC7">
            <w:pPr>
              <w:jc w:val="right"/>
            </w:pPr>
            <w:r>
              <w:rPr>
                <w:color w:val="000000"/>
                <w:sz w:val="24"/>
              </w:rPr>
              <w:t>4.00</w:t>
            </w:r>
          </w:p>
        </w:tc>
      </w:tr>
      <w:tr w:rsidR="006C6AB2">
        <w:trPr>
          <w:jc w:val="center"/>
        </w:trPr>
        <w:tc>
          <w:tcPr>
            <w:tcW w:w="850" w:type="dxa"/>
            <w:vAlign w:val="center"/>
          </w:tcPr>
          <w:p w:rsidR="006C6AB2" w:rsidRDefault="002F7EC7">
            <w:pPr>
              <w:jc w:val="center"/>
            </w:pPr>
            <w:r>
              <w:rPr>
                <w:color w:val="000000"/>
                <w:sz w:val="24"/>
              </w:rPr>
              <w:t>4</w:t>
            </w:r>
          </w:p>
        </w:tc>
        <w:tc>
          <w:tcPr>
            <w:tcW w:w="1327" w:type="dxa"/>
            <w:vAlign w:val="center"/>
          </w:tcPr>
          <w:p w:rsidR="006C6AB2" w:rsidRDefault="002F7EC7">
            <w:pPr>
              <w:jc w:val="center"/>
            </w:pPr>
            <w:r>
              <w:rPr>
                <w:color w:val="000000"/>
                <w:sz w:val="24"/>
              </w:rPr>
              <w:t>601166</w:t>
            </w:r>
          </w:p>
        </w:tc>
        <w:tc>
          <w:tcPr>
            <w:tcW w:w="1769" w:type="dxa"/>
            <w:vAlign w:val="center"/>
          </w:tcPr>
          <w:p w:rsidR="006C6AB2" w:rsidRDefault="002F7EC7">
            <w:pPr>
              <w:jc w:val="center"/>
            </w:pPr>
            <w:r>
              <w:rPr>
                <w:color w:val="000000"/>
                <w:sz w:val="24"/>
              </w:rPr>
              <w:t>兴业银行</w:t>
            </w:r>
          </w:p>
        </w:tc>
        <w:tc>
          <w:tcPr>
            <w:tcW w:w="1327" w:type="dxa"/>
            <w:vAlign w:val="center"/>
          </w:tcPr>
          <w:p w:rsidR="006C6AB2" w:rsidRDefault="002F7EC7">
            <w:pPr>
              <w:jc w:val="right"/>
            </w:pPr>
            <w:r>
              <w:rPr>
                <w:color w:val="000000"/>
                <w:sz w:val="24"/>
              </w:rPr>
              <w:t>2,648,362</w:t>
            </w:r>
          </w:p>
        </w:tc>
        <w:tc>
          <w:tcPr>
            <w:tcW w:w="1915" w:type="dxa"/>
            <w:vAlign w:val="center"/>
          </w:tcPr>
          <w:p w:rsidR="006C6AB2" w:rsidRDefault="002F7EC7">
            <w:pPr>
              <w:jc w:val="right"/>
            </w:pPr>
            <w:r>
              <w:rPr>
                <w:color w:val="000000"/>
                <w:sz w:val="24"/>
              </w:rPr>
              <w:t>45,684,244.50</w:t>
            </w:r>
          </w:p>
        </w:tc>
        <w:tc>
          <w:tcPr>
            <w:tcW w:w="1680" w:type="dxa"/>
            <w:vAlign w:val="center"/>
          </w:tcPr>
          <w:p w:rsidR="006C6AB2" w:rsidRDefault="002F7EC7">
            <w:pPr>
              <w:jc w:val="right"/>
            </w:pPr>
            <w:r>
              <w:rPr>
                <w:color w:val="000000"/>
                <w:sz w:val="24"/>
              </w:rPr>
              <w:t>3.72</w:t>
            </w:r>
          </w:p>
        </w:tc>
      </w:tr>
      <w:tr w:rsidR="006C6AB2">
        <w:trPr>
          <w:jc w:val="center"/>
        </w:trPr>
        <w:tc>
          <w:tcPr>
            <w:tcW w:w="850" w:type="dxa"/>
            <w:vAlign w:val="center"/>
          </w:tcPr>
          <w:p w:rsidR="006C6AB2" w:rsidRDefault="002F7EC7">
            <w:pPr>
              <w:jc w:val="center"/>
            </w:pPr>
            <w:r>
              <w:rPr>
                <w:color w:val="000000"/>
                <w:sz w:val="24"/>
              </w:rPr>
              <w:t>5</w:t>
            </w:r>
          </w:p>
        </w:tc>
        <w:tc>
          <w:tcPr>
            <w:tcW w:w="1327" w:type="dxa"/>
            <w:vAlign w:val="center"/>
          </w:tcPr>
          <w:p w:rsidR="006C6AB2" w:rsidRDefault="002F7EC7">
            <w:pPr>
              <w:jc w:val="center"/>
            </w:pPr>
            <w:r>
              <w:rPr>
                <w:color w:val="000000"/>
                <w:sz w:val="24"/>
              </w:rPr>
              <w:t>600000</w:t>
            </w:r>
          </w:p>
        </w:tc>
        <w:tc>
          <w:tcPr>
            <w:tcW w:w="1769" w:type="dxa"/>
            <w:vAlign w:val="center"/>
          </w:tcPr>
          <w:p w:rsidR="006C6AB2" w:rsidRDefault="002F7EC7">
            <w:pPr>
              <w:jc w:val="center"/>
            </w:pPr>
            <w:r>
              <w:rPr>
                <w:color w:val="000000"/>
                <w:sz w:val="24"/>
              </w:rPr>
              <w:t>浦发银行</w:t>
            </w:r>
          </w:p>
        </w:tc>
        <w:tc>
          <w:tcPr>
            <w:tcW w:w="1327" w:type="dxa"/>
            <w:vAlign w:val="center"/>
          </w:tcPr>
          <w:p w:rsidR="006C6AB2" w:rsidRDefault="002F7EC7">
            <w:pPr>
              <w:jc w:val="right"/>
            </w:pPr>
            <w:r>
              <w:rPr>
                <w:color w:val="000000"/>
                <w:sz w:val="24"/>
              </w:rPr>
              <w:t>2,594,785</w:t>
            </w:r>
          </w:p>
        </w:tc>
        <w:tc>
          <w:tcPr>
            <w:tcW w:w="1915" w:type="dxa"/>
            <w:vAlign w:val="center"/>
          </w:tcPr>
          <w:p w:rsidR="006C6AB2" w:rsidRDefault="002F7EC7">
            <w:pPr>
              <w:jc w:val="right"/>
            </w:pPr>
            <w:r>
              <w:rPr>
                <w:color w:val="000000"/>
                <w:sz w:val="24"/>
              </w:rPr>
              <w:t>44,007,553.60</w:t>
            </w:r>
          </w:p>
        </w:tc>
        <w:tc>
          <w:tcPr>
            <w:tcW w:w="1680" w:type="dxa"/>
            <w:vAlign w:val="center"/>
          </w:tcPr>
          <w:p w:rsidR="006C6AB2" w:rsidRDefault="002F7EC7">
            <w:pPr>
              <w:jc w:val="right"/>
            </w:pPr>
            <w:r>
              <w:rPr>
                <w:color w:val="000000"/>
                <w:sz w:val="24"/>
              </w:rPr>
              <w:t>3.59</w:t>
            </w:r>
          </w:p>
        </w:tc>
      </w:tr>
      <w:tr w:rsidR="006C6AB2">
        <w:trPr>
          <w:jc w:val="center"/>
        </w:trPr>
        <w:tc>
          <w:tcPr>
            <w:tcW w:w="850" w:type="dxa"/>
            <w:vAlign w:val="center"/>
          </w:tcPr>
          <w:p w:rsidR="006C6AB2" w:rsidRDefault="002F7EC7">
            <w:pPr>
              <w:jc w:val="center"/>
            </w:pPr>
            <w:r>
              <w:rPr>
                <w:color w:val="000000"/>
                <w:sz w:val="24"/>
              </w:rPr>
              <w:t>6</w:t>
            </w:r>
          </w:p>
        </w:tc>
        <w:tc>
          <w:tcPr>
            <w:tcW w:w="1327" w:type="dxa"/>
            <w:vAlign w:val="center"/>
          </w:tcPr>
          <w:p w:rsidR="006C6AB2" w:rsidRDefault="002F7EC7">
            <w:pPr>
              <w:jc w:val="center"/>
            </w:pPr>
            <w:r>
              <w:rPr>
                <w:color w:val="000000"/>
                <w:sz w:val="24"/>
              </w:rPr>
              <w:t>600837</w:t>
            </w:r>
          </w:p>
        </w:tc>
        <w:tc>
          <w:tcPr>
            <w:tcW w:w="1769" w:type="dxa"/>
            <w:vAlign w:val="center"/>
          </w:tcPr>
          <w:p w:rsidR="006C6AB2" w:rsidRDefault="002F7EC7">
            <w:pPr>
              <w:jc w:val="center"/>
            </w:pPr>
            <w:r>
              <w:rPr>
                <w:color w:val="000000"/>
                <w:sz w:val="24"/>
              </w:rPr>
              <w:t>海通证券</w:t>
            </w:r>
          </w:p>
        </w:tc>
        <w:tc>
          <w:tcPr>
            <w:tcW w:w="1327" w:type="dxa"/>
            <w:vAlign w:val="center"/>
          </w:tcPr>
          <w:p w:rsidR="006C6AB2" w:rsidRDefault="002F7EC7">
            <w:pPr>
              <w:jc w:val="right"/>
            </w:pPr>
            <w:r>
              <w:rPr>
                <w:color w:val="000000"/>
                <w:sz w:val="24"/>
              </w:rPr>
              <w:t>1,886,279</w:t>
            </w:r>
          </w:p>
        </w:tc>
        <w:tc>
          <w:tcPr>
            <w:tcW w:w="1915" w:type="dxa"/>
            <w:vAlign w:val="center"/>
          </w:tcPr>
          <w:p w:rsidR="006C6AB2" w:rsidRDefault="002F7EC7">
            <w:pPr>
              <w:jc w:val="right"/>
            </w:pPr>
            <w:r>
              <w:rPr>
                <w:color w:val="000000"/>
                <w:sz w:val="24"/>
              </w:rPr>
              <w:t>41,120,882.20</w:t>
            </w:r>
          </w:p>
        </w:tc>
        <w:tc>
          <w:tcPr>
            <w:tcW w:w="1680" w:type="dxa"/>
            <w:vAlign w:val="center"/>
          </w:tcPr>
          <w:p w:rsidR="006C6AB2" w:rsidRDefault="002F7EC7">
            <w:pPr>
              <w:jc w:val="right"/>
            </w:pPr>
            <w:r>
              <w:rPr>
                <w:color w:val="000000"/>
                <w:sz w:val="24"/>
              </w:rPr>
              <w:t>3.35</w:t>
            </w:r>
          </w:p>
        </w:tc>
      </w:tr>
      <w:tr w:rsidR="006C6AB2">
        <w:trPr>
          <w:jc w:val="center"/>
        </w:trPr>
        <w:tc>
          <w:tcPr>
            <w:tcW w:w="850" w:type="dxa"/>
            <w:vAlign w:val="center"/>
          </w:tcPr>
          <w:p w:rsidR="006C6AB2" w:rsidRDefault="002F7EC7">
            <w:pPr>
              <w:jc w:val="center"/>
            </w:pPr>
            <w:r>
              <w:rPr>
                <w:color w:val="000000"/>
                <w:sz w:val="24"/>
              </w:rPr>
              <w:t>7</w:t>
            </w:r>
          </w:p>
        </w:tc>
        <w:tc>
          <w:tcPr>
            <w:tcW w:w="1327" w:type="dxa"/>
            <w:vAlign w:val="center"/>
          </w:tcPr>
          <w:p w:rsidR="006C6AB2" w:rsidRDefault="002F7EC7">
            <w:pPr>
              <w:jc w:val="center"/>
            </w:pPr>
            <w:r>
              <w:rPr>
                <w:color w:val="000000"/>
                <w:sz w:val="24"/>
              </w:rPr>
              <w:t>601766</w:t>
            </w:r>
          </w:p>
        </w:tc>
        <w:tc>
          <w:tcPr>
            <w:tcW w:w="1769" w:type="dxa"/>
            <w:vAlign w:val="center"/>
          </w:tcPr>
          <w:p w:rsidR="006C6AB2" w:rsidRDefault="002F7EC7">
            <w:pPr>
              <w:jc w:val="center"/>
            </w:pPr>
            <w:r>
              <w:rPr>
                <w:color w:val="000000"/>
                <w:sz w:val="24"/>
              </w:rPr>
              <w:t>中国中车</w:t>
            </w:r>
          </w:p>
        </w:tc>
        <w:tc>
          <w:tcPr>
            <w:tcW w:w="1327" w:type="dxa"/>
            <w:vAlign w:val="center"/>
          </w:tcPr>
          <w:p w:rsidR="006C6AB2" w:rsidRDefault="002F7EC7">
            <w:pPr>
              <w:jc w:val="right"/>
            </w:pPr>
            <w:r>
              <w:rPr>
                <w:color w:val="000000"/>
                <w:sz w:val="24"/>
              </w:rPr>
              <w:t>2,133,990</w:t>
            </w:r>
          </w:p>
        </w:tc>
        <w:tc>
          <w:tcPr>
            <w:tcW w:w="1915" w:type="dxa"/>
            <w:vAlign w:val="center"/>
          </w:tcPr>
          <w:p w:rsidR="006C6AB2" w:rsidRDefault="002F7EC7">
            <w:pPr>
              <w:jc w:val="right"/>
            </w:pPr>
            <w:r>
              <w:rPr>
                <w:color w:val="000000"/>
                <w:sz w:val="24"/>
              </w:rPr>
              <w:t>39,180,056.40</w:t>
            </w:r>
          </w:p>
        </w:tc>
        <w:tc>
          <w:tcPr>
            <w:tcW w:w="1680" w:type="dxa"/>
            <w:vAlign w:val="center"/>
          </w:tcPr>
          <w:p w:rsidR="006C6AB2" w:rsidRDefault="002F7EC7">
            <w:pPr>
              <w:jc w:val="right"/>
            </w:pPr>
            <w:r>
              <w:rPr>
                <w:color w:val="000000"/>
                <w:sz w:val="24"/>
              </w:rPr>
              <w:t>3.19</w:t>
            </w:r>
          </w:p>
        </w:tc>
      </w:tr>
      <w:tr w:rsidR="006C6AB2">
        <w:trPr>
          <w:jc w:val="center"/>
        </w:trPr>
        <w:tc>
          <w:tcPr>
            <w:tcW w:w="850" w:type="dxa"/>
            <w:vAlign w:val="center"/>
          </w:tcPr>
          <w:p w:rsidR="006C6AB2" w:rsidRDefault="002F7EC7">
            <w:pPr>
              <w:jc w:val="center"/>
            </w:pPr>
            <w:r>
              <w:rPr>
                <w:color w:val="000000"/>
                <w:sz w:val="24"/>
              </w:rPr>
              <w:t>8</w:t>
            </w:r>
          </w:p>
        </w:tc>
        <w:tc>
          <w:tcPr>
            <w:tcW w:w="1327" w:type="dxa"/>
            <w:vAlign w:val="center"/>
          </w:tcPr>
          <w:p w:rsidR="006C6AB2" w:rsidRDefault="002F7EC7">
            <w:pPr>
              <w:jc w:val="center"/>
            </w:pPr>
            <w:r>
              <w:rPr>
                <w:color w:val="000000"/>
                <w:sz w:val="24"/>
              </w:rPr>
              <w:t>601398</w:t>
            </w:r>
          </w:p>
        </w:tc>
        <w:tc>
          <w:tcPr>
            <w:tcW w:w="1769" w:type="dxa"/>
            <w:vAlign w:val="center"/>
          </w:tcPr>
          <w:p w:rsidR="006C6AB2" w:rsidRDefault="002F7EC7">
            <w:pPr>
              <w:jc w:val="center"/>
            </w:pPr>
            <w:r>
              <w:rPr>
                <w:color w:val="000000"/>
                <w:sz w:val="24"/>
              </w:rPr>
              <w:t>工商银行</w:t>
            </w:r>
          </w:p>
        </w:tc>
        <w:tc>
          <w:tcPr>
            <w:tcW w:w="1327" w:type="dxa"/>
            <w:vAlign w:val="center"/>
          </w:tcPr>
          <w:p w:rsidR="006C6AB2" w:rsidRDefault="002F7EC7">
            <w:pPr>
              <w:jc w:val="right"/>
            </w:pPr>
            <w:r>
              <w:rPr>
                <w:color w:val="000000"/>
                <w:sz w:val="24"/>
              </w:rPr>
              <w:t>5,658,451</w:t>
            </w:r>
          </w:p>
        </w:tc>
        <w:tc>
          <w:tcPr>
            <w:tcW w:w="1915" w:type="dxa"/>
            <w:vAlign w:val="center"/>
          </w:tcPr>
          <w:p w:rsidR="006C6AB2" w:rsidRDefault="002F7EC7">
            <w:pPr>
              <w:jc w:val="right"/>
            </w:pPr>
            <w:r>
              <w:rPr>
                <w:color w:val="000000"/>
                <w:sz w:val="24"/>
              </w:rPr>
              <w:t>29,876,621.28</w:t>
            </w:r>
          </w:p>
        </w:tc>
        <w:tc>
          <w:tcPr>
            <w:tcW w:w="1680" w:type="dxa"/>
            <w:vAlign w:val="center"/>
          </w:tcPr>
          <w:p w:rsidR="006C6AB2" w:rsidRDefault="002F7EC7">
            <w:pPr>
              <w:jc w:val="right"/>
            </w:pPr>
            <w:r>
              <w:rPr>
                <w:color w:val="000000"/>
                <w:sz w:val="24"/>
              </w:rPr>
              <w:t>2.43</w:t>
            </w:r>
          </w:p>
        </w:tc>
      </w:tr>
      <w:tr w:rsidR="006C6AB2">
        <w:trPr>
          <w:jc w:val="center"/>
        </w:trPr>
        <w:tc>
          <w:tcPr>
            <w:tcW w:w="850" w:type="dxa"/>
            <w:vAlign w:val="center"/>
          </w:tcPr>
          <w:p w:rsidR="006C6AB2" w:rsidRDefault="002F7EC7">
            <w:pPr>
              <w:jc w:val="center"/>
            </w:pPr>
            <w:r>
              <w:rPr>
                <w:color w:val="000000"/>
                <w:sz w:val="24"/>
              </w:rPr>
              <w:t>9</w:t>
            </w:r>
          </w:p>
        </w:tc>
        <w:tc>
          <w:tcPr>
            <w:tcW w:w="1327" w:type="dxa"/>
            <w:vAlign w:val="center"/>
          </w:tcPr>
          <w:p w:rsidR="006C6AB2" w:rsidRDefault="002F7EC7">
            <w:pPr>
              <w:jc w:val="center"/>
            </w:pPr>
            <w:r>
              <w:rPr>
                <w:color w:val="000000"/>
                <w:sz w:val="24"/>
              </w:rPr>
              <w:t>601668</w:t>
            </w:r>
          </w:p>
        </w:tc>
        <w:tc>
          <w:tcPr>
            <w:tcW w:w="1769" w:type="dxa"/>
            <w:vAlign w:val="center"/>
          </w:tcPr>
          <w:p w:rsidR="006C6AB2" w:rsidRDefault="002F7EC7">
            <w:pPr>
              <w:jc w:val="center"/>
            </w:pPr>
            <w:r>
              <w:rPr>
                <w:color w:val="000000"/>
                <w:sz w:val="24"/>
              </w:rPr>
              <w:t>中国建筑</w:t>
            </w:r>
          </w:p>
        </w:tc>
        <w:tc>
          <w:tcPr>
            <w:tcW w:w="1327" w:type="dxa"/>
            <w:vAlign w:val="center"/>
          </w:tcPr>
          <w:p w:rsidR="006C6AB2" w:rsidRDefault="002F7EC7">
            <w:pPr>
              <w:jc w:val="right"/>
            </w:pPr>
            <w:r>
              <w:rPr>
                <w:color w:val="000000"/>
                <w:sz w:val="24"/>
              </w:rPr>
              <w:t>3,498,446</w:t>
            </w:r>
          </w:p>
        </w:tc>
        <w:tc>
          <w:tcPr>
            <w:tcW w:w="1915" w:type="dxa"/>
            <w:vAlign w:val="center"/>
          </w:tcPr>
          <w:p w:rsidR="006C6AB2" w:rsidRDefault="002F7EC7">
            <w:pPr>
              <w:jc w:val="right"/>
            </w:pPr>
            <w:r>
              <w:rPr>
                <w:color w:val="000000"/>
                <w:sz w:val="24"/>
              </w:rPr>
              <w:t>29,072,086.26</w:t>
            </w:r>
          </w:p>
        </w:tc>
        <w:tc>
          <w:tcPr>
            <w:tcW w:w="1680" w:type="dxa"/>
            <w:vAlign w:val="center"/>
          </w:tcPr>
          <w:p w:rsidR="006C6AB2" w:rsidRDefault="002F7EC7">
            <w:pPr>
              <w:jc w:val="right"/>
            </w:pPr>
            <w:r>
              <w:rPr>
                <w:color w:val="000000"/>
                <w:sz w:val="24"/>
              </w:rPr>
              <w:t>2.37</w:t>
            </w:r>
          </w:p>
        </w:tc>
      </w:tr>
      <w:tr w:rsidR="006C6AB2">
        <w:trPr>
          <w:jc w:val="center"/>
        </w:trPr>
        <w:tc>
          <w:tcPr>
            <w:tcW w:w="850" w:type="dxa"/>
            <w:vAlign w:val="center"/>
          </w:tcPr>
          <w:p w:rsidR="006C6AB2" w:rsidRDefault="002F7EC7">
            <w:pPr>
              <w:jc w:val="center"/>
            </w:pPr>
            <w:r>
              <w:rPr>
                <w:color w:val="000000"/>
                <w:sz w:val="24"/>
              </w:rPr>
              <w:t>10</w:t>
            </w:r>
          </w:p>
        </w:tc>
        <w:tc>
          <w:tcPr>
            <w:tcW w:w="1327" w:type="dxa"/>
            <w:vAlign w:val="center"/>
          </w:tcPr>
          <w:p w:rsidR="006C6AB2" w:rsidRDefault="002F7EC7">
            <w:pPr>
              <w:jc w:val="center"/>
            </w:pPr>
            <w:r>
              <w:rPr>
                <w:color w:val="000000"/>
                <w:sz w:val="24"/>
              </w:rPr>
              <w:t>601988</w:t>
            </w:r>
          </w:p>
        </w:tc>
        <w:tc>
          <w:tcPr>
            <w:tcW w:w="1769" w:type="dxa"/>
            <w:vAlign w:val="center"/>
          </w:tcPr>
          <w:p w:rsidR="006C6AB2" w:rsidRDefault="002F7EC7">
            <w:pPr>
              <w:jc w:val="center"/>
            </w:pPr>
            <w:r>
              <w:rPr>
                <w:color w:val="000000"/>
                <w:sz w:val="24"/>
              </w:rPr>
              <w:t>中国银行</w:t>
            </w:r>
          </w:p>
        </w:tc>
        <w:tc>
          <w:tcPr>
            <w:tcW w:w="1327" w:type="dxa"/>
            <w:vAlign w:val="center"/>
          </w:tcPr>
          <w:p w:rsidR="006C6AB2" w:rsidRDefault="002F7EC7">
            <w:pPr>
              <w:jc w:val="right"/>
            </w:pPr>
            <w:r>
              <w:rPr>
                <w:color w:val="000000"/>
                <w:sz w:val="24"/>
              </w:rPr>
              <w:t>5,404,868</w:t>
            </w:r>
          </w:p>
        </w:tc>
        <w:tc>
          <w:tcPr>
            <w:tcW w:w="1915" w:type="dxa"/>
            <w:vAlign w:val="center"/>
          </w:tcPr>
          <w:p w:rsidR="006C6AB2" w:rsidRDefault="002F7EC7">
            <w:pPr>
              <w:jc w:val="right"/>
            </w:pPr>
            <w:r>
              <w:rPr>
                <w:color w:val="000000"/>
                <w:sz w:val="24"/>
              </w:rPr>
              <w:t>26,429,804.52</w:t>
            </w:r>
          </w:p>
        </w:tc>
        <w:tc>
          <w:tcPr>
            <w:tcW w:w="1680" w:type="dxa"/>
            <w:vAlign w:val="center"/>
          </w:tcPr>
          <w:p w:rsidR="006C6AB2" w:rsidRDefault="002F7EC7">
            <w:pPr>
              <w:jc w:val="right"/>
            </w:pPr>
            <w:r>
              <w:rPr>
                <w:color w:val="000000"/>
                <w:sz w:val="24"/>
              </w:rPr>
              <w:t>2.15</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8A12CB"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008A12CB" w:rsidRPr="0036023B">
              <w:rPr>
                <w:color w:val="000000"/>
                <w:kern w:val="0"/>
                <w:sz w:val="24"/>
              </w:rPr>
              <w:t>(</w:t>
            </w:r>
            <w:r w:rsidR="008A12CB" w:rsidRPr="0036023B">
              <w:rPr>
                <w:color w:val="000000"/>
                <w:kern w:val="0"/>
                <w:sz w:val="24"/>
              </w:rPr>
              <w:t>元</w:t>
            </w:r>
            <w:r w:rsidR="008A12CB" w:rsidRPr="0036023B">
              <w:rPr>
                <w:color w:val="000000"/>
                <w:kern w:val="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FA4684" w:rsidRPr="0036023B">
              <w:rPr>
                <w:color w:val="000000"/>
                <w:kern w:val="0"/>
                <w:sz w:val="24"/>
              </w:rPr>
              <w:t>（％）</w:t>
            </w:r>
          </w:p>
        </w:tc>
      </w:tr>
      <w:tr w:rsidR="006C6AB2">
        <w:trPr>
          <w:jc w:val="center"/>
        </w:trPr>
        <w:tc>
          <w:tcPr>
            <w:tcW w:w="850" w:type="dxa"/>
            <w:vAlign w:val="center"/>
          </w:tcPr>
          <w:p w:rsidR="006C6AB2" w:rsidRDefault="002F7EC7">
            <w:pPr>
              <w:jc w:val="center"/>
            </w:pPr>
            <w:r>
              <w:rPr>
                <w:rFonts w:hint="eastAsia"/>
                <w:color w:val="000000"/>
                <w:sz w:val="24"/>
              </w:rPr>
              <w:t>1</w:t>
            </w:r>
          </w:p>
        </w:tc>
        <w:tc>
          <w:tcPr>
            <w:tcW w:w="1327" w:type="dxa"/>
            <w:vAlign w:val="center"/>
          </w:tcPr>
          <w:p w:rsidR="006C6AB2" w:rsidRDefault="002F7EC7">
            <w:pPr>
              <w:jc w:val="center"/>
            </w:pPr>
            <w:r>
              <w:rPr>
                <w:color w:val="000000"/>
                <w:sz w:val="24"/>
              </w:rPr>
              <w:t>600649</w:t>
            </w:r>
          </w:p>
        </w:tc>
        <w:tc>
          <w:tcPr>
            <w:tcW w:w="1769" w:type="dxa"/>
            <w:vAlign w:val="center"/>
          </w:tcPr>
          <w:p w:rsidR="006C6AB2" w:rsidRDefault="002F7EC7">
            <w:pPr>
              <w:jc w:val="center"/>
            </w:pPr>
            <w:r>
              <w:rPr>
                <w:color w:val="000000"/>
                <w:sz w:val="24"/>
              </w:rPr>
              <w:t>城投控股</w:t>
            </w:r>
          </w:p>
        </w:tc>
        <w:tc>
          <w:tcPr>
            <w:tcW w:w="1327" w:type="dxa"/>
            <w:vAlign w:val="center"/>
          </w:tcPr>
          <w:p w:rsidR="006C6AB2" w:rsidRDefault="002F7EC7">
            <w:pPr>
              <w:jc w:val="right"/>
            </w:pPr>
            <w:r>
              <w:rPr>
                <w:color w:val="000000"/>
                <w:sz w:val="24"/>
              </w:rPr>
              <w:t>751,026</w:t>
            </w:r>
          </w:p>
        </w:tc>
        <w:tc>
          <w:tcPr>
            <w:tcW w:w="1915" w:type="dxa"/>
            <w:vAlign w:val="center"/>
          </w:tcPr>
          <w:p w:rsidR="006C6AB2" w:rsidRDefault="002F7EC7">
            <w:pPr>
              <w:jc w:val="right"/>
            </w:pPr>
            <w:r>
              <w:rPr>
                <w:color w:val="000000"/>
                <w:sz w:val="24"/>
              </w:rPr>
              <w:t>7,022,093.10</w:t>
            </w:r>
          </w:p>
        </w:tc>
        <w:tc>
          <w:tcPr>
            <w:tcW w:w="1680" w:type="dxa"/>
            <w:vAlign w:val="center"/>
          </w:tcPr>
          <w:p w:rsidR="006C6AB2" w:rsidRDefault="002F7EC7">
            <w:pPr>
              <w:jc w:val="right"/>
            </w:pPr>
            <w:r>
              <w:rPr>
                <w:color w:val="000000"/>
                <w:sz w:val="24"/>
              </w:rPr>
              <w:t>0.57</w:t>
            </w:r>
          </w:p>
        </w:tc>
      </w:tr>
      <w:tr w:rsidR="006C6AB2">
        <w:trPr>
          <w:jc w:val="center"/>
        </w:trPr>
        <w:tc>
          <w:tcPr>
            <w:tcW w:w="850" w:type="dxa"/>
            <w:vAlign w:val="center"/>
          </w:tcPr>
          <w:p w:rsidR="006C6AB2" w:rsidRDefault="002F7EC7">
            <w:pPr>
              <w:jc w:val="center"/>
            </w:pPr>
            <w:r>
              <w:rPr>
                <w:rFonts w:hint="eastAsia"/>
                <w:color w:val="000000"/>
                <w:sz w:val="24"/>
              </w:rPr>
              <w:t>2</w:t>
            </w:r>
          </w:p>
        </w:tc>
        <w:tc>
          <w:tcPr>
            <w:tcW w:w="1327" w:type="dxa"/>
            <w:vAlign w:val="center"/>
          </w:tcPr>
          <w:p w:rsidR="006C6AB2" w:rsidRDefault="002F7EC7">
            <w:pPr>
              <w:jc w:val="center"/>
            </w:pPr>
            <w:r>
              <w:rPr>
                <w:color w:val="000000"/>
                <w:sz w:val="24"/>
              </w:rPr>
              <w:t>600499</w:t>
            </w:r>
          </w:p>
        </w:tc>
        <w:tc>
          <w:tcPr>
            <w:tcW w:w="1769" w:type="dxa"/>
            <w:vAlign w:val="center"/>
          </w:tcPr>
          <w:p w:rsidR="006C6AB2" w:rsidRDefault="002F7EC7">
            <w:pPr>
              <w:jc w:val="center"/>
            </w:pPr>
            <w:r>
              <w:rPr>
                <w:color w:val="000000"/>
                <w:sz w:val="24"/>
              </w:rPr>
              <w:t>科达洁能</w:t>
            </w:r>
          </w:p>
        </w:tc>
        <w:tc>
          <w:tcPr>
            <w:tcW w:w="1327" w:type="dxa"/>
            <w:vAlign w:val="center"/>
          </w:tcPr>
          <w:p w:rsidR="006C6AB2" w:rsidRDefault="002F7EC7">
            <w:pPr>
              <w:jc w:val="right"/>
            </w:pPr>
            <w:r>
              <w:rPr>
                <w:color w:val="000000"/>
                <w:sz w:val="24"/>
              </w:rPr>
              <w:t>110,555</w:t>
            </w:r>
          </w:p>
        </w:tc>
        <w:tc>
          <w:tcPr>
            <w:tcW w:w="1915" w:type="dxa"/>
            <w:vAlign w:val="center"/>
          </w:tcPr>
          <w:p w:rsidR="006C6AB2" w:rsidRDefault="002F7EC7">
            <w:pPr>
              <w:jc w:val="right"/>
            </w:pPr>
            <w:r>
              <w:rPr>
                <w:color w:val="000000"/>
                <w:sz w:val="24"/>
              </w:rPr>
              <w:t>3,276,850.20</w:t>
            </w:r>
          </w:p>
        </w:tc>
        <w:tc>
          <w:tcPr>
            <w:tcW w:w="1680" w:type="dxa"/>
            <w:vAlign w:val="center"/>
          </w:tcPr>
          <w:p w:rsidR="006C6AB2" w:rsidRDefault="002F7EC7">
            <w:pPr>
              <w:jc w:val="right"/>
            </w:pPr>
            <w:r>
              <w:rPr>
                <w:color w:val="000000"/>
                <w:sz w:val="24"/>
              </w:rPr>
              <w:t>0.27</w:t>
            </w:r>
          </w:p>
        </w:tc>
      </w:tr>
    </w:tbl>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2835"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债券品种</w:t>
            </w:r>
          </w:p>
        </w:tc>
        <w:tc>
          <w:tcPr>
            <w:tcW w:w="2694"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国家债券</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央行票据</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3</w:t>
            </w: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金融债券</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其中：政策性金融债</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4</w:t>
            </w: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企业债券</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5420C5">
        <w:trPr>
          <w:jc w:val="center"/>
        </w:trPr>
        <w:tc>
          <w:tcPr>
            <w:tcW w:w="124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5</w:t>
            </w:r>
          </w:p>
        </w:tc>
        <w:tc>
          <w:tcPr>
            <w:tcW w:w="2835"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企业短期融资</w:t>
            </w:r>
            <w:r w:rsidR="007D021A" w:rsidRPr="0036023B">
              <w:rPr>
                <w:color w:val="000000"/>
                <w:sz w:val="24"/>
              </w:rPr>
              <w:t>券</w:t>
            </w:r>
          </w:p>
        </w:tc>
        <w:tc>
          <w:tcPr>
            <w:tcW w:w="2694"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521065" w:rsidRPr="0036023B" w:rsidTr="005420C5">
        <w:trPr>
          <w:jc w:val="center"/>
        </w:trPr>
        <w:tc>
          <w:tcPr>
            <w:tcW w:w="124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6</w:t>
            </w:r>
          </w:p>
        </w:tc>
        <w:tc>
          <w:tcPr>
            <w:tcW w:w="2835"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中期票据</w:t>
            </w:r>
          </w:p>
        </w:tc>
        <w:tc>
          <w:tcPr>
            <w:tcW w:w="2694"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5420C5">
        <w:trPr>
          <w:jc w:val="center"/>
        </w:trPr>
        <w:tc>
          <w:tcPr>
            <w:tcW w:w="124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7</w:t>
            </w:r>
          </w:p>
        </w:tc>
        <w:tc>
          <w:tcPr>
            <w:tcW w:w="2835"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可转债</w:t>
            </w:r>
          </w:p>
        </w:tc>
        <w:tc>
          <w:tcPr>
            <w:tcW w:w="2694"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437,383.10</w:t>
            </w:r>
          </w:p>
        </w:tc>
        <w:tc>
          <w:tcPr>
            <w:tcW w:w="175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0.04</w:t>
            </w:r>
          </w:p>
        </w:tc>
      </w:tr>
      <w:tr w:rsidR="00521065" w:rsidRPr="0036023B" w:rsidTr="005420C5">
        <w:trPr>
          <w:jc w:val="center"/>
        </w:trPr>
        <w:tc>
          <w:tcPr>
            <w:tcW w:w="124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8</w:t>
            </w:r>
          </w:p>
        </w:tc>
        <w:tc>
          <w:tcPr>
            <w:tcW w:w="2835"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其他</w:t>
            </w:r>
          </w:p>
        </w:tc>
        <w:tc>
          <w:tcPr>
            <w:tcW w:w="2694"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75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5420C5">
        <w:trPr>
          <w:jc w:val="center"/>
        </w:trPr>
        <w:tc>
          <w:tcPr>
            <w:tcW w:w="124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9</w:t>
            </w:r>
          </w:p>
        </w:tc>
        <w:tc>
          <w:tcPr>
            <w:tcW w:w="2835"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合计</w:t>
            </w:r>
          </w:p>
        </w:tc>
        <w:tc>
          <w:tcPr>
            <w:tcW w:w="2694"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437,383.10</w:t>
            </w:r>
          </w:p>
        </w:tc>
        <w:tc>
          <w:tcPr>
            <w:tcW w:w="175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0.04</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0820A8" w:rsidRPr="0036023B" w:rsidTr="00D823F2">
        <w:trPr>
          <w:jc w:val="center"/>
        </w:trPr>
        <w:tc>
          <w:tcPr>
            <w:tcW w:w="125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6C6AB2">
        <w:trPr>
          <w:jc w:val="center"/>
        </w:trPr>
        <w:tc>
          <w:tcPr>
            <w:tcW w:w="1302" w:type="dxa"/>
            <w:vAlign w:val="center"/>
          </w:tcPr>
          <w:p w:rsidR="006C6AB2" w:rsidRDefault="002F7EC7">
            <w:pPr>
              <w:jc w:val="center"/>
            </w:pPr>
            <w:r>
              <w:rPr>
                <w:color w:val="000000"/>
                <w:sz w:val="24"/>
              </w:rPr>
              <w:t>1</w:t>
            </w:r>
          </w:p>
        </w:tc>
        <w:tc>
          <w:tcPr>
            <w:tcW w:w="1362" w:type="dxa"/>
            <w:vAlign w:val="center"/>
          </w:tcPr>
          <w:p w:rsidR="006C6AB2" w:rsidRDefault="002F7EC7">
            <w:pPr>
              <w:jc w:val="center"/>
            </w:pPr>
            <w:r>
              <w:rPr>
                <w:color w:val="000000"/>
                <w:sz w:val="24"/>
              </w:rPr>
              <w:t>110031</w:t>
            </w:r>
          </w:p>
        </w:tc>
        <w:tc>
          <w:tcPr>
            <w:tcW w:w="1333" w:type="dxa"/>
            <w:vAlign w:val="center"/>
          </w:tcPr>
          <w:p w:rsidR="006C6AB2" w:rsidRDefault="002F7EC7">
            <w:pPr>
              <w:jc w:val="center"/>
            </w:pPr>
            <w:r>
              <w:rPr>
                <w:color w:val="000000"/>
                <w:sz w:val="24"/>
              </w:rPr>
              <w:t>航信转债</w:t>
            </w:r>
          </w:p>
        </w:tc>
        <w:tc>
          <w:tcPr>
            <w:tcW w:w="1483" w:type="dxa"/>
            <w:vAlign w:val="center"/>
          </w:tcPr>
          <w:p w:rsidR="006C6AB2" w:rsidRDefault="002F7EC7">
            <w:pPr>
              <w:jc w:val="right"/>
            </w:pPr>
            <w:r>
              <w:rPr>
                <w:color w:val="000000"/>
                <w:sz w:val="24"/>
              </w:rPr>
              <w:t>3,010</w:t>
            </w:r>
          </w:p>
        </w:tc>
        <w:tc>
          <w:tcPr>
            <w:tcW w:w="1712" w:type="dxa"/>
            <w:vAlign w:val="center"/>
          </w:tcPr>
          <w:p w:rsidR="006C6AB2" w:rsidRDefault="002F7EC7">
            <w:pPr>
              <w:jc w:val="right"/>
            </w:pPr>
            <w:r>
              <w:rPr>
                <w:color w:val="000000"/>
                <w:sz w:val="24"/>
              </w:rPr>
              <w:t>437,383.10</w:t>
            </w:r>
          </w:p>
        </w:tc>
        <w:tc>
          <w:tcPr>
            <w:tcW w:w="1676" w:type="dxa"/>
            <w:vAlign w:val="center"/>
          </w:tcPr>
          <w:p w:rsidR="006C6AB2" w:rsidRDefault="002F7EC7">
            <w:pPr>
              <w:jc w:val="right"/>
            </w:pPr>
            <w:r>
              <w:rPr>
                <w:color w:val="000000"/>
                <w:sz w:val="24"/>
              </w:rPr>
              <w:t>0.04</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报告期内本基金投资的前十名证券的发行主体除中信证券（证券代码：</w:t>
      </w:r>
      <w:r w:rsidRPr="008119CB">
        <w:rPr>
          <w:color w:val="000000"/>
          <w:kern w:val="0"/>
          <w:sz w:val="24"/>
        </w:rPr>
        <w:t>600030</w:t>
      </w:r>
      <w:r w:rsidRPr="008119CB">
        <w:rPr>
          <w:color w:val="000000"/>
          <w:kern w:val="0"/>
          <w:sz w:val="24"/>
        </w:rPr>
        <w:t>）、海通证券（证券代码：</w:t>
      </w:r>
      <w:r w:rsidRPr="008119CB">
        <w:rPr>
          <w:color w:val="000000"/>
          <w:kern w:val="0"/>
          <w:sz w:val="24"/>
        </w:rPr>
        <w:t>600837</w:t>
      </w:r>
      <w:r w:rsidRPr="008119CB">
        <w:rPr>
          <w:color w:val="000000"/>
          <w:kern w:val="0"/>
          <w:sz w:val="24"/>
        </w:rPr>
        <w:t>）外，未出现被监管部门立案调查，或在报告编制日前一年内受到公开谴责、处罚的情形。</w:t>
      </w:r>
    </w:p>
    <w:p w:rsidR="006C6AB2" w:rsidRDefault="002F7EC7">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报告期内本基金投资的前十名证券之一中信证券（证券代码：</w:t>
      </w:r>
      <w:r>
        <w:rPr>
          <w:color w:val="000000"/>
          <w:kern w:val="0"/>
          <w:sz w:val="24"/>
        </w:rPr>
        <w:t>600030</w:t>
      </w:r>
      <w:r>
        <w:rPr>
          <w:color w:val="000000"/>
          <w:kern w:val="0"/>
          <w:sz w:val="24"/>
        </w:rPr>
        <w:t>）于</w:t>
      </w:r>
      <w:r>
        <w:rPr>
          <w:color w:val="000000"/>
          <w:kern w:val="0"/>
          <w:sz w:val="24"/>
        </w:rPr>
        <w:t>2015</w:t>
      </w:r>
      <w:r>
        <w:rPr>
          <w:color w:val="000000"/>
          <w:kern w:val="0"/>
          <w:sz w:val="24"/>
        </w:rPr>
        <w:t>年</w:t>
      </w:r>
      <w:r>
        <w:rPr>
          <w:color w:val="000000"/>
          <w:kern w:val="0"/>
          <w:sz w:val="24"/>
        </w:rPr>
        <w:t>1</w:t>
      </w:r>
      <w:r>
        <w:rPr>
          <w:color w:val="000000"/>
          <w:kern w:val="0"/>
          <w:sz w:val="24"/>
        </w:rPr>
        <w:t>月</w:t>
      </w:r>
      <w:r>
        <w:rPr>
          <w:color w:val="000000"/>
          <w:kern w:val="0"/>
          <w:sz w:val="24"/>
        </w:rPr>
        <w:t>18</w:t>
      </w:r>
      <w:r>
        <w:rPr>
          <w:color w:val="000000"/>
          <w:kern w:val="0"/>
          <w:sz w:val="24"/>
        </w:rPr>
        <w:t>日公告，公司因存在为到期融资融券合约展期的问题，被中国证监会采取暂停新开融资融券客户信用账户</w:t>
      </w:r>
      <w:r>
        <w:rPr>
          <w:color w:val="000000"/>
          <w:kern w:val="0"/>
          <w:sz w:val="24"/>
        </w:rPr>
        <w:t>3</w:t>
      </w:r>
      <w:r>
        <w:rPr>
          <w:color w:val="000000"/>
          <w:kern w:val="0"/>
          <w:sz w:val="24"/>
        </w:rPr>
        <w:t>个月的行政监管措施。</w:t>
      </w:r>
    </w:p>
    <w:p w:rsidR="006C6AB2" w:rsidRDefault="002F7EC7">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报告期内本基金投资的前十名证券之一海通证券（证券代码：</w:t>
      </w:r>
      <w:r>
        <w:rPr>
          <w:color w:val="000000"/>
          <w:kern w:val="0"/>
          <w:sz w:val="24"/>
        </w:rPr>
        <w:t>600837</w:t>
      </w:r>
      <w:r>
        <w:rPr>
          <w:color w:val="000000"/>
          <w:kern w:val="0"/>
          <w:sz w:val="24"/>
        </w:rPr>
        <w:t>）于</w:t>
      </w:r>
      <w:r>
        <w:rPr>
          <w:color w:val="000000"/>
          <w:kern w:val="0"/>
          <w:sz w:val="24"/>
        </w:rPr>
        <w:t>2015</w:t>
      </w:r>
      <w:r>
        <w:rPr>
          <w:color w:val="000000"/>
          <w:kern w:val="0"/>
          <w:sz w:val="24"/>
        </w:rPr>
        <w:t>年</w:t>
      </w:r>
      <w:r>
        <w:rPr>
          <w:color w:val="000000"/>
          <w:kern w:val="0"/>
          <w:sz w:val="24"/>
        </w:rPr>
        <w:t>1</w:t>
      </w:r>
      <w:r>
        <w:rPr>
          <w:color w:val="000000"/>
          <w:kern w:val="0"/>
          <w:sz w:val="24"/>
        </w:rPr>
        <w:t>月</w:t>
      </w:r>
      <w:r>
        <w:rPr>
          <w:color w:val="000000"/>
          <w:kern w:val="0"/>
          <w:sz w:val="24"/>
        </w:rPr>
        <w:t>19</w:t>
      </w:r>
      <w:r>
        <w:rPr>
          <w:color w:val="000000"/>
          <w:kern w:val="0"/>
          <w:sz w:val="24"/>
        </w:rPr>
        <w:t>日公告，公司因存在违规为到期融资融券合约展期问题，被中国证监会采取暂停新开融资融券客户信用账户</w:t>
      </w:r>
      <w:r>
        <w:rPr>
          <w:color w:val="000000"/>
          <w:kern w:val="0"/>
          <w:sz w:val="24"/>
        </w:rPr>
        <w:t>3</w:t>
      </w:r>
      <w:r>
        <w:rPr>
          <w:color w:val="000000"/>
          <w:kern w:val="0"/>
          <w:sz w:val="24"/>
        </w:rPr>
        <w:t>个月的行政监管措施。</w:t>
      </w:r>
    </w:p>
    <w:p w:rsidR="006C6AB2" w:rsidRDefault="002F7EC7">
      <w:pPr>
        <w:autoSpaceDE w:val="0"/>
        <w:autoSpaceDN w:val="0"/>
        <w:adjustRightInd w:val="0"/>
        <w:spacing w:before="29" w:line="288" w:lineRule="auto"/>
        <w:jc w:val="left"/>
        <w:rPr>
          <w:color w:val="000000"/>
          <w:kern w:val="0"/>
          <w:sz w:val="24"/>
        </w:rPr>
      </w:pPr>
      <w:r>
        <w:rPr>
          <w:color w:val="000000"/>
          <w:kern w:val="0"/>
          <w:sz w:val="24"/>
        </w:rPr>
        <w:t>本基金遵循指数化投资理念，绝大部分资产采用完全复制法跟踪指数，以完全按照标的指数成份股组成及其权重构建基金股票投资组合为原则，进行被动式指数化投资。本基金对上述证券的投资遵守本基金管理人基金投资管理相关制度及被动式指数化投资策略。</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38,103.14</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20,215,349.64</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5,230.60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20,258,683.38</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本基金本报告期末指数投资前十名股票中不存在流通受限的情况。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D55E99">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6C6AB2">
        <w:trPr>
          <w:jc w:val="center"/>
        </w:trPr>
        <w:tc>
          <w:tcPr>
            <w:tcW w:w="1129" w:type="dxa"/>
            <w:vAlign w:val="center"/>
          </w:tcPr>
          <w:p w:rsidR="006C6AB2" w:rsidRDefault="002F7EC7">
            <w:pPr>
              <w:jc w:val="center"/>
            </w:pPr>
            <w:r>
              <w:rPr>
                <w:color w:val="000000"/>
                <w:sz w:val="24"/>
              </w:rPr>
              <w:t>1</w:t>
            </w:r>
          </w:p>
        </w:tc>
        <w:tc>
          <w:tcPr>
            <w:tcW w:w="1356" w:type="dxa"/>
            <w:vAlign w:val="center"/>
          </w:tcPr>
          <w:p w:rsidR="006C6AB2" w:rsidRDefault="002F7EC7">
            <w:pPr>
              <w:jc w:val="center"/>
            </w:pPr>
            <w:r>
              <w:rPr>
                <w:color w:val="000000"/>
                <w:sz w:val="24"/>
              </w:rPr>
              <w:t>600499</w:t>
            </w:r>
          </w:p>
        </w:tc>
        <w:tc>
          <w:tcPr>
            <w:tcW w:w="1355" w:type="dxa"/>
            <w:vAlign w:val="center"/>
          </w:tcPr>
          <w:p w:rsidR="006C6AB2" w:rsidRDefault="002F7EC7">
            <w:pPr>
              <w:jc w:val="center"/>
            </w:pPr>
            <w:r>
              <w:rPr>
                <w:color w:val="000000"/>
                <w:sz w:val="24"/>
              </w:rPr>
              <w:t>科达洁能</w:t>
            </w:r>
          </w:p>
        </w:tc>
        <w:tc>
          <w:tcPr>
            <w:tcW w:w="1880" w:type="dxa"/>
            <w:vAlign w:val="center"/>
          </w:tcPr>
          <w:p w:rsidR="006C6AB2" w:rsidRDefault="002F7EC7">
            <w:pPr>
              <w:jc w:val="right"/>
            </w:pPr>
            <w:r>
              <w:rPr>
                <w:color w:val="000000"/>
                <w:sz w:val="24"/>
              </w:rPr>
              <w:t>3,276,850.20</w:t>
            </w:r>
          </w:p>
        </w:tc>
        <w:tc>
          <w:tcPr>
            <w:tcW w:w="1724" w:type="dxa"/>
            <w:vAlign w:val="center"/>
          </w:tcPr>
          <w:p w:rsidR="006C6AB2" w:rsidRDefault="002F7EC7">
            <w:pPr>
              <w:jc w:val="right"/>
            </w:pPr>
            <w:r>
              <w:rPr>
                <w:color w:val="000000"/>
                <w:sz w:val="24"/>
              </w:rPr>
              <w:t>0.27</w:t>
            </w:r>
          </w:p>
        </w:tc>
        <w:tc>
          <w:tcPr>
            <w:tcW w:w="1424" w:type="dxa"/>
            <w:vAlign w:val="center"/>
          </w:tcPr>
          <w:p w:rsidR="006C6AB2" w:rsidRDefault="002F7EC7">
            <w:pPr>
              <w:jc w:val="right"/>
            </w:pPr>
            <w:r>
              <w:rPr>
                <w:color w:val="000000"/>
                <w:sz w:val="24"/>
              </w:rPr>
              <w:t>重大事项</w:t>
            </w:r>
          </w:p>
        </w:tc>
      </w:tr>
    </w:tbl>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2F7EC7">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1,486,524,362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9,081,000,000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9,590,000,000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977,524,362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2F7EC7">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2F7EC7">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6C6AB2" w:rsidRDefault="002F7EC7">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6C6AB2" w:rsidRDefault="002F7EC7">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6C6AB2" w:rsidRDefault="002F7EC7">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6C6AB2" w:rsidRDefault="002F7EC7">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6C6AB2" w:rsidRDefault="002F7EC7">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6C6AB2" w:rsidRDefault="002F7EC7">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6C6AB2" w:rsidRDefault="002F7EC7">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6C6AB2" w:rsidRDefault="002F7EC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EC" w:rsidRDefault="006462EC">
      <w:r>
        <w:separator/>
      </w:r>
    </w:p>
  </w:endnote>
  <w:endnote w:type="continuationSeparator" w:id="0">
    <w:p w:rsidR="006462EC" w:rsidRDefault="0064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6C6AB2">
      <w:rPr>
        <w:kern w:val="0"/>
        <w:szCs w:val="21"/>
      </w:rPr>
      <w:fldChar w:fldCharType="begin"/>
    </w:r>
    <w:r>
      <w:rPr>
        <w:kern w:val="0"/>
        <w:szCs w:val="21"/>
      </w:rPr>
      <w:instrText xml:space="preserve"> PAGE </w:instrText>
    </w:r>
    <w:r w:rsidR="006C6AB2">
      <w:rPr>
        <w:kern w:val="0"/>
        <w:szCs w:val="21"/>
      </w:rPr>
      <w:fldChar w:fldCharType="separate"/>
    </w:r>
    <w:r w:rsidR="00EC52D7">
      <w:rPr>
        <w:noProof/>
        <w:kern w:val="0"/>
        <w:szCs w:val="21"/>
      </w:rPr>
      <w:t>5</w:t>
    </w:r>
    <w:r w:rsidR="006C6AB2">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6C6AB2">
      <w:rPr>
        <w:kern w:val="0"/>
        <w:szCs w:val="21"/>
      </w:rPr>
      <w:fldChar w:fldCharType="begin"/>
    </w:r>
    <w:r>
      <w:rPr>
        <w:kern w:val="0"/>
        <w:szCs w:val="21"/>
      </w:rPr>
      <w:instrText xml:space="preserve"> NUMPAGES </w:instrText>
    </w:r>
    <w:r w:rsidR="006C6AB2">
      <w:rPr>
        <w:kern w:val="0"/>
        <w:szCs w:val="21"/>
      </w:rPr>
      <w:fldChar w:fldCharType="separate"/>
    </w:r>
    <w:r w:rsidR="00EC52D7">
      <w:rPr>
        <w:noProof/>
        <w:kern w:val="0"/>
        <w:szCs w:val="21"/>
      </w:rPr>
      <w:t>14</w:t>
    </w:r>
    <w:r w:rsidR="006C6AB2">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6C6AB2">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EC" w:rsidRDefault="006462EC">
      <w:r>
        <w:separator/>
      </w:r>
    </w:p>
  </w:footnote>
  <w:footnote w:type="continuationSeparator" w:id="0">
    <w:p w:rsidR="006462EC" w:rsidRDefault="00646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1A56"/>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2F7EC7"/>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462EC"/>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AB2"/>
    <w:rsid w:val="006C6FC6"/>
    <w:rsid w:val="006D32CA"/>
    <w:rsid w:val="006D3B83"/>
    <w:rsid w:val="006D6A40"/>
    <w:rsid w:val="006D7693"/>
    <w:rsid w:val="006E231B"/>
    <w:rsid w:val="006E254B"/>
    <w:rsid w:val="006E346E"/>
    <w:rsid w:val="006E34B7"/>
    <w:rsid w:val="006E61F9"/>
    <w:rsid w:val="006F0F87"/>
    <w:rsid w:val="006F4CD8"/>
    <w:rsid w:val="006F51A0"/>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210"/>
    <w:rsid w:val="00A86C7C"/>
    <w:rsid w:val="00A87791"/>
    <w:rsid w:val="00A903B6"/>
    <w:rsid w:val="00A90E7C"/>
    <w:rsid w:val="00A90F4F"/>
    <w:rsid w:val="00A92C40"/>
    <w:rsid w:val="00A930F4"/>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28DF"/>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2D7"/>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0E8C"/>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995DDB96-C832-49BE-9DBB-F4C225B7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C7848-17BC-4A88-B0D7-BFAB43A55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14</Pages>
  <Words>1148</Words>
  <Characters>6545</Characters>
  <Application>Microsoft Office Word</Application>
  <DocSecurity>0</DocSecurity>
  <Lines>54</Lines>
  <Paragraphs>15</Paragraphs>
  <ScaleCrop>false</ScaleCrop>
  <Company>TRT. Ltd. Co.</Company>
  <LinksUpToDate>false</LinksUpToDate>
  <CharactersWithSpaces>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383</cp:revision>
  <cp:lastPrinted>2007-07-19T00:46:00Z</cp:lastPrinted>
  <dcterms:created xsi:type="dcterms:W3CDTF">2012-11-21T04:46:00Z</dcterms:created>
  <dcterms:modified xsi:type="dcterms:W3CDTF">2015-07-15T07:08:00Z</dcterms:modified>
</cp:coreProperties>
</file>