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交银施罗德先锋股票证券投资基金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二〇一五年七月十八日</w:t>
      </w:r>
    </w:p>
    <w:p w:rsidR="004061AC" w:rsidRPr="00414345" w:rsidRDefault="004061AC" w:rsidP="006E6726">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E4297" w:rsidRDefault="00D42FA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E4297" w:rsidRDefault="00D42FA1">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E4297" w:rsidRDefault="00D42FA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E4297" w:rsidRDefault="00D42FA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E4297" w:rsidRDefault="00D42FA1">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交银先锋股票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825,932,704.59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700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中信标普全债指数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本基金是一只股票型基金，以具有持续成长潜力企业</w:t>
            </w:r>
            <w:r w:rsidRPr="00414345">
              <w:rPr>
                <w:color w:val="000000"/>
                <w:kern w:val="0"/>
                <w:sz w:val="24"/>
                <w:szCs w:val="24"/>
              </w:rPr>
              <w:lastRenderedPageBreak/>
              <w:t>的股票，特别是处于快速成长过程中的中型及小型企业为主要投资对象，属于证券投资基金中较高预期收益和较高风险的品种。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815A2" w:rsidRPr="00414345" w:rsidTr="002815A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2815A2" w:rsidRPr="00414345" w:rsidTr="002815A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403,272,384.36</w:t>
            </w:r>
          </w:p>
        </w:tc>
      </w:tr>
      <w:tr w:rsidR="002815A2" w:rsidRPr="00414345" w:rsidTr="002815A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-33,543,798.67</w:t>
            </w:r>
          </w:p>
        </w:tc>
      </w:tr>
      <w:tr w:rsidR="002815A2" w:rsidRPr="00414345" w:rsidTr="002815A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-0.0690</w:t>
            </w:r>
          </w:p>
        </w:tc>
      </w:tr>
      <w:tr w:rsidR="002815A2" w:rsidRPr="00414345" w:rsidTr="002815A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1,691,974,079.91</w:t>
            </w:r>
          </w:p>
        </w:tc>
      </w:tr>
      <w:tr w:rsidR="002815A2" w:rsidRPr="00414345" w:rsidTr="002815A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2.0486</w:t>
            </w:r>
          </w:p>
        </w:tc>
      </w:tr>
    </w:tbl>
    <w:p w:rsidR="000E4297" w:rsidRDefault="00D42FA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E4297">
        <w:trPr>
          <w:jc w:val="center"/>
        </w:trPr>
        <w:tc>
          <w:tcPr>
            <w:tcW w:w="1701" w:type="dxa"/>
            <w:vAlign w:val="center"/>
          </w:tcPr>
          <w:p w:rsidR="000E4297" w:rsidRDefault="00D42FA1">
            <w:pPr>
              <w:jc w:val="left"/>
            </w:pPr>
            <w:r>
              <w:rPr>
                <w:color w:val="000000"/>
                <w:sz w:val="24"/>
                <w:szCs w:val="24"/>
              </w:rPr>
              <w:t>过去三个月</w:t>
            </w:r>
          </w:p>
        </w:tc>
        <w:tc>
          <w:tcPr>
            <w:tcW w:w="1045" w:type="dxa"/>
            <w:vAlign w:val="center"/>
          </w:tcPr>
          <w:p w:rsidR="000E4297" w:rsidRDefault="00D42FA1">
            <w:pPr>
              <w:jc w:val="center"/>
            </w:pPr>
            <w:r>
              <w:rPr>
                <w:color w:val="000000"/>
                <w:sz w:val="24"/>
                <w:szCs w:val="24"/>
              </w:rPr>
              <w:t>20.56%</w:t>
            </w:r>
          </w:p>
        </w:tc>
        <w:tc>
          <w:tcPr>
            <w:tcW w:w="1344" w:type="dxa"/>
            <w:vAlign w:val="center"/>
          </w:tcPr>
          <w:p w:rsidR="000E4297" w:rsidRDefault="00D42FA1">
            <w:pPr>
              <w:jc w:val="center"/>
            </w:pPr>
            <w:r>
              <w:rPr>
                <w:color w:val="000000"/>
                <w:sz w:val="24"/>
                <w:szCs w:val="24"/>
              </w:rPr>
              <w:t>3.18%</w:t>
            </w:r>
          </w:p>
        </w:tc>
        <w:tc>
          <w:tcPr>
            <w:tcW w:w="1194" w:type="dxa"/>
            <w:vAlign w:val="center"/>
          </w:tcPr>
          <w:p w:rsidR="000E4297" w:rsidRDefault="00D42FA1">
            <w:pPr>
              <w:jc w:val="center"/>
            </w:pPr>
            <w:r>
              <w:rPr>
                <w:color w:val="000000"/>
                <w:sz w:val="24"/>
                <w:szCs w:val="24"/>
              </w:rPr>
              <w:t>14.63%</w:t>
            </w:r>
          </w:p>
        </w:tc>
        <w:tc>
          <w:tcPr>
            <w:tcW w:w="1492" w:type="dxa"/>
            <w:vAlign w:val="center"/>
          </w:tcPr>
          <w:p w:rsidR="000E4297" w:rsidRDefault="00D42FA1">
            <w:pPr>
              <w:jc w:val="center"/>
            </w:pPr>
            <w:r>
              <w:rPr>
                <w:color w:val="000000"/>
                <w:sz w:val="24"/>
                <w:szCs w:val="24"/>
              </w:rPr>
              <w:t>2.17%</w:t>
            </w:r>
          </w:p>
        </w:tc>
        <w:tc>
          <w:tcPr>
            <w:tcW w:w="1194" w:type="dxa"/>
            <w:vAlign w:val="center"/>
          </w:tcPr>
          <w:p w:rsidR="000E4297" w:rsidRDefault="00D42FA1">
            <w:pPr>
              <w:jc w:val="center"/>
            </w:pPr>
            <w:r>
              <w:rPr>
                <w:color w:val="000000"/>
                <w:sz w:val="24"/>
                <w:szCs w:val="24"/>
              </w:rPr>
              <w:t>5.93%</w:t>
            </w:r>
          </w:p>
        </w:tc>
        <w:tc>
          <w:tcPr>
            <w:tcW w:w="898" w:type="dxa"/>
            <w:vAlign w:val="center"/>
          </w:tcPr>
          <w:p w:rsidR="000E4297" w:rsidRDefault="00D42FA1">
            <w:pPr>
              <w:jc w:val="center"/>
            </w:pPr>
            <w:r>
              <w:rPr>
                <w:color w:val="000000"/>
                <w:sz w:val="24"/>
                <w:szCs w:val="24"/>
              </w:rPr>
              <w:t>1.01%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交银施罗德先锋股票证券投资基金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2009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E4297">
        <w:trPr>
          <w:jc w:val="center"/>
        </w:trPr>
        <w:tc>
          <w:tcPr>
            <w:tcW w:w="846" w:type="dxa"/>
            <w:vAlign w:val="center"/>
          </w:tcPr>
          <w:p w:rsidR="000E4297" w:rsidRDefault="00D42FA1">
            <w:pPr>
              <w:jc w:val="center"/>
            </w:pPr>
            <w:r>
              <w:rPr>
                <w:color w:val="000000"/>
                <w:sz w:val="24"/>
                <w:szCs w:val="24"/>
              </w:rPr>
              <w:t>王少成</w:t>
            </w:r>
          </w:p>
        </w:tc>
        <w:tc>
          <w:tcPr>
            <w:tcW w:w="845" w:type="dxa"/>
            <w:vAlign w:val="center"/>
          </w:tcPr>
          <w:p w:rsidR="000E4297" w:rsidRDefault="00D42FA1" w:rsidP="002815A2">
            <w:pPr>
              <w:jc w:val="center"/>
            </w:pPr>
            <w:r>
              <w:rPr>
                <w:color w:val="000000"/>
                <w:sz w:val="24"/>
                <w:szCs w:val="24"/>
              </w:rPr>
              <w:t>本基金、交银成长股票、交银先进制造股票、交银成长</w:t>
            </w:r>
            <w:r>
              <w:rPr>
                <w:color w:val="000000"/>
                <w:sz w:val="24"/>
                <w:szCs w:val="24"/>
              </w:rPr>
              <w:t>30</w:t>
            </w:r>
            <w:r>
              <w:rPr>
                <w:color w:val="000000"/>
                <w:sz w:val="24"/>
                <w:szCs w:val="24"/>
              </w:rPr>
              <w:t>股票的基金经</w:t>
            </w:r>
            <w:r>
              <w:rPr>
                <w:color w:val="000000"/>
                <w:sz w:val="24"/>
                <w:szCs w:val="24"/>
              </w:rPr>
              <w:lastRenderedPageBreak/>
              <w:t>理</w:t>
            </w:r>
            <w:bookmarkStart w:id="0" w:name="_GoBack"/>
            <w:r w:rsidR="00C17A75">
              <w:rPr>
                <w:rFonts w:hint="eastAsia"/>
                <w:color w:val="000000"/>
                <w:sz w:val="24"/>
                <w:szCs w:val="24"/>
              </w:rPr>
              <w:t>，</w:t>
            </w:r>
            <w:bookmarkEnd w:id="0"/>
            <w:r w:rsidR="002815A2">
              <w:rPr>
                <w:rFonts w:hint="eastAsia"/>
                <w:color w:val="000000"/>
                <w:sz w:val="24"/>
                <w:szCs w:val="24"/>
              </w:rPr>
              <w:t>公司</w:t>
            </w:r>
            <w:r w:rsidR="002815A2">
              <w:rPr>
                <w:color w:val="000000"/>
                <w:sz w:val="24"/>
                <w:szCs w:val="24"/>
              </w:rPr>
              <w:t>权益投资总监</w:t>
            </w:r>
          </w:p>
        </w:tc>
        <w:tc>
          <w:tcPr>
            <w:tcW w:w="1549" w:type="dxa"/>
            <w:vAlign w:val="center"/>
          </w:tcPr>
          <w:p w:rsidR="000E4297" w:rsidRDefault="00D42FA1">
            <w:pPr>
              <w:jc w:val="center"/>
            </w:pPr>
            <w:r>
              <w:rPr>
                <w:color w:val="000000"/>
                <w:sz w:val="24"/>
                <w:szCs w:val="24"/>
              </w:rPr>
              <w:lastRenderedPageBreak/>
              <w:t>2013-05-29</w:t>
            </w:r>
          </w:p>
        </w:tc>
        <w:tc>
          <w:tcPr>
            <w:tcW w:w="1548" w:type="dxa"/>
            <w:vAlign w:val="center"/>
          </w:tcPr>
          <w:p w:rsidR="000E4297" w:rsidRDefault="00D42FA1">
            <w:pPr>
              <w:jc w:val="center"/>
            </w:pPr>
            <w:r>
              <w:rPr>
                <w:color w:val="000000"/>
                <w:sz w:val="24"/>
                <w:szCs w:val="24"/>
              </w:rPr>
              <w:t>-</w:t>
            </w:r>
          </w:p>
        </w:tc>
        <w:tc>
          <w:tcPr>
            <w:tcW w:w="1407" w:type="dxa"/>
            <w:vAlign w:val="center"/>
          </w:tcPr>
          <w:p w:rsidR="000E4297" w:rsidRDefault="00D42FA1">
            <w:pPr>
              <w:jc w:val="center"/>
            </w:pPr>
            <w:r>
              <w:rPr>
                <w:color w:val="000000"/>
                <w:sz w:val="24"/>
                <w:szCs w:val="24"/>
              </w:rPr>
              <w:t>11</w:t>
            </w:r>
            <w:r>
              <w:rPr>
                <w:color w:val="000000"/>
                <w:sz w:val="24"/>
                <w:szCs w:val="24"/>
              </w:rPr>
              <w:t>年</w:t>
            </w:r>
          </w:p>
        </w:tc>
        <w:tc>
          <w:tcPr>
            <w:tcW w:w="2673" w:type="dxa"/>
            <w:vAlign w:val="center"/>
          </w:tcPr>
          <w:p w:rsidR="000E4297" w:rsidRDefault="00D42FA1">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w:t>
            </w:r>
            <w:r>
              <w:rPr>
                <w:color w:val="000000"/>
                <w:sz w:val="24"/>
                <w:szCs w:val="24"/>
              </w:rPr>
              <w:lastRenderedPageBreak/>
              <w:t>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w:t>
            </w:r>
            <w:r w:rsidR="002815A2">
              <w:rPr>
                <w:color w:val="000000"/>
                <w:sz w:val="24"/>
                <w:szCs w:val="24"/>
              </w:rPr>
              <w:t>，</w:t>
            </w:r>
            <w:r w:rsidR="002815A2">
              <w:rPr>
                <w:rFonts w:hint="eastAsia"/>
                <w:color w:val="000000"/>
                <w:sz w:val="24"/>
                <w:szCs w:val="24"/>
              </w:rPr>
              <w:t>历任</w:t>
            </w:r>
            <w:r w:rsidR="002815A2">
              <w:rPr>
                <w:color w:val="000000"/>
                <w:sz w:val="24"/>
                <w:szCs w:val="24"/>
              </w:rPr>
              <w:t>公司权益部副总经理</w:t>
            </w:r>
            <w:r>
              <w:rPr>
                <w:color w:val="000000"/>
                <w:sz w:val="24"/>
                <w:szCs w:val="24"/>
              </w:rPr>
              <w:t>。</w:t>
            </w:r>
          </w:p>
        </w:tc>
      </w:tr>
      <w:tr w:rsidR="000E4297">
        <w:trPr>
          <w:jc w:val="center"/>
        </w:trPr>
        <w:tc>
          <w:tcPr>
            <w:tcW w:w="846" w:type="dxa"/>
            <w:vAlign w:val="center"/>
          </w:tcPr>
          <w:p w:rsidR="000E4297" w:rsidRDefault="00D42FA1">
            <w:pPr>
              <w:jc w:val="center"/>
            </w:pPr>
            <w:r>
              <w:rPr>
                <w:color w:val="000000"/>
                <w:sz w:val="24"/>
                <w:szCs w:val="24"/>
              </w:rPr>
              <w:lastRenderedPageBreak/>
              <w:t>芮晨</w:t>
            </w:r>
          </w:p>
        </w:tc>
        <w:tc>
          <w:tcPr>
            <w:tcW w:w="845" w:type="dxa"/>
            <w:vAlign w:val="center"/>
          </w:tcPr>
          <w:p w:rsidR="000E4297" w:rsidRDefault="00D42FA1">
            <w:pPr>
              <w:jc w:val="center"/>
            </w:pPr>
            <w:r>
              <w:rPr>
                <w:color w:val="000000"/>
                <w:sz w:val="24"/>
                <w:szCs w:val="24"/>
              </w:rPr>
              <w:t>本基金的基金经理</w:t>
            </w:r>
          </w:p>
        </w:tc>
        <w:tc>
          <w:tcPr>
            <w:tcW w:w="1549" w:type="dxa"/>
            <w:vAlign w:val="center"/>
          </w:tcPr>
          <w:p w:rsidR="000E4297" w:rsidRDefault="00D42FA1">
            <w:pPr>
              <w:jc w:val="center"/>
            </w:pPr>
            <w:r>
              <w:rPr>
                <w:color w:val="000000"/>
                <w:sz w:val="24"/>
                <w:szCs w:val="24"/>
              </w:rPr>
              <w:t>2015-05-18</w:t>
            </w:r>
          </w:p>
        </w:tc>
        <w:tc>
          <w:tcPr>
            <w:tcW w:w="1548" w:type="dxa"/>
            <w:vAlign w:val="center"/>
          </w:tcPr>
          <w:p w:rsidR="000E4297" w:rsidRDefault="00D42FA1">
            <w:pPr>
              <w:jc w:val="center"/>
            </w:pPr>
            <w:r>
              <w:rPr>
                <w:color w:val="000000"/>
                <w:sz w:val="24"/>
                <w:szCs w:val="24"/>
              </w:rPr>
              <w:t>-</w:t>
            </w:r>
          </w:p>
        </w:tc>
        <w:tc>
          <w:tcPr>
            <w:tcW w:w="1407" w:type="dxa"/>
            <w:vAlign w:val="center"/>
          </w:tcPr>
          <w:p w:rsidR="000E4297" w:rsidRDefault="00D42FA1">
            <w:pPr>
              <w:jc w:val="center"/>
            </w:pPr>
            <w:r>
              <w:rPr>
                <w:color w:val="000000"/>
                <w:sz w:val="24"/>
                <w:szCs w:val="24"/>
              </w:rPr>
              <w:t>8</w:t>
            </w:r>
            <w:r>
              <w:rPr>
                <w:color w:val="000000"/>
                <w:sz w:val="24"/>
                <w:szCs w:val="24"/>
              </w:rPr>
              <w:t>年</w:t>
            </w:r>
          </w:p>
        </w:tc>
        <w:tc>
          <w:tcPr>
            <w:tcW w:w="2673" w:type="dxa"/>
            <w:vAlign w:val="center"/>
          </w:tcPr>
          <w:p w:rsidR="000E4297" w:rsidRDefault="00D42FA1">
            <w:r>
              <w:rPr>
                <w:color w:val="000000"/>
                <w:sz w:val="24"/>
                <w:szCs w:val="24"/>
              </w:rPr>
              <w:t>芮晨先生，内蒙古科技大学工学士。历任深圳尚诚资产管理有限公司研究员、研究副总监，国联安基金管理有限公司行业研究员、投资经理，</w:t>
            </w:r>
            <w:r>
              <w:rPr>
                <w:color w:val="000000"/>
                <w:sz w:val="24"/>
                <w:szCs w:val="24"/>
              </w:rPr>
              <w:t>2013</w:t>
            </w:r>
            <w:r>
              <w:rPr>
                <w:color w:val="000000"/>
                <w:sz w:val="24"/>
                <w:szCs w:val="24"/>
              </w:rPr>
              <w:t>年</w:t>
            </w:r>
            <w:r>
              <w:rPr>
                <w:color w:val="000000"/>
                <w:sz w:val="24"/>
                <w:szCs w:val="24"/>
              </w:rPr>
              <w:t>-2014</w:t>
            </w:r>
            <w:r>
              <w:rPr>
                <w:color w:val="000000"/>
                <w:sz w:val="24"/>
                <w:szCs w:val="24"/>
              </w:rPr>
              <w:t>年任浙商证券资产管理有限公司投资主办。</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E4297" w:rsidRDefault="00D42FA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E4297" w:rsidRDefault="00D42FA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E4297" w:rsidRDefault="00D42FA1">
      <w:pPr>
        <w:spacing w:before="29" w:line="288" w:lineRule="auto"/>
        <w:ind w:firstLineChars="200" w:firstLine="480"/>
        <w:rPr>
          <w:color w:val="000000"/>
          <w:sz w:val="24"/>
          <w:szCs w:val="24"/>
        </w:rPr>
      </w:pPr>
      <w:r>
        <w:rPr>
          <w:color w:val="000000"/>
          <w:sz w:val="24"/>
          <w:szCs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E4297" w:rsidRDefault="00D42FA1">
      <w:pPr>
        <w:spacing w:before="29" w:line="288" w:lineRule="auto"/>
        <w:ind w:firstLineChars="200" w:firstLine="480"/>
        <w:rPr>
          <w:color w:val="000000"/>
          <w:sz w:val="24"/>
          <w:szCs w:val="24"/>
        </w:rPr>
      </w:pPr>
      <w:r>
        <w:rPr>
          <w:color w:val="000000"/>
          <w:sz w:val="24"/>
          <w:szCs w:val="24"/>
        </w:rPr>
        <w:t>二季度，国内宏观经济继续低迷，</w:t>
      </w:r>
      <w:r>
        <w:rPr>
          <w:color w:val="000000"/>
          <w:sz w:val="24"/>
          <w:szCs w:val="24"/>
        </w:rPr>
        <w:t>PPI</w:t>
      </w:r>
      <w:r>
        <w:rPr>
          <w:color w:val="000000"/>
          <w:sz w:val="24"/>
          <w:szCs w:val="24"/>
        </w:rPr>
        <w:t>、</w:t>
      </w:r>
      <w:r>
        <w:rPr>
          <w:color w:val="000000"/>
          <w:sz w:val="24"/>
          <w:szCs w:val="24"/>
        </w:rPr>
        <w:t>CPI</w:t>
      </w:r>
      <w:r>
        <w:rPr>
          <w:color w:val="000000"/>
          <w:sz w:val="24"/>
          <w:szCs w:val="24"/>
        </w:rPr>
        <w:t>、工业增加值都在低位徘徊，政府加大了财政政策的力度。</w:t>
      </w:r>
      <w:r>
        <w:rPr>
          <w:color w:val="000000"/>
          <w:sz w:val="24"/>
          <w:szCs w:val="24"/>
        </w:rPr>
        <w:t>A</w:t>
      </w:r>
      <w:r>
        <w:rPr>
          <w:color w:val="000000"/>
          <w:sz w:val="24"/>
          <w:szCs w:val="24"/>
        </w:rPr>
        <w:t>股市场，四、五月份基本上延续了第一季度快速上涨的趋势；但是在六月份，迅速下跌。</w:t>
      </w:r>
    </w:p>
    <w:p w:rsidR="000E4297" w:rsidRDefault="00D42FA1">
      <w:pPr>
        <w:spacing w:before="29" w:line="288" w:lineRule="auto"/>
        <w:ind w:firstLineChars="200" w:firstLine="480"/>
        <w:rPr>
          <w:color w:val="000000"/>
          <w:sz w:val="24"/>
          <w:szCs w:val="24"/>
        </w:rPr>
      </w:pPr>
      <w:r>
        <w:rPr>
          <w:color w:val="000000"/>
          <w:sz w:val="24"/>
          <w:szCs w:val="24"/>
        </w:rPr>
        <w:t>本基金在</w:t>
      </w:r>
      <w:r>
        <w:rPr>
          <w:color w:val="000000"/>
          <w:sz w:val="24"/>
          <w:szCs w:val="24"/>
        </w:rPr>
        <w:t>2015</w:t>
      </w:r>
      <w:r>
        <w:rPr>
          <w:color w:val="000000"/>
          <w:sz w:val="24"/>
          <w:szCs w:val="24"/>
        </w:rPr>
        <w:t>年</w:t>
      </w:r>
      <w:r>
        <w:rPr>
          <w:color w:val="000000"/>
          <w:sz w:val="24"/>
          <w:szCs w:val="24"/>
        </w:rPr>
        <w:t>5</w:t>
      </w:r>
      <w:r>
        <w:rPr>
          <w:color w:val="000000"/>
          <w:sz w:val="24"/>
          <w:szCs w:val="24"/>
        </w:rPr>
        <w:t>月</w:t>
      </w:r>
      <w:r>
        <w:rPr>
          <w:color w:val="000000"/>
          <w:sz w:val="24"/>
          <w:szCs w:val="24"/>
        </w:rPr>
        <w:t>18</w:t>
      </w:r>
      <w:r>
        <w:rPr>
          <w:color w:val="000000"/>
          <w:sz w:val="24"/>
          <w:szCs w:val="24"/>
        </w:rPr>
        <w:t>号增聘芮晨先生担任本基金的基金经理。在随后的两周里，进行了较大幅度的调仓，现基金主要配置在互联网、医疗、军工、教育几个领域。二季度本基金净值跑赢业绩比较基准，主要缘于组合整体偏成长的风格。</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一个季度，预计流动性仍处于宽松阶段，短期市场的大幅下跌缘于恐慌情绪的集中释放。我们认为中国在未来几年仍处于经济转型期，从基本面上看，新兴产业的需求和供给持续高度景气。市场的大幅下跌，恰恰给我们提供了一个以较便宜价格长期持有优质成长股的机会。在未来一个季度，甚至更长的时间里，我们的投资组合仍将偏于成长风格，并将坚持我们一贯的深入产业链调研，挖掘研究具有核心竞争力且长期成长空间大的优质个股；希望通过长期持有优质的个股来获得超额收益。本基金将继续努力为本基金份额持有人创造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2.0486</w:t>
      </w:r>
      <w:r w:rsidRPr="00414345">
        <w:rPr>
          <w:color w:val="000000"/>
          <w:sz w:val="24"/>
          <w:szCs w:val="24"/>
        </w:rPr>
        <w:t>元，本报告期份额净值增长率为</w:t>
      </w:r>
      <w:r w:rsidRPr="00414345">
        <w:rPr>
          <w:color w:val="000000"/>
          <w:sz w:val="24"/>
          <w:szCs w:val="24"/>
        </w:rPr>
        <w:t>20.56%</w:t>
      </w:r>
      <w:r w:rsidRPr="00414345">
        <w:rPr>
          <w:color w:val="000000"/>
          <w:sz w:val="24"/>
          <w:szCs w:val="24"/>
        </w:rPr>
        <w:t>，同期业绩比较基准增长率为</w:t>
      </w:r>
      <w:r w:rsidRPr="00414345">
        <w:rPr>
          <w:color w:val="000000"/>
          <w:sz w:val="24"/>
          <w:szCs w:val="24"/>
        </w:rPr>
        <w:t>14.63%</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1,529,765,217.67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88.38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1,529,765,217.67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88.38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100,679,334.79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5.82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100,431,294.56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5.80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1,730,875,847.02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1,067,907,937.55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14,469,663.00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412,336,354.72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35,051,262.40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1,529,765,217.67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90.41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E4297">
        <w:trPr>
          <w:jc w:val="center"/>
        </w:trPr>
        <w:tc>
          <w:tcPr>
            <w:tcW w:w="855" w:type="dxa"/>
            <w:vAlign w:val="center"/>
          </w:tcPr>
          <w:p w:rsidR="000E4297" w:rsidRDefault="00D42FA1">
            <w:pPr>
              <w:jc w:val="center"/>
            </w:pPr>
            <w:r>
              <w:rPr>
                <w:color w:val="000000"/>
                <w:sz w:val="24"/>
                <w:szCs w:val="24"/>
              </w:rPr>
              <w:t>1</w:t>
            </w:r>
          </w:p>
        </w:tc>
        <w:tc>
          <w:tcPr>
            <w:tcW w:w="1334" w:type="dxa"/>
            <w:vAlign w:val="center"/>
          </w:tcPr>
          <w:p w:rsidR="000E4297" w:rsidRDefault="00D42FA1">
            <w:pPr>
              <w:jc w:val="center"/>
            </w:pPr>
            <w:r>
              <w:rPr>
                <w:color w:val="000000"/>
                <w:sz w:val="24"/>
                <w:szCs w:val="24"/>
              </w:rPr>
              <w:t>300212</w:t>
            </w:r>
          </w:p>
        </w:tc>
        <w:tc>
          <w:tcPr>
            <w:tcW w:w="1777" w:type="dxa"/>
            <w:vAlign w:val="center"/>
          </w:tcPr>
          <w:p w:rsidR="000E4297" w:rsidRDefault="00D42FA1">
            <w:pPr>
              <w:jc w:val="center"/>
            </w:pPr>
            <w:r>
              <w:rPr>
                <w:color w:val="000000"/>
                <w:sz w:val="24"/>
                <w:szCs w:val="24"/>
              </w:rPr>
              <w:t>易华录</w:t>
            </w:r>
          </w:p>
        </w:tc>
        <w:tc>
          <w:tcPr>
            <w:tcW w:w="1334" w:type="dxa"/>
            <w:vAlign w:val="center"/>
          </w:tcPr>
          <w:p w:rsidR="000E4297" w:rsidRDefault="00D42FA1">
            <w:pPr>
              <w:jc w:val="right"/>
            </w:pPr>
            <w:r>
              <w:rPr>
                <w:color w:val="000000"/>
                <w:sz w:val="24"/>
                <w:szCs w:val="24"/>
              </w:rPr>
              <w:t>1,803,660</w:t>
            </w:r>
          </w:p>
        </w:tc>
        <w:tc>
          <w:tcPr>
            <w:tcW w:w="1924" w:type="dxa"/>
            <w:vAlign w:val="center"/>
          </w:tcPr>
          <w:p w:rsidR="000E4297" w:rsidRDefault="00D42FA1">
            <w:pPr>
              <w:jc w:val="right"/>
            </w:pPr>
            <w:r>
              <w:rPr>
                <w:color w:val="000000"/>
                <w:sz w:val="24"/>
                <w:szCs w:val="24"/>
              </w:rPr>
              <w:t>115,650,679.20</w:t>
            </w:r>
          </w:p>
        </w:tc>
        <w:tc>
          <w:tcPr>
            <w:tcW w:w="1644" w:type="dxa"/>
            <w:vAlign w:val="center"/>
          </w:tcPr>
          <w:p w:rsidR="000E4297" w:rsidRDefault="00D42FA1">
            <w:pPr>
              <w:jc w:val="right"/>
            </w:pPr>
            <w:r>
              <w:rPr>
                <w:color w:val="000000"/>
                <w:sz w:val="24"/>
                <w:szCs w:val="24"/>
              </w:rPr>
              <w:t>6.84</w:t>
            </w:r>
          </w:p>
        </w:tc>
      </w:tr>
      <w:tr w:rsidR="000E4297">
        <w:trPr>
          <w:jc w:val="center"/>
        </w:trPr>
        <w:tc>
          <w:tcPr>
            <w:tcW w:w="855" w:type="dxa"/>
            <w:vAlign w:val="center"/>
          </w:tcPr>
          <w:p w:rsidR="000E4297" w:rsidRDefault="00D42FA1">
            <w:pPr>
              <w:jc w:val="center"/>
            </w:pPr>
            <w:r>
              <w:rPr>
                <w:color w:val="000000"/>
                <w:sz w:val="24"/>
                <w:szCs w:val="24"/>
              </w:rPr>
              <w:t>2</w:t>
            </w:r>
          </w:p>
        </w:tc>
        <w:tc>
          <w:tcPr>
            <w:tcW w:w="1334" w:type="dxa"/>
            <w:vAlign w:val="center"/>
          </w:tcPr>
          <w:p w:rsidR="000E4297" w:rsidRDefault="00D42FA1">
            <w:pPr>
              <w:jc w:val="center"/>
            </w:pPr>
            <w:r>
              <w:rPr>
                <w:color w:val="000000"/>
                <w:sz w:val="24"/>
                <w:szCs w:val="24"/>
              </w:rPr>
              <w:t>300365</w:t>
            </w:r>
          </w:p>
        </w:tc>
        <w:tc>
          <w:tcPr>
            <w:tcW w:w="1777" w:type="dxa"/>
            <w:vAlign w:val="center"/>
          </w:tcPr>
          <w:p w:rsidR="000E4297" w:rsidRDefault="00D42FA1">
            <w:pPr>
              <w:jc w:val="center"/>
            </w:pPr>
            <w:r>
              <w:rPr>
                <w:color w:val="000000"/>
                <w:sz w:val="24"/>
                <w:szCs w:val="24"/>
              </w:rPr>
              <w:t>恒华科技</w:t>
            </w:r>
          </w:p>
        </w:tc>
        <w:tc>
          <w:tcPr>
            <w:tcW w:w="1334" w:type="dxa"/>
            <w:vAlign w:val="center"/>
          </w:tcPr>
          <w:p w:rsidR="000E4297" w:rsidRDefault="00D42FA1">
            <w:pPr>
              <w:jc w:val="right"/>
            </w:pPr>
            <w:r>
              <w:rPr>
                <w:color w:val="000000"/>
                <w:sz w:val="24"/>
                <w:szCs w:val="24"/>
              </w:rPr>
              <w:t>2,983,109</w:t>
            </w:r>
          </w:p>
        </w:tc>
        <w:tc>
          <w:tcPr>
            <w:tcW w:w="1924" w:type="dxa"/>
            <w:vAlign w:val="center"/>
          </w:tcPr>
          <w:p w:rsidR="000E4297" w:rsidRDefault="00D42FA1">
            <w:pPr>
              <w:jc w:val="right"/>
            </w:pPr>
            <w:r>
              <w:rPr>
                <w:color w:val="000000"/>
                <w:sz w:val="24"/>
                <w:szCs w:val="24"/>
              </w:rPr>
              <w:t>102,111,821.07</w:t>
            </w:r>
          </w:p>
        </w:tc>
        <w:tc>
          <w:tcPr>
            <w:tcW w:w="1644" w:type="dxa"/>
            <w:vAlign w:val="center"/>
          </w:tcPr>
          <w:p w:rsidR="000E4297" w:rsidRDefault="00D42FA1">
            <w:pPr>
              <w:jc w:val="right"/>
            </w:pPr>
            <w:r>
              <w:rPr>
                <w:color w:val="000000"/>
                <w:sz w:val="24"/>
                <w:szCs w:val="24"/>
              </w:rPr>
              <w:t>6.04</w:t>
            </w:r>
          </w:p>
        </w:tc>
      </w:tr>
      <w:tr w:rsidR="000E4297">
        <w:trPr>
          <w:jc w:val="center"/>
        </w:trPr>
        <w:tc>
          <w:tcPr>
            <w:tcW w:w="855" w:type="dxa"/>
            <w:vAlign w:val="center"/>
          </w:tcPr>
          <w:p w:rsidR="000E4297" w:rsidRDefault="00D42FA1">
            <w:pPr>
              <w:jc w:val="center"/>
            </w:pPr>
            <w:r>
              <w:rPr>
                <w:color w:val="000000"/>
                <w:sz w:val="24"/>
                <w:szCs w:val="24"/>
              </w:rPr>
              <w:t>3</w:t>
            </w:r>
          </w:p>
        </w:tc>
        <w:tc>
          <w:tcPr>
            <w:tcW w:w="1334" w:type="dxa"/>
            <w:vAlign w:val="center"/>
          </w:tcPr>
          <w:p w:rsidR="000E4297" w:rsidRDefault="00D42FA1">
            <w:pPr>
              <w:jc w:val="center"/>
            </w:pPr>
            <w:r>
              <w:rPr>
                <w:color w:val="000000"/>
                <w:sz w:val="24"/>
                <w:szCs w:val="24"/>
              </w:rPr>
              <w:t>300329</w:t>
            </w:r>
          </w:p>
        </w:tc>
        <w:tc>
          <w:tcPr>
            <w:tcW w:w="1777" w:type="dxa"/>
            <w:vAlign w:val="center"/>
          </w:tcPr>
          <w:p w:rsidR="000E4297" w:rsidRDefault="00D42FA1">
            <w:pPr>
              <w:jc w:val="center"/>
            </w:pPr>
            <w:r>
              <w:rPr>
                <w:color w:val="000000"/>
                <w:sz w:val="24"/>
                <w:szCs w:val="24"/>
              </w:rPr>
              <w:t>海伦钢琴</w:t>
            </w:r>
          </w:p>
        </w:tc>
        <w:tc>
          <w:tcPr>
            <w:tcW w:w="1334" w:type="dxa"/>
            <w:vAlign w:val="center"/>
          </w:tcPr>
          <w:p w:rsidR="000E4297" w:rsidRDefault="00D42FA1">
            <w:pPr>
              <w:jc w:val="right"/>
            </w:pPr>
            <w:r>
              <w:rPr>
                <w:color w:val="000000"/>
                <w:sz w:val="24"/>
                <w:szCs w:val="24"/>
              </w:rPr>
              <w:t>2,901,718</w:t>
            </w:r>
          </w:p>
        </w:tc>
        <w:tc>
          <w:tcPr>
            <w:tcW w:w="1924" w:type="dxa"/>
            <w:vAlign w:val="center"/>
          </w:tcPr>
          <w:p w:rsidR="000E4297" w:rsidRDefault="00D42FA1">
            <w:pPr>
              <w:jc w:val="right"/>
            </w:pPr>
            <w:r>
              <w:rPr>
                <w:color w:val="000000"/>
                <w:sz w:val="24"/>
                <w:szCs w:val="24"/>
              </w:rPr>
              <w:t>101,560,130.00</w:t>
            </w:r>
          </w:p>
        </w:tc>
        <w:tc>
          <w:tcPr>
            <w:tcW w:w="1644" w:type="dxa"/>
            <w:vAlign w:val="center"/>
          </w:tcPr>
          <w:p w:rsidR="000E4297" w:rsidRDefault="00D42FA1">
            <w:pPr>
              <w:jc w:val="right"/>
            </w:pPr>
            <w:r>
              <w:rPr>
                <w:color w:val="000000"/>
                <w:sz w:val="24"/>
                <w:szCs w:val="24"/>
              </w:rPr>
              <w:t>6.00</w:t>
            </w:r>
          </w:p>
        </w:tc>
      </w:tr>
      <w:tr w:rsidR="000E4297">
        <w:trPr>
          <w:jc w:val="center"/>
        </w:trPr>
        <w:tc>
          <w:tcPr>
            <w:tcW w:w="855" w:type="dxa"/>
            <w:vAlign w:val="center"/>
          </w:tcPr>
          <w:p w:rsidR="000E4297" w:rsidRDefault="00D42FA1">
            <w:pPr>
              <w:jc w:val="center"/>
            </w:pPr>
            <w:r>
              <w:rPr>
                <w:color w:val="000000"/>
                <w:sz w:val="24"/>
                <w:szCs w:val="24"/>
              </w:rPr>
              <w:t>4</w:t>
            </w:r>
          </w:p>
        </w:tc>
        <w:tc>
          <w:tcPr>
            <w:tcW w:w="1334" w:type="dxa"/>
            <w:vAlign w:val="center"/>
          </w:tcPr>
          <w:p w:rsidR="000E4297" w:rsidRDefault="00D42FA1">
            <w:pPr>
              <w:jc w:val="center"/>
            </w:pPr>
            <w:r>
              <w:rPr>
                <w:color w:val="000000"/>
                <w:sz w:val="24"/>
                <w:szCs w:val="24"/>
              </w:rPr>
              <w:t>002390</w:t>
            </w:r>
          </w:p>
        </w:tc>
        <w:tc>
          <w:tcPr>
            <w:tcW w:w="1777" w:type="dxa"/>
            <w:vAlign w:val="center"/>
          </w:tcPr>
          <w:p w:rsidR="000E4297" w:rsidRDefault="00D42FA1">
            <w:pPr>
              <w:jc w:val="center"/>
            </w:pPr>
            <w:r>
              <w:rPr>
                <w:color w:val="000000"/>
                <w:sz w:val="24"/>
                <w:szCs w:val="24"/>
              </w:rPr>
              <w:t>信邦制药</w:t>
            </w:r>
          </w:p>
        </w:tc>
        <w:tc>
          <w:tcPr>
            <w:tcW w:w="1334" w:type="dxa"/>
            <w:vAlign w:val="center"/>
          </w:tcPr>
          <w:p w:rsidR="000E4297" w:rsidRDefault="00D42FA1">
            <w:pPr>
              <w:jc w:val="right"/>
            </w:pPr>
            <w:r>
              <w:rPr>
                <w:color w:val="000000"/>
                <w:sz w:val="24"/>
                <w:szCs w:val="24"/>
              </w:rPr>
              <w:t>4,522,658</w:t>
            </w:r>
          </w:p>
        </w:tc>
        <w:tc>
          <w:tcPr>
            <w:tcW w:w="1924" w:type="dxa"/>
            <w:vAlign w:val="center"/>
          </w:tcPr>
          <w:p w:rsidR="000E4297" w:rsidRDefault="00D42FA1">
            <w:pPr>
              <w:jc w:val="right"/>
            </w:pPr>
            <w:r>
              <w:rPr>
                <w:color w:val="000000"/>
                <w:sz w:val="24"/>
                <w:szCs w:val="24"/>
              </w:rPr>
              <w:t>80,865,125.04</w:t>
            </w:r>
          </w:p>
        </w:tc>
        <w:tc>
          <w:tcPr>
            <w:tcW w:w="1644" w:type="dxa"/>
            <w:vAlign w:val="center"/>
          </w:tcPr>
          <w:p w:rsidR="000E4297" w:rsidRDefault="00D42FA1">
            <w:pPr>
              <w:jc w:val="right"/>
            </w:pPr>
            <w:r>
              <w:rPr>
                <w:color w:val="000000"/>
                <w:sz w:val="24"/>
                <w:szCs w:val="24"/>
              </w:rPr>
              <w:t>4.78</w:t>
            </w:r>
          </w:p>
        </w:tc>
      </w:tr>
      <w:tr w:rsidR="000E4297">
        <w:trPr>
          <w:jc w:val="center"/>
        </w:trPr>
        <w:tc>
          <w:tcPr>
            <w:tcW w:w="855" w:type="dxa"/>
            <w:vAlign w:val="center"/>
          </w:tcPr>
          <w:p w:rsidR="000E4297" w:rsidRDefault="00D42FA1">
            <w:pPr>
              <w:jc w:val="center"/>
            </w:pPr>
            <w:r>
              <w:rPr>
                <w:color w:val="000000"/>
                <w:sz w:val="24"/>
                <w:szCs w:val="24"/>
              </w:rPr>
              <w:t>5</w:t>
            </w:r>
          </w:p>
        </w:tc>
        <w:tc>
          <w:tcPr>
            <w:tcW w:w="1334" w:type="dxa"/>
            <w:vAlign w:val="center"/>
          </w:tcPr>
          <w:p w:rsidR="000E4297" w:rsidRDefault="00D42FA1">
            <w:pPr>
              <w:jc w:val="center"/>
            </w:pPr>
            <w:r>
              <w:rPr>
                <w:color w:val="000000"/>
                <w:sz w:val="24"/>
                <w:szCs w:val="24"/>
              </w:rPr>
              <w:t>600967</w:t>
            </w:r>
          </w:p>
        </w:tc>
        <w:tc>
          <w:tcPr>
            <w:tcW w:w="1777" w:type="dxa"/>
            <w:vAlign w:val="center"/>
          </w:tcPr>
          <w:p w:rsidR="000E4297" w:rsidRDefault="00D42FA1">
            <w:pPr>
              <w:jc w:val="center"/>
            </w:pPr>
            <w:r>
              <w:rPr>
                <w:color w:val="000000"/>
                <w:sz w:val="24"/>
                <w:szCs w:val="24"/>
              </w:rPr>
              <w:t>北方创业</w:t>
            </w:r>
          </w:p>
        </w:tc>
        <w:tc>
          <w:tcPr>
            <w:tcW w:w="1334" w:type="dxa"/>
            <w:vAlign w:val="center"/>
          </w:tcPr>
          <w:p w:rsidR="000E4297" w:rsidRDefault="00D42FA1">
            <w:pPr>
              <w:jc w:val="right"/>
            </w:pPr>
            <w:r>
              <w:rPr>
                <w:color w:val="000000"/>
                <w:sz w:val="24"/>
                <w:szCs w:val="24"/>
              </w:rPr>
              <w:t>3,642,334</w:t>
            </w:r>
          </w:p>
        </w:tc>
        <w:tc>
          <w:tcPr>
            <w:tcW w:w="1924" w:type="dxa"/>
            <w:vAlign w:val="center"/>
          </w:tcPr>
          <w:p w:rsidR="000E4297" w:rsidRDefault="00D42FA1">
            <w:pPr>
              <w:jc w:val="right"/>
            </w:pPr>
            <w:r>
              <w:rPr>
                <w:color w:val="000000"/>
                <w:sz w:val="24"/>
                <w:szCs w:val="24"/>
              </w:rPr>
              <w:t>76,015,510.58</w:t>
            </w:r>
          </w:p>
        </w:tc>
        <w:tc>
          <w:tcPr>
            <w:tcW w:w="1644" w:type="dxa"/>
            <w:vAlign w:val="center"/>
          </w:tcPr>
          <w:p w:rsidR="000E4297" w:rsidRDefault="00D42FA1">
            <w:pPr>
              <w:jc w:val="right"/>
            </w:pPr>
            <w:r>
              <w:rPr>
                <w:color w:val="000000"/>
                <w:sz w:val="24"/>
                <w:szCs w:val="24"/>
              </w:rPr>
              <w:t>4.49</w:t>
            </w:r>
          </w:p>
        </w:tc>
      </w:tr>
      <w:tr w:rsidR="000E4297">
        <w:trPr>
          <w:jc w:val="center"/>
        </w:trPr>
        <w:tc>
          <w:tcPr>
            <w:tcW w:w="855" w:type="dxa"/>
            <w:vAlign w:val="center"/>
          </w:tcPr>
          <w:p w:rsidR="000E4297" w:rsidRDefault="00D42FA1">
            <w:pPr>
              <w:jc w:val="center"/>
            </w:pPr>
            <w:r>
              <w:rPr>
                <w:color w:val="000000"/>
                <w:sz w:val="24"/>
                <w:szCs w:val="24"/>
              </w:rPr>
              <w:t>6</w:t>
            </w:r>
          </w:p>
        </w:tc>
        <w:tc>
          <w:tcPr>
            <w:tcW w:w="1334" w:type="dxa"/>
            <w:vAlign w:val="center"/>
          </w:tcPr>
          <w:p w:rsidR="000E4297" w:rsidRDefault="00D42FA1">
            <w:pPr>
              <w:jc w:val="center"/>
            </w:pPr>
            <w:r>
              <w:rPr>
                <w:color w:val="000000"/>
                <w:sz w:val="24"/>
                <w:szCs w:val="24"/>
              </w:rPr>
              <w:t>300298</w:t>
            </w:r>
          </w:p>
        </w:tc>
        <w:tc>
          <w:tcPr>
            <w:tcW w:w="1777" w:type="dxa"/>
            <w:vAlign w:val="center"/>
          </w:tcPr>
          <w:p w:rsidR="000E4297" w:rsidRDefault="00D42FA1">
            <w:pPr>
              <w:jc w:val="center"/>
            </w:pPr>
            <w:r>
              <w:rPr>
                <w:color w:val="000000"/>
                <w:sz w:val="24"/>
                <w:szCs w:val="24"/>
              </w:rPr>
              <w:t>三诺生物</w:t>
            </w:r>
          </w:p>
        </w:tc>
        <w:tc>
          <w:tcPr>
            <w:tcW w:w="1334" w:type="dxa"/>
            <w:vAlign w:val="center"/>
          </w:tcPr>
          <w:p w:rsidR="000E4297" w:rsidRDefault="00D42FA1">
            <w:pPr>
              <w:jc w:val="right"/>
            </w:pPr>
            <w:r>
              <w:rPr>
                <w:color w:val="000000"/>
                <w:sz w:val="24"/>
                <w:szCs w:val="24"/>
              </w:rPr>
              <w:t>1,969,677</w:t>
            </w:r>
          </w:p>
        </w:tc>
        <w:tc>
          <w:tcPr>
            <w:tcW w:w="1924" w:type="dxa"/>
            <w:vAlign w:val="center"/>
          </w:tcPr>
          <w:p w:rsidR="000E4297" w:rsidRDefault="00D42FA1">
            <w:pPr>
              <w:jc w:val="right"/>
            </w:pPr>
            <w:r>
              <w:rPr>
                <w:color w:val="000000"/>
                <w:sz w:val="24"/>
                <w:szCs w:val="24"/>
              </w:rPr>
              <w:t>75,852,261.27</w:t>
            </w:r>
          </w:p>
        </w:tc>
        <w:tc>
          <w:tcPr>
            <w:tcW w:w="1644" w:type="dxa"/>
            <w:vAlign w:val="center"/>
          </w:tcPr>
          <w:p w:rsidR="000E4297" w:rsidRDefault="00D42FA1">
            <w:pPr>
              <w:jc w:val="right"/>
            </w:pPr>
            <w:r>
              <w:rPr>
                <w:color w:val="000000"/>
                <w:sz w:val="24"/>
                <w:szCs w:val="24"/>
              </w:rPr>
              <w:t>4.48</w:t>
            </w:r>
          </w:p>
        </w:tc>
      </w:tr>
      <w:tr w:rsidR="000E4297">
        <w:trPr>
          <w:jc w:val="center"/>
        </w:trPr>
        <w:tc>
          <w:tcPr>
            <w:tcW w:w="855" w:type="dxa"/>
            <w:vAlign w:val="center"/>
          </w:tcPr>
          <w:p w:rsidR="000E4297" w:rsidRDefault="00D42FA1">
            <w:pPr>
              <w:jc w:val="center"/>
            </w:pPr>
            <w:r>
              <w:rPr>
                <w:color w:val="000000"/>
                <w:sz w:val="24"/>
                <w:szCs w:val="24"/>
              </w:rPr>
              <w:t>7</w:t>
            </w:r>
          </w:p>
        </w:tc>
        <w:tc>
          <w:tcPr>
            <w:tcW w:w="1334" w:type="dxa"/>
            <w:vAlign w:val="center"/>
          </w:tcPr>
          <w:p w:rsidR="000E4297" w:rsidRDefault="00D42FA1">
            <w:pPr>
              <w:jc w:val="center"/>
            </w:pPr>
            <w:r>
              <w:rPr>
                <w:color w:val="000000"/>
                <w:sz w:val="24"/>
                <w:szCs w:val="24"/>
              </w:rPr>
              <w:t>300101</w:t>
            </w:r>
          </w:p>
        </w:tc>
        <w:tc>
          <w:tcPr>
            <w:tcW w:w="1777" w:type="dxa"/>
            <w:vAlign w:val="center"/>
          </w:tcPr>
          <w:p w:rsidR="000E4297" w:rsidRDefault="00D42FA1">
            <w:pPr>
              <w:jc w:val="center"/>
            </w:pPr>
            <w:r>
              <w:rPr>
                <w:color w:val="000000"/>
                <w:sz w:val="24"/>
                <w:szCs w:val="24"/>
              </w:rPr>
              <w:t>振芯科技</w:t>
            </w:r>
          </w:p>
        </w:tc>
        <w:tc>
          <w:tcPr>
            <w:tcW w:w="1334" w:type="dxa"/>
            <w:vAlign w:val="center"/>
          </w:tcPr>
          <w:p w:rsidR="000E4297" w:rsidRDefault="00D42FA1">
            <w:pPr>
              <w:jc w:val="right"/>
            </w:pPr>
            <w:r>
              <w:rPr>
                <w:color w:val="000000"/>
                <w:sz w:val="24"/>
                <w:szCs w:val="24"/>
              </w:rPr>
              <w:t>1,300,220</w:t>
            </w:r>
          </w:p>
        </w:tc>
        <w:tc>
          <w:tcPr>
            <w:tcW w:w="1924" w:type="dxa"/>
            <w:vAlign w:val="center"/>
          </w:tcPr>
          <w:p w:rsidR="000E4297" w:rsidRDefault="00D42FA1">
            <w:pPr>
              <w:jc w:val="right"/>
            </w:pPr>
            <w:r>
              <w:rPr>
                <w:color w:val="000000"/>
                <w:sz w:val="24"/>
                <w:szCs w:val="24"/>
              </w:rPr>
              <w:t>72,292,232.00</w:t>
            </w:r>
          </w:p>
        </w:tc>
        <w:tc>
          <w:tcPr>
            <w:tcW w:w="1644" w:type="dxa"/>
            <w:vAlign w:val="center"/>
          </w:tcPr>
          <w:p w:rsidR="000E4297" w:rsidRDefault="00D42FA1">
            <w:pPr>
              <w:jc w:val="right"/>
            </w:pPr>
            <w:r>
              <w:rPr>
                <w:color w:val="000000"/>
                <w:sz w:val="24"/>
                <w:szCs w:val="24"/>
              </w:rPr>
              <w:t>4.27</w:t>
            </w:r>
          </w:p>
        </w:tc>
      </w:tr>
      <w:tr w:rsidR="000E4297">
        <w:trPr>
          <w:jc w:val="center"/>
        </w:trPr>
        <w:tc>
          <w:tcPr>
            <w:tcW w:w="855" w:type="dxa"/>
            <w:vAlign w:val="center"/>
          </w:tcPr>
          <w:p w:rsidR="000E4297" w:rsidRDefault="00D42FA1">
            <w:pPr>
              <w:jc w:val="center"/>
            </w:pPr>
            <w:r>
              <w:rPr>
                <w:color w:val="000000"/>
                <w:sz w:val="24"/>
                <w:szCs w:val="24"/>
              </w:rPr>
              <w:t>8</w:t>
            </w:r>
          </w:p>
        </w:tc>
        <w:tc>
          <w:tcPr>
            <w:tcW w:w="1334" w:type="dxa"/>
            <w:vAlign w:val="center"/>
          </w:tcPr>
          <w:p w:rsidR="000E4297" w:rsidRDefault="00D42FA1">
            <w:pPr>
              <w:jc w:val="center"/>
            </w:pPr>
            <w:r>
              <w:rPr>
                <w:color w:val="000000"/>
                <w:sz w:val="24"/>
                <w:szCs w:val="24"/>
              </w:rPr>
              <w:t>300075</w:t>
            </w:r>
          </w:p>
        </w:tc>
        <w:tc>
          <w:tcPr>
            <w:tcW w:w="1777" w:type="dxa"/>
            <w:vAlign w:val="center"/>
          </w:tcPr>
          <w:p w:rsidR="000E4297" w:rsidRDefault="00D42FA1">
            <w:pPr>
              <w:jc w:val="center"/>
            </w:pPr>
            <w:r>
              <w:rPr>
                <w:color w:val="000000"/>
                <w:sz w:val="24"/>
                <w:szCs w:val="24"/>
              </w:rPr>
              <w:t>数字政通</w:t>
            </w:r>
          </w:p>
        </w:tc>
        <w:tc>
          <w:tcPr>
            <w:tcW w:w="1334" w:type="dxa"/>
            <w:vAlign w:val="center"/>
          </w:tcPr>
          <w:p w:rsidR="000E4297" w:rsidRDefault="00D42FA1">
            <w:pPr>
              <w:jc w:val="right"/>
            </w:pPr>
            <w:r>
              <w:rPr>
                <w:color w:val="000000"/>
                <w:sz w:val="24"/>
                <w:szCs w:val="24"/>
              </w:rPr>
              <w:t>1,914,637</w:t>
            </w:r>
          </w:p>
        </w:tc>
        <w:tc>
          <w:tcPr>
            <w:tcW w:w="1924" w:type="dxa"/>
            <w:vAlign w:val="center"/>
          </w:tcPr>
          <w:p w:rsidR="000E4297" w:rsidRDefault="00D42FA1">
            <w:pPr>
              <w:jc w:val="right"/>
            </w:pPr>
            <w:r>
              <w:rPr>
                <w:color w:val="000000"/>
                <w:sz w:val="24"/>
                <w:szCs w:val="24"/>
              </w:rPr>
              <w:t>72,162,668.53</w:t>
            </w:r>
          </w:p>
        </w:tc>
        <w:tc>
          <w:tcPr>
            <w:tcW w:w="1644" w:type="dxa"/>
            <w:vAlign w:val="center"/>
          </w:tcPr>
          <w:p w:rsidR="000E4297" w:rsidRDefault="00D42FA1">
            <w:pPr>
              <w:jc w:val="right"/>
            </w:pPr>
            <w:r>
              <w:rPr>
                <w:color w:val="000000"/>
                <w:sz w:val="24"/>
                <w:szCs w:val="24"/>
              </w:rPr>
              <w:t>4.26</w:t>
            </w:r>
          </w:p>
        </w:tc>
      </w:tr>
      <w:tr w:rsidR="000E4297">
        <w:trPr>
          <w:jc w:val="center"/>
        </w:trPr>
        <w:tc>
          <w:tcPr>
            <w:tcW w:w="855" w:type="dxa"/>
            <w:vAlign w:val="center"/>
          </w:tcPr>
          <w:p w:rsidR="000E4297" w:rsidRDefault="00D42FA1">
            <w:pPr>
              <w:jc w:val="center"/>
            </w:pPr>
            <w:r>
              <w:rPr>
                <w:color w:val="000000"/>
                <w:sz w:val="24"/>
                <w:szCs w:val="24"/>
              </w:rPr>
              <w:t>9</w:t>
            </w:r>
          </w:p>
        </w:tc>
        <w:tc>
          <w:tcPr>
            <w:tcW w:w="1334" w:type="dxa"/>
            <w:vAlign w:val="center"/>
          </w:tcPr>
          <w:p w:rsidR="000E4297" w:rsidRDefault="00D42FA1">
            <w:pPr>
              <w:jc w:val="center"/>
            </w:pPr>
            <w:r>
              <w:rPr>
                <w:color w:val="000000"/>
                <w:sz w:val="24"/>
                <w:szCs w:val="24"/>
              </w:rPr>
              <w:t>002338</w:t>
            </w:r>
          </w:p>
        </w:tc>
        <w:tc>
          <w:tcPr>
            <w:tcW w:w="1777" w:type="dxa"/>
            <w:vAlign w:val="center"/>
          </w:tcPr>
          <w:p w:rsidR="000E4297" w:rsidRDefault="00D42FA1">
            <w:pPr>
              <w:jc w:val="center"/>
            </w:pPr>
            <w:r>
              <w:rPr>
                <w:color w:val="000000"/>
                <w:sz w:val="24"/>
                <w:szCs w:val="24"/>
              </w:rPr>
              <w:t>奥普光电</w:t>
            </w:r>
          </w:p>
        </w:tc>
        <w:tc>
          <w:tcPr>
            <w:tcW w:w="1334" w:type="dxa"/>
            <w:vAlign w:val="center"/>
          </w:tcPr>
          <w:p w:rsidR="000E4297" w:rsidRDefault="00D42FA1">
            <w:pPr>
              <w:jc w:val="right"/>
            </w:pPr>
            <w:r>
              <w:rPr>
                <w:color w:val="000000"/>
                <w:sz w:val="24"/>
                <w:szCs w:val="24"/>
              </w:rPr>
              <w:t>878,798</w:t>
            </w:r>
          </w:p>
        </w:tc>
        <w:tc>
          <w:tcPr>
            <w:tcW w:w="1924" w:type="dxa"/>
            <w:vAlign w:val="center"/>
          </w:tcPr>
          <w:p w:rsidR="000E4297" w:rsidRDefault="00D42FA1">
            <w:pPr>
              <w:jc w:val="right"/>
            </w:pPr>
            <w:r>
              <w:rPr>
                <w:color w:val="000000"/>
                <w:sz w:val="24"/>
                <w:szCs w:val="24"/>
              </w:rPr>
              <w:t>64,152,254.00</w:t>
            </w:r>
          </w:p>
        </w:tc>
        <w:tc>
          <w:tcPr>
            <w:tcW w:w="1644" w:type="dxa"/>
            <w:vAlign w:val="center"/>
          </w:tcPr>
          <w:p w:rsidR="000E4297" w:rsidRDefault="00D42FA1">
            <w:pPr>
              <w:jc w:val="right"/>
            </w:pPr>
            <w:r>
              <w:rPr>
                <w:color w:val="000000"/>
                <w:sz w:val="24"/>
                <w:szCs w:val="24"/>
              </w:rPr>
              <w:t>3.79</w:t>
            </w:r>
          </w:p>
        </w:tc>
      </w:tr>
      <w:tr w:rsidR="000E4297">
        <w:trPr>
          <w:jc w:val="center"/>
        </w:trPr>
        <w:tc>
          <w:tcPr>
            <w:tcW w:w="855" w:type="dxa"/>
            <w:vAlign w:val="center"/>
          </w:tcPr>
          <w:p w:rsidR="000E4297" w:rsidRDefault="00D42FA1">
            <w:pPr>
              <w:jc w:val="center"/>
            </w:pPr>
            <w:r>
              <w:rPr>
                <w:color w:val="000000"/>
                <w:sz w:val="24"/>
                <w:szCs w:val="24"/>
              </w:rPr>
              <w:t>10</w:t>
            </w:r>
          </w:p>
        </w:tc>
        <w:tc>
          <w:tcPr>
            <w:tcW w:w="1334" w:type="dxa"/>
            <w:vAlign w:val="center"/>
          </w:tcPr>
          <w:p w:rsidR="000E4297" w:rsidRDefault="00D42FA1">
            <w:pPr>
              <w:jc w:val="center"/>
            </w:pPr>
            <w:r>
              <w:rPr>
                <w:color w:val="000000"/>
                <w:sz w:val="24"/>
                <w:szCs w:val="24"/>
              </w:rPr>
              <w:t>000768</w:t>
            </w:r>
          </w:p>
        </w:tc>
        <w:tc>
          <w:tcPr>
            <w:tcW w:w="1777" w:type="dxa"/>
            <w:vAlign w:val="center"/>
          </w:tcPr>
          <w:p w:rsidR="000E4297" w:rsidRDefault="00D42FA1">
            <w:pPr>
              <w:jc w:val="center"/>
            </w:pPr>
            <w:r>
              <w:rPr>
                <w:color w:val="000000"/>
                <w:sz w:val="24"/>
                <w:szCs w:val="24"/>
              </w:rPr>
              <w:t>中航飞机</w:t>
            </w:r>
          </w:p>
        </w:tc>
        <w:tc>
          <w:tcPr>
            <w:tcW w:w="1334" w:type="dxa"/>
            <w:vAlign w:val="center"/>
          </w:tcPr>
          <w:p w:rsidR="000E4297" w:rsidRDefault="00D42FA1">
            <w:pPr>
              <w:jc w:val="right"/>
            </w:pPr>
            <w:r>
              <w:rPr>
                <w:color w:val="000000"/>
                <w:sz w:val="24"/>
                <w:szCs w:val="24"/>
              </w:rPr>
              <w:t>1,415,800</w:t>
            </w:r>
          </w:p>
        </w:tc>
        <w:tc>
          <w:tcPr>
            <w:tcW w:w="1924" w:type="dxa"/>
            <w:vAlign w:val="center"/>
          </w:tcPr>
          <w:p w:rsidR="000E4297" w:rsidRDefault="00D42FA1">
            <w:pPr>
              <w:jc w:val="right"/>
            </w:pPr>
            <w:r>
              <w:rPr>
                <w:color w:val="000000"/>
                <w:sz w:val="24"/>
                <w:szCs w:val="24"/>
              </w:rPr>
              <w:t>61,700,564.00</w:t>
            </w:r>
          </w:p>
        </w:tc>
        <w:tc>
          <w:tcPr>
            <w:tcW w:w="1644" w:type="dxa"/>
            <w:vAlign w:val="center"/>
          </w:tcPr>
          <w:p w:rsidR="000E4297" w:rsidRDefault="00D42FA1">
            <w:pPr>
              <w:jc w:val="right"/>
            </w:pPr>
            <w:r>
              <w:rPr>
                <w:color w:val="000000"/>
                <w:sz w:val="24"/>
                <w:szCs w:val="24"/>
              </w:rPr>
              <w:t>3.65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424,860.37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38,820.35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99,967,613.84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100,431,294.56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0E4297">
        <w:trPr>
          <w:jc w:val="center"/>
        </w:trPr>
        <w:tc>
          <w:tcPr>
            <w:tcW w:w="1129" w:type="dxa"/>
            <w:vAlign w:val="center"/>
          </w:tcPr>
          <w:p w:rsidR="000E4297" w:rsidRDefault="00D42FA1">
            <w:pPr>
              <w:jc w:val="center"/>
            </w:pPr>
            <w:r>
              <w:rPr>
                <w:color w:val="000000"/>
                <w:sz w:val="24"/>
                <w:szCs w:val="24"/>
              </w:rPr>
              <w:t>1</w:t>
            </w:r>
          </w:p>
        </w:tc>
        <w:tc>
          <w:tcPr>
            <w:tcW w:w="1356" w:type="dxa"/>
            <w:vAlign w:val="center"/>
          </w:tcPr>
          <w:p w:rsidR="000E4297" w:rsidRDefault="00D42FA1">
            <w:pPr>
              <w:jc w:val="center"/>
            </w:pPr>
            <w:r>
              <w:rPr>
                <w:color w:val="000000"/>
                <w:sz w:val="24"/>
                <w:szCs w:val="24"/>
              </w:rPr>
              <w:t>300212</w:t>
            </w:r>
          </w:p>
        </w:tc>
        <w:tc>
          <w:tcPr>
            <w:tcW w:w="1355" w:type="dxa"/>
            <w:vAlign w:val="center"/>
          </w:tcPr>
          <w:p w:rsidR="000E4297" w:rsidRDefault="00D42FA1">
            <w:pPr>
              <w:jc w:val="center"/>
            </w:pPr>
            <w:r>
              <w:rPr>
                <w:color w:val="000000"/>
                <w:sz w:val="24"/>
                <w:szCs w:val="24"/>
              </w:rPr>
              <w:t>易华录</w:t>
            </w:r>
          </w:p>
        </w:tc>
        <w:tc>
          <w:tcPr>
            <w:tcW w:w="1880" w:type="dxa"/>
            <w:vAlign w:val="center"/>
          </w:tcPr>
          <w:p w:rsidR="000E4297" w:rsidRDefault="00D42FA1">
            <w:pPr>
              <w:jc w:val="right"/>
            </w:pPr>
            <w:r>
              <w:rPr>
                <w:color w:val="000000"/>
                <w:sz w:val="24"/>
                <w:szCs w:val="24"/>
              </w:rPr>
              <w:t>115,650,679.20</w:t>
            </w:r>
          </w:p>
        </w:tc>
        <w:tc>
          <w:tcPr>
            <w:tcW w:w="1724" w:type="dxa"/>
            <w:vAlign w:val="center"/>
          </w:tcPr>
          <w:p w:rsidR="000E4297" w:rsidRDefault="00D42FA1">
            <w:pPr>
              <w:jc w:val="right"/>
            </w:pPr>
            <w:r>
              <w:rPr>
                <w:color w:val="000000"/>
                <w:sz w:val="24"/>
                <w:szCs w:val="24"/>
              </w:rPr>
              <w:t>6.84</w:t>
            </w:r>
          </w:p>
        </w:tc>
        <w:tc>
          <w:tcPr>
            <w:tcW w:w="1424" w:type="dxa"/>
            <w:vAlign w:val="center"/>
          </w:tcPr>
          <w:p w:rsidR="000E4297" w:rsidRDefault="00D42FA1">
            <w:pPr>
              <w:jc w:val="right"/>
            </w:pPr>
            <w:r>
              <w:rPr>
                <w:color w:val="000000"/>
                <w:sz w:val="24"/>
                <w:szCs w:val="24"/>
              </w:rPr>
              <w:t>重大事项</w:t>
            </w:r>
          </w:p>
        </w:tc>
      </w:tr>
      <w:tr w:rsidR="000E4297">
        <w:trPr>
          <w:jc w:val="center"/>
        </w:trPr>
        <w:tc>
          <w:tcPr>
            <w:tcW w:w="1129" w:type="dxa"/>
            <w:vAlign w:val="center"/>
          </w:tcPr>
          <w:p w:rsidR="000E4297" w:rsidRDefault="00D42FA1">
            <w:pPr>
              <w:jc w:val="center"/>
            </w:pPr>
            <w:r>
              <w:rPr>
                <w:color w:val="000000"/>
                <w:sz w:val="24"/>
                <w:szCs w:val="24"/>
              </w:rPr>
              <w:t>2</w:t>
            </w:r>
          </w:p>
        </w:tc>
        <w:tc>
          <w:tcPr>
            <w:tcW w:w="1356" w:type="dxa"/>
            <w:vAlign w:val="center"/>
          </w:tcPr>
          <w:p w:rsidR="000E4297" w:rsidRDefault="00D42FA1">
            <w:pPr>
              <w:jc w:val="center"/>
            </w:pPr>
            <w:r>
              <w:rPr>
                <w:color w:val="000000"/>
                <w:sz w:val="24"/>
                <w:szCs w:val="24"/>
              </w:rPr>
              <w:t>600967</w:t>
            </w:r>
          </w:p>
        </w:tc>
        <w:tc>
          <w:tcPr>
            <w:tcW w:w="1355" w:type="dxa"/>
            <w:vAlign w:val="center"/>
          </w:tcPr>
          <w:p w:rsidR="000E4297" w:rsidRDefault="00D42FA1">
            <w:pPr>
              <w:jc w:val="center"/>
            </w:pPr>
            <w:r>
              <w:rPr>
                <w:color w:val="000000"/>
                <w:sz w:val="24"/>
                <w:szCs w:val="24"/>
              </w:rPr>
              <w:t>北方创业</w:t>
            </w:r>
          </w:p>
        </w:tc>
        <w:tc>
          <w:tcPr>
            <w:tcW w:w="1880" w:type="dxa"/>
            <w:vAlign w:val="center"/>
          </w:tcPr>
          <w:p w:rsidR="000E4297" w:rsidRDefault="00D42FA1">
            <w:pPr>
              <w:jc w:val="right"/>
            </w:pPr>
            <w:r>
              <w:rPr>
                <w:color w:val="000000"/>
                <w:sz w:val="24"/>
                <w:szCs w:val="24"/>
              </w:rPr>
              <w:t>76,015,510.58</w:t>
            </w:r>
          </w:p>
        </w:tc>
        <w:tc>
          <w:tcPr>
            <w:tcW w:w="1724" w:type="dxa"/>
            <w:vAlign w:val="center"/>
          </w:tcPr>
          <w:p w:rsidR="000E4297" w:rsidRDefault="00D42FA1">
            <w:pPr>
              <w:jc w:val="right"/>
            </w:pPr>
            <w:r>
              <w:rPr>
                <w:color w:val="000000"/>
                <w:sz w:val="24"/>
                <w:szCs w:val="24"/>
              </w:rPr>
              <w:t>4.49</w:t>
            </w:r>
          </w:p>
        </w:tc>
        <w:tc>
          <w:tcPr>
            <w:tcW w:w="1424" w:type="dxa"/>
            <w:vAlign w:val="center"/>
          </w:tcPr>
          <w:p w:rsidR="000E4297" w:rsidRDefault="00D42FA1">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466,181,899.82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560,205,424.39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200,454,619.62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825,932,704.59</w:t>
            </w:r>
          </w:p>
        </w:tc>
      </w:tr>
    </w:tbl>
    <w:p w:rsidR="000E4297" w:rsidRDefault="00D42FA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6E6726">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0E4297" w:rsidRDefault="00D42FA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、中国证监会核准交银施罗德先锋股票证券投资基金募集的文件；</w:t>
      </w:r>
    </w:p>
    <w:p w:rsidR="000E4297" w:rsidRDefault="00D42FA1">
      <w:pPr>
        <w:spacing w:before="29" w:line="288" w:lineRule="auto"/>
        <w:ind w:firstLineChars="200" w:firstLine="480"/>
        <w:rPr>
          <w:color w:val="000000"/>
          <w:sz w:val="24"/>
          <w:szCs w:val="24"/>
        </w:rPr>
      </w:pPr>
      <w:r>
        <w:rPr>
          <w:color w:val="000000"/>
          <w:sz w:val="24"/>
          <w:szCs w:val="24"/>
        </w:rPr>
        <w:lastRenderedPageBreak/>
        <w:t>2</w:t>
      </w:r>
      <w:r>
        <w:rPr>
          <w:color w:val="000000"/>
          <w:sz w:val="24"/>
          <w:szCs w:val="24"/>
        </w:rPr>
        <w:t>、《交银施罗德先锋股票证券投资基金基金合同》；</w:t>
      </w:r>
    </w:p>
    <w:p w:rsidR="000E4297" w:rsidRDefault="00D42FA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、《交银施罗德先锋股票证券投资基金招募说明书》；</w:t>
      </w:r>
    </w:p>
    <w:p w:rsidR="000E4297" w:rsidRDefault="00D42FA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、《交银施罗德先锋股票证券投资基金托管协议》；</w:t>
      </w:r>
    </w:p>
    <w:p w:rsidR="000E4297" w:rsidRDefault="00D42FA1">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0E4297" w:rsidRDefault="00D42FA1">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0E4297" w:rsidRDefault="00D42FA1">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、关于申请募集交银施罗德先锋股票证券投资基金之法律意见书；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、报告期内交银施罗德先锋股票证券投资基金在指定报刊上各项公告的原稿。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0E4297" w:rsidRDefault="00D42FA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77E" w:rsidRDefault="005E077E" w:rsidP="00876D65">
      <w:r>
        <w:separator/>
      </w:r>
    </w:p>
  </w:endnote>
  <w:endnote w:type="continuationSeparator" w:id="0">
    <w:p w:rsidR="005E077E" w:rsidRDefault="005E077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821235">
      <w:rPr>
        <w:kern w:val="0"/>
        <w:szCs w:val="21"/>
      </w:rPr>
      <w:fldChar w:fldCharType="begin"/>
    </w:r>
    <w:r>
      <w:rPr>
        <w:kern w:val="0"/>
        <w:szCs w:val="21"/>
      </w:rPr>
      <w:instrText xml:space="preserve"> PAGE </w:instrText>
    </w:r>
    <w:r w:rsidR="00821235">
      <w:rPr>
        <w:kern w:val="0"/>
        <w:szCs w:val="21"/>
      </w:rPr>
      <w:fldChar w:fldCharType="separate"/>
    </w:r>
    <w:r w:rsidR="0055661C">
      <w:rPr>
        <w:noProof/>
        <w:kern w:val="0"/>
        <w:szCs w:val="21"/>
      </w:rPr>
      <w:t>5</w:t>
    </w:r>
    <w:r w:rsidR="00821235">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821235">
      <w:rPr>
        <w:kern w:val="0"/>
        <w:szCs w:val="21"/>
      </w:rPr>
      <w:fldChar w:fldCharType="begin"/>
    </w:r>
    <w:r>
      <w:rPr>
        <w:kern w:val="0"/>
        <w:szCs w:val="21"/>
      </w:rPr>
      <w:instrText xml:space="preserve"> NUMPAGES </w:instrText>
    </w:r>
    <w:r w:rsidR="00821235">
      <w:rPr>
        <w:kern w:val="0"/>
        <w:szCs w:val="21"/>
      </w:rPr>
      <w:fldChar w:fldCharType="separate"/>
    </w:r>
    <w:r w:rsidR="0055661C">
      <w:rPr>
        <w:noProof/>
        <w:kern w:val="0"/>
        <w:szCs w:val="21"/>
      </w:rPr>
      <w:t>11</w:t>
    </w:r>
    <w:r w:rsidR="00821235">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77E" w:rsidRDefault="005E077E" w:rsidP="00876D65">
      <w:r>
        <w:separator/>
      </w:r>
    </w:p>
  </w:footnote>
  <w:footnote w:type="continuationSeparator" w:id="0">
    <w:p w:rsidR="005E077E" w:rsidRDefault="005E077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4297"/>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15A2"/>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5661C"/>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077E"/>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17A75"/>
    <w:rsid w:val="00C21520"/>
    <w:rsid w:val="00C222B2"/>
    <w:rsid w:val="00C225FB"/>
    <w:rsid w:val="00C23547"/>
    <w:rsid w:val="00C2499B"/>
    <w:rsid w:val="00C34432"/>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2FA1"/>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8607CB-F181-432B-AC86-A8473F08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75732-F045-4AED-9A10-956F57A30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Pages>
  <Words>984</Words>
  <Characters>5615</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562</cp:revision>
  <dcterms:created xsi:type="dcterms:W3CDTF">2012-10-16T06:07:00Z</dcterms:created>
  <dcterms:modified xsi:type="dcterms:W3CDTF">2015-07-15T06:46:00Z</dcterms:modified>
</cp:coreProperties>
</file>