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交银施罗德成长股票证券投资基金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二〇一五年七月十八日</w:t>
      </w:r>
    </w:p>
    <w:p w:rsidR="004061AC" w:rsidRPr="00414345" w:rsidRDefault="004061AC" w:rsidP="006E672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033C2" w:rsidRDefault="00B0324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033C2" w:rsidRDefault="00B03245">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033C2" w:rsidRDefault="00B0324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033C2" w:rsidRDefault="00B0324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033C2" w:rsidRDefault="00B0324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10</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893,718,790.91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本基金属于成长型股票基金，主要通过投资于经过严格的品质筛选且具有良好成长性的上市公司的股票，在适度控制风险并保持基金资产良好流动性的前提下，为基金份额持有人谋求长期、稳定的资本增值。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富时中国国债指数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本基金是一只股票型基金，以具有良好成长性的公司为主要投资对象，追求超额收益，属于证券投资基金中较高预期收益和较高风险的品种。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84613" w:rsidRPr="00414345" w:rsidTr="00B8461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B84613" w:rsidRPr="00414345" w:rsidTr="00B8461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1,657,152,524.94</w:t>
            </w:r>
          </w:p>
        </w:tc>
      </w:tr>
      <w:tr w:rsidR="00B84613" w:rsidRPr="00414345" w:rsidTr="00B8461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1,296,593,000.91</w:t>
            </w:r>
          </w:p>
        </w:tc>
      </w:tr>
      <w:tr w:rsidR="00B84613" w:rsidRPr="00414345" w:rsidTr="00B8461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1.2110</w:t>
            </w:r>
          </w:p>
        </w:tc>
      </w:tr>
      <w:tr w:rsidR="00B84613" w:rsidRPr="00414345" w:rsidTr="00B8461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4,886,014,831.87</w:t>
            </w:r>
          </w:p>
        </w:tc>
      </w:tr>
      <w:tr w:rsidR="00B84613" w:rsidRPr="00414345" w:rsidTr="00B8461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5.4671</w:t>
            </w:r>
          </w:p>
        </w:tc>
      </w:tr>
    </w:tbl>
    <w:p w:rsidR="00A033C2" w:rsidRDefault="00B0324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033C2">
        <w:trPr>
          <w:jc w:val="center"/>
        </w:trPr>
        <w:tc>
          <w:tcPr>
            <w:tcW w:w="1701" w:type="dxa"/>
            <w:vAlign w:val="center"/>
          </w:tcPr>
          <w:p w:rsidR="00A033C2" w:rsidRDefault="00B03245">
            <w:pPr>
              <w:jc w:val="left"/>
            </w:pPr>
            <w:r>
              <w:rPr>
                <w:color w:val="000000"/>
                <w:sz w:val="24"/>
                <w:szCs w:val="24"/>
              </w:rPr>
              <w:t>过去三个月</w:t>
            </w:r>
          </w:p>
        </w:tc>
        <w:tc>
          <w:tcPr>
            <w:tcW w:w="1045" w:type="dxa"/>
            <w:vAlign w:val="center"/>
          </w:tcPr>
          <w:p w:rsidR="00A033C2" w:rsidRDefault="00B03245">
            <w:pPr>
              <w:jc w:val="center"/>
            </w:pPr>
            <w:r>
              <w:rPr>
                <w:color w:val="000000"/>
                <w:sz w:val="24"/>
                <w:szCs w:val="24"/>
              </w:rPr>
              <w:t>22.54%</w:t>
            </w:r>
          </w:p>
        </w:tc>
        <w:tc>
          <w:tcPr>
            <w:tcW w:w="1344" w:type="dxa"/>
            <w:vAlign w:val="center"/>
          </w:tcPr>
          <w:p w:rsidR="00A033C2" w:rsidRDefault="00B03245">
            <w:pPr>
              <w:jc w:val="center"/>
            </w:pPr>
            <w:r>
              <w:rPr>
                <w:color w:val="000000"/>
                <w:sz w:val="24"/>
                <w:szCs w:val="24"/>
              </w:rPr>
              <w:t>3.05%</w:t>
            </w:r>
          </w:p>
        </w:tc>
        <w:tc>
          <w:tcPr>
            <w:tcW w:w="1194" w:type="dxa"/>
            <w:vAlign w:val="center"/>
          </w:tcPr>
          <w:p w:rsidR="00A033C2" w:rsidRDefault="00B03245">
            <w:pPr>
              <w:jc w:val="center"/>
            </w:pPr>
            <w:r>
              <w:rPr>
                <w:color w:val="000000"/>
                <w:sz w:val="24"/>
                <w:szCs w:val="24"/>
              </w:rPr>
              <w:t>9.10%</w:t>
            </w:r>
          </w:p>
        </w:tc>
        <w:tc>
          <w:tcPr>
            <w:tcW w:w="1492" w:type="dxa"/>
            <w:vAlign w:val="center"/>
          </w:tcPr>
          <w:p w:rsidR="00A033C2" w:rsidRDefault="00B03245">
            <w:pPr>
              <w:jc w:val="center"/>
            </w:pPr>
            <w:r>
              <w:rPr>
                <w:color w:val="000000"/>
                <w:sz w:val="24"/>
                <w:szCs w:val="24"/>
              </w:rPr>
              <w:t>2.05%</w:t>
            </w:r>
          </w:p>
        </w:tc>
        <w:tc>
          <w:tcPr>
            <w:tcW w:w="1194" w:type="dxa"/>
            <w:vAlign w:val="center"/>
          </w:tcPr>
          <w:p w:rsidR="00A033C2" w:rsidRDefault="00B03245">
            <w:pPr>
              <w:jc w:val="center"/>
            </w:pPr>
            <w:r>
              <w:rPr>
                <w:color w:val="000000"/>
                <w:sz w:val="24"/>
                <w:szCs w:val="24"/>
              </w:rPr>
              <w:t>13.44%</w:t>
            </w:r>
          </w:p>
        </w:tc>
        <w:tc>
          <w:tcPr>
            <w:tcW w:w="898" w:type="dxa"/>
            <w:vAlign w:val="center"/>
          </w:tcPr>
          <w:p w:rsidR="00A033C2" w:rsidRDefault="00B03245">
            <w:pPr>
              <w:jc w:val="center"/>
            </w:pPr>
            <w:r>
              <w:rPr>
                <w:color w:val="000000"/>
                <w:sz w:val="24"/>
                <w:szCs w:val="24"/>
              </w:rPr>
              <w:t>1.00%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033C2">
        <w:trPr>
          <w:jc w:val="center"/>
        </w:trPr>
        <w:tc>
          <w:tcPr>
            <w:tcW w:w="846" w:type="dxa"/>
            <w:vAlign w:val="center"/>
          </w:tcPr>
          <w:p w:rsidR="00A033C2" w:rsidRDefault="00B03245">
            <w:pPr>
              <w:jc w:val="center"/>
            </w:pPr>
            <w:r>
              <w:rPr>
                <w:color w:val="000000"/>
                <w:sz w:val="24"/>
                <w:szCs w:val="24"/>
              </w:rPr>
              <w:t>王少成</w:t>
            </w:r>
          </w:p>
        </w:tc>
        <w:tc>
          <w:tcPr>
            <w:tcW w:w="845" w:type="dxa"/>
            <w:vAlign w:val="center"/>
          </w:tcPr>
          <w:p w:rsidR="00A033C2" w:rsidRDefault="00B03245" w:rsidP="00B84613">
            <w:pPr>
              <w:jc w:val="center"/>
            </w:pPr>
            <w:r>
              <w:rPr>
                <w:color w:val="000000"/>
                <w:sz w:val="24"/>
                <w:szCs w:val="24"/>
              </w:rPr>
              <w:t>本基金、交银先锋股票、交银先进制造股票、交银成长</w:t>
            </w:r>
            <w:r>
              <w:rPr>
                <w:color w:val="000000"/>
                <w:sz w:val="24"/>
                <w:szCs w:val="24"/>
              </w:rPr>
              <w:t>30</w:t>
            </w:r>
            <w:r>
              <w:rPr>
                <w:color w:val="000000"/>
                <w:sz w:val="24"/>
                <w:szCs w:val="24"/>
              </w:rPr>
              <w:t>股票的基金经</w:t>
            </w:r>
            <w:r>
              <w:rPr>
                <w:color w:val="000000"/>
                <w:sz w:val="24"/>
                <w:szCs w:val="24"/>
              </w:rPr>
              <w:lastRenderedPageBreak/>
              <w:t>理</w:t>
            </w:r>
            <w:r w:rsidR="004D57E7">
              <w:rPr>
                <w:rFonts w:hint="eastAsia"/>
                <w:color w:val="000000"/>
                <w:sz w:val="24"/>
                <w:szCs w:val="24"/>
              </w:rPr>
              <w:t>，</w:t>
            </w:r>
            <w:r w:rsidR="00B84613" w:rsidRPr="00B84613">
              <w:rPr>
                <w:rFonts w:hint="eastAsia"/>
                <w:color w:val="000000"/>
                <w:kern w:val="0"/>
                <w:sz w:val="24"/>
                <w:szCs w:val="24"/>
              </w:rPr>
              <w:t>公司</w:t>
            </w:r>
            <w:r w:rsidR="00B84613" w:rsidRPr="00E25D49">
              <w:rPr>
                <w:rStyle w:val="afb"/>
                <w:rFonts w:asciiTheme="minorHAnsi" w:eastAsiaTheme="minorEastAsia" w:hint="eastAsia"/>
                <w:b w:val="0"/>
                <w:color w:val="000000"/>
                <w:kern w:val="0"/>
                <w:sz w:val="24"/>
                <w:szCs w:val="24"/>
              </w:rPr>
              <w:t>权益投资总监</w:t>
            </w:r>
          </w:p>
        </w:tc>
        <w:tc>
          <w:tcPr>
            <w:tcW w:w="1549" w:type="dxa"/>
            <w:vAlign w:val="center"/>
          </w:tcPr>
          <w:p w:rsidR="00A033C2" w:rsidRDefault="00B03245">
            <w:pPr>
              <w:jc w:val="center"/>
            </w:pPr>
            <w:r>
              <w:rPr>
                <w:color w:val="000000"/>
                <w:sz w:val="24"/>
                <w:szCs w:val="24"/>
              </w:rPr>
              <w:lastRenderedPageBreak/>
              <w:t>2015-03-24</w:t>
            </w:r>
          </w:p>
        </w:tc>
        <w:tc>
          <w:tcPr>
            <w:tcW w:w="1548" w:type="dxa"/>
            <w:vAlign w:val="center"/>
          </w:tcPr>
          <w:p w:rsidR="00A033C2" w:rsidRDefault="00B03245">
            <w:pPr>
              <w:jc w:val="center"/>
            </w:pPr>
            <w:r>
              <w:rPr>
                <w:color w:val="000000"/>
                <w:sz w:val="24"/>
                <w:szCs w:val="24"/>
              </w:rPr>
              <w:t>-</w:t>
            </w:r>
          </w:p>
        </w:tc>
        <w:tc>
          <w:tcPr>
            <w:tcW w:w="1407" w:type="dxa"/>
            <w:vAlign w:val="center"/>
          </w:tcPr>
          <w:p w:rsidR="00A033C2" w:rsidRDefault="00B03245">
            <w:pPr>
              <w:jc w:val="center"/>
            </w:pPr>
            <w:r>
              <w:rPr>
                <w:color w:val="000000"/>
                <w:sz w:val="24"/>
                <w:szCs w:val="24"/>
              </w:rPr>
              <w:t>11</w:t>
            </w:r>
            <w:r>
              <w:rPr>
                <w:color w:val="000000"/>
                <w:sz w:val="24"/>
                <w:szCs w:val="24"/>
              </w:rPr>
              <w:t>年</w:t>
            </w:r>
          </w:p>
        </w:tc>
        <w:tc>
          <w:tcPr>
            <w:tcW w:w="2673" w:type="dxa"/>
            <w:vAlign w:val="center"/>
          </w:tcPr>
          <w:p w:rsidR="00A033C2" w:rsidRDefault="00B03245">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w:t>
            </w:r>
            <w:r>
              <w:rPr>
                <w:color w:val="000000"/>
                <w:sz w:val="24"/>
                <w:szCs w:val="24"/>
              </w:rPr>
              <w:lastRenderedPageBreak/>
              <w:t>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w:t>
            </w:r>
            <w:r w:rsidR="00B84613">
              <w:rPr>
                <w:color w:val="000000"/>
                <w:sz w:val="24"/>
                <w:szCs w:val="24"/>
              </w:rPr>
              <w:t>，</w:t>
            </w:r>
            <w:r w:rsidR="00B84613">
              <w:rPr>
                <w:rFonts w:hint="eastAsia"/>
                <w:color w:val="000000"/>
                <w:sz w:val="24"/>
                <w:szCs w:val="24"/>
              </w:rPr>
              <w:t>历任</w:t>
            </w:r>
            <w:r w:rsidR="00B84613">
              <w:rPr>
                <w:color w:val="000000"/>
                <w:sz w:val="24"/>
                <w:szCs w:val="24"/>
              </w:rPr>
              <w:t>公司权益部副总经理</w:t>
            </w:r>
            <w:r>
              <w:rPr>
                <w:color w:val="000000"/>
                <w:sz w:val="24"/>
                <w:szCs w:val="24"/>
              </w:rPr>
              <w:t>。</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033C2" w:rsidRDefault="00B0324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033C2" w:rsidRDefault="00B0324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033C2" w:rsidRDefault="00B0324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w:t>
      </w:r>
      <w:r w:rsidRPr="00414345">
        <w:rPr>
          <w:color w:val="000000"/>
          <w:sz w:val="24"/>
          <w:szCs w:val="24"/>
        </w:rPr>
        <w:lastRenderedPageBreak/>
        <w:t>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033C2" w:rsidRDefault="00B03245">
      <w:pPr>
        <w:spacing w:before="29" w:line="288" w:lineRule="auto"/>
        <w:ind w:firstLineChars="200" w:firstLine="480"/>
        <w:rPr>
          <w:color w:val="000000"/>
          <w:sz w:val="24"/>
          <w:szCs w:val="24"/>
        </w:rPr>
      </w:pPr>
      <w:r>
        <w:rPr>
          <w:color w:val="000000"/>
          <w:sz w:val="24"/>
          <w:szCs w:val="24"/>
        </w:rPr>
        <w:t>二季度</w:t>
      </w:r>
      <w:r>
        <w:rPr>
          <w:color w:val="000000"/>
          <w:sz w:val="24"/>
          <w:szCs w:val="24"/>
        </w:rPr>
        <w:t>A</w:t>
      </w:r>
      <w:r>
        <w:rPr>
          <w:color w:val="000000"/>
          <w:sz w:val="24"/>
          <w:szCs w:val="24"/>
        </w:rPr>
        <w:t>股市场经历了过山车行情。随着监管部门对场外配资的清理，增量资金流入放缓，市场出现持续的波动，最终引发剧烈的去杠杆负反馈，导致市场快速放量下跌。政府的及时出手，表明了严控系统性风险扩散的政策底线。但去杠杆负反馈的力量巨大，犹如正在塌陷的沙堆，外部强力的干预是否能奏效，不仅取决于力道更取决于时机。</w:t>
      </w:r>
    </w:p>
    <w:p w:rsidR="00A033C2" w:rsidRDefault="00B03245">
      <w:pPr>
        <w:spacing w:before="29" w:line="288" w:lineRule="auto"/>
        <w:ind w:firstLineChars="200" w:firstLine="480"/>
        <w:rPr>
          <w:color w:val="000000"/>
          <w:sz w:val="24"/>
          <w:szCs w:val="24"/>
        </w:rPr>
      </w:pPr>
      <w:r>
        <w:rPr>
          <w:color w:val="000000"/>
          <w:sz w:val="24"/>
          <w:szCs w:val="24"/>
        </w:rPr>
        <w:t>本基金二季度的仓位和持仓结构较一季度有明显的调整。为了应对二季度高度波动的Ａ股市场，本基金主要通过适度降低仓位，逐步调整了持仓结构，减持前期涨幅较大的部分互联网金融个股，增持了国企改革相关标的。</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展望下半年，我们认为</w:t>
      </w:r>
      <w:r w:rsidRPr="00414345">
        <w:rPr>
          <w:color w:val="000000"/>
          <w:sz w:val="24"/>
          <w:szCs w:val="24"/>
        </w:rPr>
        <w:t>A</w:t>
      </w:r>
      <w:r w:rsidRPr="00414345">
        <w:rPr>
          <w:color w:val="000000"/>
          <w:sz w:val="24"/>
          <w:szCs w:val="24"/>
        </w:rPr>
        <w:t>股的收益率预计依然可期。在化解这次阶段性危机后，相信市场特征会从前期的资金驱动向基本面驱动转变，真正具有基本面支撑的板块和个股可能会更受青睐。互联网转型和国企改革是当下广泛共识的浪潮，能把握住时代机遇的上市公司会持续地受到追捧，成为稀缺的投资品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B03245">
      <w:pPr>
        <w:spacing w:before="29" w:line="288" w:lineRule="auto"/>
        <w:ind w:firstLineChars="200" w:firstLine="480"/>
        <w:rPr>
          <w:color w:val="000000"/>
          <w:sz w:val="24"/>
          <w:szCs w:val="24"/>
        </w:rPr>
      </w:pPr>
      <w:r>
        <w:rPr>
          <w:color w:val="000000"/>
          <w:sz w:val="24"/>
          <w:szCs w:val="24"/>
        </w:rPr>
        <w:t>截至</w:t>
      </w:r>
      <w:r>
        <w:rPr>
          <w:color w:val="000000"/>
          <w:sz w:val="24"/>
          <w:szCs w:val="24"/>
        </w:rPr>
        <w:t>2015</w:t>
      </w:r>
      <w:r>
        <w:rPr>
          <w:color w:val="000000"/>
          <w:sz w:val="24"/>
          <w:szCs w:val="24"/>
        </w:rPr>
        <w:t>年</w:t>
      </w:r>
      <w:r>
        <w:rPr>
          <w:color w:val="000000"/>
          <w:sz w:val="24"/>
          <w:szCs w:val="24"/>
        </w:rPr>
        <w:t>6</w:t>
      </w:r>
      <w:r>
        <w:rPr>
          <w:color w:val="000000"/>
          <w:sz w:val="24"/>
          <w:szCs w:val="24"/>
        </w:rPr>
        <w:t>月</w:t>
      </w:r>
      <w:r>
        <w:rPr>
          <w:color w:val="000000"/>
          <w:sz w:val="24"/>
          <w:szCs w:val="24"/>
        </w:rPr>
        <w:t>30</w:t>
      </w:r>
      <w:r>
        <w:rPr>
          <w:color w:val="000000"/>
          <w:sz w:val="24"/>
          <w:szCs w:val="24"/>
        </w:rPr>
        <w:t>日，本基金份额净值为</w:t>
      </w:r>
      <w:r>
        <w:rPr>
          <w:color w:val="000000"/>
          <w:sz w:val="24"/>
          <w:szCs w:val="24"/>
        </w:rPr>
        <w:t>5.4671</w:t>
      </w:r>
      <w:r>
        <w:rPr>
          <w:color w:val="000000"/>
          <w:sz w:val="24"/>
          <w:szCs w:val="24"/>
        </w:rPr>
        <w:t>元，本报告期份额净值增长率为</w:t>
      </w:r>
      <w:r>
        <w:rPr>
          <w:color w:val="000000"/>
          <w:sz w:val="24"/>
          <w:szCs w:val="24"/>
        </w:rPr>
        <w:t>22.54%</w:t>
      </w:r>
      <w:r>
        <w:rPr>
          <w:color w:val="000000"/>
          <w:sz w:val="24"/>
          <w:szCs w:val="24"/>
        </w:rPr>
        <w:t>，同期业绩比较基准增长率</w:t>
      </w:r>
      <w:r>
        <w:rPr>
          <w:color w:val="000000"/>
          <w:sz w:val="24"/>
          <w:szCs w:val="24"/>
        </w:rPr>
        <w:t>9.10%</w:t>
      </w:r>
      <w:r w:rsidR="004061AC"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4,305,263,263.55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83.83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4,305,263,263.55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83.83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5,505,795.90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0.11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5,505,795.90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0.11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149,775,274.89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2.92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664,185,390.30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12.93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10,738,455.17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5,135,468,179.81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54,429,213.80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2,332,223,012.47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111,853,271.60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145,910,068.33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346,897,961.50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727,933,871.46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105,016,917.80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107,446,106.40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305,773,421.69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67,779,418.50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4,305,263,263.55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88.11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033C2">
        <w:trPr>
          <w:jc w:val="center"/>
        </w:trPr>
        <w:tc>
          <w:tcPr>
            <w:tcW w:w="855" w:type="dxa"/>
            <w:vAlign w:val="center"/>
          </w:tcPr>
          <w:p w:rsidR="00A033C2" w:rsidRDefault="00B03245">
            <w:pPr>
              <w:jc w:val="center"/>
            </w:pPr>
            <w:r>
              <w:rPr>
                <w:color w:val="000000"/>
                <w:sz w:val="24"/>
                <w:szCs w:val="24"/>
              </w:rPr>
              <w:t>1</w:t>
            </w:r>
          </w:p>
        </w:tc>
        <w:tc>
          <w:tcPr>
            <w:tcW w:w="1334" w:type="dxa"/>
            <w:vAlign w:val="center"/>
          </w:tcPr>
          <w:p w:rsidR="00A033C2" w:rsidRDefault="00B03245">
            <w:pPr>
              <w:jc w:val="center"/>
            </w:pPr>
            <w:r>
              <w:rPr>
                <w:color w:val="000000"/>
                <w:sz w:val="24"/>
                <w:szCs w:val="24"/>
              </w:rPr>
              <w:t>002180</w:t>
            </w:r>
          </w:p>
        </w:tc>
        <w:tc>
          <w:tcPr>
            <w:tcW w:w="1777" w:type="dxa"/>
            <w:vAlign w:val="center"/>
          </w:tcPr>
          <w:p w:rsidR="00A033C2" w:rsidRDefault="00B03245">
            <w:pPr>
              <w:jc w:val="center"/>
            </w:pPr>
            <w:r>
              <w:rPr>
                <w:color w:val="000000"/>
                <w:sz w:val="24"/>
                <w:szCs w:val="24"/>
              </w:rPr>
              <w:t>艾派克</w:t>
            </w:r>
          </w:p>
        </w:tc>
        <w:tc>
          <w:tcPr>
            <w:tcW w:w="1334" w:type="dxa"/>
            <w:vAlign w:val="center"/>
          </w:tcPr>
          <w:p w:rsidR="00A033C2" w:rsidRDefault="00B03245">
            <w:pPr>
              <w:jc w:val="right"/>
            </w:pPr>
            <w:r>
              <w:rPr>
                <w:color w:val="000000"/>
                <w:sz w:val="24"/>
                <w:szCs w:val="24"/>
              </w:rPr>
              <w:t>9,324,164</w:t>
            </w:r>
          </w:p>
        </w:tc>
        <w:tc>
          <w:tcPr>
            <w:tcW w:w="1924" w:type="dxa"/>
            <w:vAlign w:val="center"/>
          </w:tcPr>
          <w:p w:rsidR="00A033C2" w:rsidRDefault="00B03245">
            <w:pPr>
              <w:jc w:val="right"/>
            </w:pPr>
            <w:r>
              <w:rPr>
                <w:color w:val="000000"/>
                <w:sz w:val="24"/>
                <w:szCs w:val="24"/>
              </w:rPr>
              <w:t>410,263,216.00</w:t>
            </w:r>
          </w:p>
        </w:tc>
        <w:tc>
          <w:tcPr>
            <w:tcW w:w="1644" w:type="dxa"/>
            <w:vAlign w:val="center"/>
          </w:tcPr>
          <w:p w:rsidR="00A033C2" w:rsidRDefault="00B03245">
            <w:pPr>
              <w:jc w:val="right"/>
            </w:pPr>
            <w:r>
              <w:rPr>
                <w:color w:val="000000"/>
                <w:sz w:val="24"/>
                <w:szCs w:val="24"/>
              </w:rPr>
              <w:t>8.40</w:t>
            </w:r>
          </w:p>
        </w:tc>
      </w:tr>
      <w:tr w:rsidR="00A033C2">
        <w:trPr>
          <w:jc w:val="center"/>
        </w:trPr>
        <w:tc>
          <w:tcPr>
            <w:tcW w:w="855" w:type="dxa"/>
            <w:vAlign w:val="center"/>
          </w:tcPr>
          <w:p w:rsidR="00A033C2" w:rsidRDefault="00B03245">
            <w:pPr>
              <w:jc w:val="center"/>
            </w:pPr>
            <w:r>
              <w:rPr>
                <w:color w:val="000000"/>
                <w:sz w:val="24"/>
                <w:szCs w:val="24"/>
              </w:rPr>
              <w:t>2</w:t>
            </w:r>
          </w:p>
        </w:tc>
        <w:tc>
          <w:tcPr>
            <w:tcW w:w="1334" w:type="dxa"/>
            <w:vAlign w:val="center"/>
          </w:tcPr>
          <w:p w:rsidR="00A033C2" w:rsidRDefault="00B03245">
            <w:pPr>
              <w:jc w:val="center"/>
            </w:pPr>
            <w:r>
              <w:rPr>
                <w:color w:val="000000"/>
                <w:sz w:val="24"/>
                <w:szCs w:val="24"/>
              </w:rPr>
              <w:t>600389</w:t>
            </w:r>
          </w:p>
        </w:tc>
        <w:tc>
          <w:tcPr>
            <w:tcW w:w="1777" w:type="dxa"/>
            <w:vAlign w:val="center"/>
          </w:tcPr>
          <w:p w:rsidR="00A033C2" w:rsidRDefault="00B03245">
            <w:pPr>
              <w:jc w:val="center"/>
            </w:pPr>
            <w:r>
              <w:rPr>
                <w:color w:val="000000"/>
                <w:sz w:val="24"/>
                <w:szCs w:val="24"/>
              </w:rPr>
              <w:t>江山股份</w:t>
            </w:r>
          </w:p>
        </w:tc>
        <w:tc>
          <w:tcPr>
            <w:tcW w:w="1334" w:type="dxa"/>
            <w:vAlign w:val="center"/>
          </w:tcPr>
          <w:p w:rsidR="00A033C2" w:rsidRDefault="00B03245">
            <w:pPr>
              <w:jc w:val="right"/>
            </w:pPr>
            <w:r>
              <w:rPr>
                <w:color w:val="000000"/>
                <w:sz w:val="24"/>
                <w:szCs w:val="24"/>
              </w:rPr>
              <w:t>9,237,546</w:t>
            </w:r>
          </w:p>
        </w:tc>
        <w:tc>
          <w:tcPr>
            <w:tcW w:w="1924" w:type="dxa"/>
            <w:vAlign w:val="center"/>
          </w:tcPr>
          <w:p w:rsidR="00A033C2" w:rsidRDefault="00B03245">
            <w:pPr>
              <w:jc w:val="right"/>
            </w:pPr>
            <w:r>
              <w:rPr>
                <w:color w:val="000000"/>
                <w:sz w:val="24"/>
                <w:szCs w:val="24"/>
              </w:rPr>
              <w:t>288,580,937.04</w:t>
            </w:r>
          </w:p>
        </w:tc>
        <w:tc>
          <w:tcPr>
            <w:tcW w:w="1644" w:type="dxa"/>
            <w:vAlign w:val="center"/>
          </w:tcPr>
          <w:p w:rsidR="00A033C2" w:rsidRDefault="00B03245">
            <w:pPr>
              <w:jc w:val="right"/>
            </w:pPr>
            <w:r>
              <w:rPr>
                <w:color w:val="000000"/>
                <w:sz w:val="24"/>
                <w:szCs w:val="24"/>
              </w:rPr>
              <w:t>5.91</w:t>
            </w:r>
          </w:p>
        </w:tc>
      </w:tr>
      <w:tr w:rsidR="00A033C2">
        <w:trPr>
          <w:jc w:val="center"/>
        </w:trPr>
        <w:tc>
          <w:tcPr>
            <w:tcW w:w="855" w:type="dxa"/>
            <w:vAlign w:val="center"/>
          </w:tcPr>
          <w:p w:rsidR="00A033C2" w:rsidRDefault="00B03245">
            <w:pPr>
              <w:jc w:val="center"/>
            </w:pPr>
            <w:r>
              <w:rPr>
                <w:color w:val="000000"/>
                <w:sz w:val="24"/>
                <w:szCs w:val="24"/>
              </w:rPr>
              <w:t>3</w:t>
            </w:r>
          </w:p>
        </w:tc>
        <w:tc>
          <w:tcPr>
            <w:tcW w:w="1334" w:type="dxa"/>
            <w:vAlign w:val="center"/>
          </w:tcPr>
          <w:p w:rsidR="00A033C2" w:rsidRDefault="00B03245">
            <w:pPr>
              <w:jc w:val="center"/>
            </w:pPr>
            <w:r>
              <w:rPr>
                <w:color w:val="000000"/>
                <w:sz w:val="24"/>
                <w:szCs w:val="24"/>
              </w:rPr>
              <w:t>600029</w:t>
            </w:r>
          </w:p>
        </w:tc>
        <w:tc>
          <w:tcPr>
            <w:tcW w:w="1777" w:type="dxa"/>
            <w:vAlign w:val="center"/>
          </w:tcPr>
          <w:p w:rsidR="00A033C2" w:rsidRDefault="00B03245">
            <w:pPr>
              <w:jc w:val="center"/>
            </w:pPr>
            <w:r>
              <w:rPr>
                <w:color w:val="000000"/>
                <w:sz w:val="24"/>
                <w:szCs w:val="24"/>
              </w:rPr>
              <w:t>南方航空</w:t>
            </w:r>
          </w:p>
        </w:tc>
        <w:tc>
          <w:tcPr>
            <w:tcW w:w="1334" w:type="dxa"/>
            <w:vAlign w:val="center"/>
          </w:tcPr>
          <w:p w:rsidR="00A033C2" w:rsidRDefault="00B03245">
            <w:pPr>
              <w:jc w:val="right"/>
            </w:pPr>
            <w:r>
              <w:rPr>
                <w:color w:val="000000"/>
                <w:sz w:val="24"/>
                <w:szCs w:val="24"/>
              </w:rPr>
              <w:t>16,583,492</w:t>
            </w:r>
          </w:p>
        </w:tc>
        <w:tc>
          <w:tcPr>
            <w:tcW w:w="1924" w:type="dxa"/>
            <w:vAlign w:val="center"/>
          </w:tcPr>
          <w:p w:rsidR="00A033C2" w:rsidRDefault="00B03245">
            <w:pPr>
              <w:jc w:val="right"/>
            </w:pPr>
            <w:r>
              <w:rPr>
                <w:color w:val="000000"/>
                <w:sz w:val="24"/>
                <w:szCs w:val="24"/>
              </w:rPr>
              <w:t>241,123,973.68</w:t>
            </w:r>
          </w:p>
        </w:tc>
        <w:tc>
          <w:tcPr>
            <w:tcW w:w="1644" w:type="dxa"/>
            <w:vAlign w:val="center"/>
          </w:tcPr>
          <w:p w:rsidR="00A033C2" w:rsidRDefault="00B03245">
            <w:pPr>
              <w:jc w:val="right"/>
            </w:pPr>
            <w:r>
              <w:rPr>
                <w:color w:val="000000"/>
                <w:sz w:val="24"/>
                <w:szCs w:val="24"/>
              </w:rPr>
              <w:t>4.93</w:t>
            </w:r>
          </w:p>
        </w:tc>
      </w:tr>
      <w:tr w:rsidR="00A033C2">
        <w:trPr>
          <w:jc w:val="center"/>
        </w:trPr>
        <w:tc>
          <w:tcPr>
            <w:tcW w:w="855" w:type="dxa"/>
            <w:vAlign w:val="center"/>
          </w:tcPr>
          <w:p w:rsidR="00A033C2" w:rsidRDefault="00B03245">
            <w:pPr>
              <w:jc w:val="center"/>
            </w:pPr>
            <w:r>
              <w:rPr>
                <w:color w:val="000000"/>
                <w:sz w:val="24"/>
                <w:szCs w:val="24"/>
              </w:rPr>
              <w:t>4</w:t>
            </w:r>
          </w:p>
        </w:tc>
        <w:tc>
          <w:tcPr>
            <w:tcW w:w="1334" w:type="dxa"/>
            <w:vAlign w:val="center"/>
          </w:tcPr>
          <w:p w:rsidR="00A033C2" w:rsidRDefault="00B03245">
            <w:pPr>
              <w:jc w:val="center"/>
            </w:pPr>
            <w:r>
              <w:rPr>
                <w:color w:val="000000"/>
                <w:sz w:val="24"/>
                <w:szCs w:val="24"/>
              </w:rPr>
              <w:t>600570</w:t>
            </w:r>
          </w:p>
        </w:tc>
        <w:tc>
          <w:tcPr>
            <w:tcW w:w="1777" w:type="dxa"/>
            <w:vAlign w:val="center"/>
          </w:tcPr>
          <w:p w:rsidR="00A033C2" w:rsidRDefault="00B03245">
            <w:pPr>
              <w:jc w:val="center"/>
            </w:pPr>
            <w:r>
              <w:rPr>
                <w:color w:val="000000"/>
                <w:sz w:val="24"/>
                <w:szCs w:val="24"/>
              </w:rPr>
              <w:t>恒生电子</w:t>
            </w:r>
          </w:p>
        </w:tc>
        <w:tc>
          <w:tcPr>
            <w:tcW w:w="1334" w:type="dxa"/>
            <w:vAlign w:val="center"/>
          </w:tcPr>
          <w:p w:rsidR="00A033C2" w:rsidRDefault="00B03245">
            <w:pPr>
              <w:jc w:val="right"/>
            </w:pPr>
            <w:r>
              <w:rPr>
                <w:color w:val="000000"/>
                <w:sz w:val="24"/>
                <w:szCs w:val="24"/>
              </w:rPr>
              <w:t>2,140,697</w:t>
            </w:r>
          </w:p>
        </w:tc>
        <w:tc>
          <w:tcPr>
            <w:tcW w:w="1924" w:type="dxa"/>
            <w:vAlign w:val="center"/>
          </w:tcPr>
          <w:p w:rsidR="00A033C2" w:rsidRDefault="00B03245">
            <w:pPr>
              <w:jc w:val="right"/>
            </w:pPr>
            <w:r>
              <w:rPr>
                <w:color w:val="000000"/>
                <w:sz w:val="24"/>
                <w:szCs w:val="24"/>
              </w:rPr>
              <w:t>239,865,098.85</w:t>
            </w:r>
          </w:p>
        </w:tc>
        <w:tc>
          <w:tcPr>
            <w:tcW w:w="1644" w:type="dxa"/>
            <w:vAlign w:val="center"/>
          </w:tcPr>
          <w:p w:rsidR="00A033C2" w:rsidRDefault="00B03245">
            <w:pPr>
              <w:jc w:val="right"/>
            </w:pPr>
            <w:r>
              <w:rPr>
                <w:color w:val="000000"/>
                <w:sz w:val="24"/>
                <w:szCs w:val="24"/>
              </w:rPr>
              <w:t>4.91</w:t>
            </w:r>
          </w:p>
        </w:tc>
      </w:tr>
      <w:tr w:rsidR="00A033C2">
        <w:trPr>
          <w:jc w:val="center"/>
        </w:trPr>
        <w:tc>
          <w:tcPr>
            <w:tcW w:w="855" w:type="dxa"/>
            <w:vAlign w:val="center"/>
          </w:tcPr>
          <w:p w:rsidR="00A033C2" w:rsidRDefault="00B03245">
            <w:pPr>
              <w:jc w:val="center"/>
            </w:pPr>
            <w:r>
              <w:rPr>
                <w:color w:val="000000"/>
                <w:sz w:val="24"/>
                <w:szCs w:val="24"/>
              </w:rPr>
              <w:t>5</w:t>
            </w:r>
          </w:p>
        </w:tc>
        <w:tc>
          <w:tcPr>
            <w:tcW w:w="1334" w:type="dxa"/>
            <w:vAlign w:val="center"/>
          </w:tcPr>
          <w:p w:rsidR="00A033C2" w:rsidRDefault="00B03245">
            <w:pPr>
              <w:jc w:val="center"/>
            </w:pPr>
            <w:r>
              <w:rPr>
                <w:color w:val="000000"/>
                <w:sz w:val="24"/>
                <w:szCs w:val="24"/>
              </w:rPr>
              <w:t>600500</w:t>
            </w:r>
          </w:p>
        </w:tc>
        <w:tc>
          <w:tcPr>
            <w:tcW w:w="1777" w:type="dxa"/>
            <w:vAlign w:val="center"/>
          </w:tcPr>
          <w:p w:rsidR="00A033C2" w:rsidRDefault="00B03245">
            <w:pPr>
              <w:jc w:val="center"/>
            </w:pPr>
            <w:r>
              <w:rPr>
                <w:color w:val="000000"/>
                <w:sz w:val="24"/>
                <w:szCs w:val="24"/>
              </w:rPr>
              <w:t>中化国际</w:t>
            </w:r>
          </w:p>
        </w:tc>
        <w:tc>
          <w:tcPr>
            <w:tcW w:w="1334" w:type="dxa"/>
            <w:vAlign w:val="center"/>
          </w:tcPr>
          <w:p w:rsidR="00A033C2" w:rsidRDefault="00B03245">
            <w:pPr>
              <w:jc w:val="right"/>
            </w:pPr>
            <w:r>
              <w:rPr>
                <w:color w:val="000000"/>
                <w:sz w:val="24"/>
                <w:szCs w:val="24"/>
              </w:rPr>
              <w:t>13,132,551</w:t>
            </w:r>
          </w:p>
        </w:tc>
        <w:tc>
          <w:tcPr>
            <w:tcW w:w="1924" w:type="dxa"/>
            <w:vAlign w:val="center"/>
          </w:tcPr>
          <w:p w:rsidR="00A033C2" w:rsidRDefault="00B03245">
            <w:pPr>
              <w:jc w:val="right"/>
            </w:pPr>
            <w:r>
              <w:rPr>
                <w:color w:val="000000"/>
                <w:sz w:val="24"/>
                <w:szCs w:val="24"/>
              </w:rPr>
              <w:t>229,556,991.48</w:t>
            </w:r>
          </w:p>
        </w:tc>
        <w:tc>
          <w:tcPr>
            <w:tcW w:w="1644" w:type="dxa"/>
            <w:vAlign w:val="center"/>
          </w:tcPr>
          <w:p w:rsidR="00A033C2" w:rsidRDefault="00B03245">
            <w:pPr>
              <w:jc w:val="right"/>
            </w:pPr>
            <w:r>
              <w:rPr>
                <w:color w:val="000000"/>
                <w:sz w:val="24"/>
                <w:szCs w:val="24"/>
              </w:rPr>
              <w:t>4.70</w:t>
            </w:r>
          </w:p>
        </w:tc>
      </w:tr>
      <w:tr w:rsidR="00A033C2">
        <w:trPr>
          <w:jc w:val="center"/>
        </w:trPr>
        <w:tc>
          <w:tcPr>
            <w:tcW w:w="855" w:type="dxa"/>
            <w:vAlign w:val="center"/>
          </w:tcPr>
          <w:p w:rsidR="00A033C2" w:rsidRDefault="00B03245">
            <w:pPr>
              <w:jc w:val="center"/>
            </w:pPr>
            <w:r>
              <w:rPr>
                <w:color w:val="000000"/>
                <w:sz w:val="24"/>
                <w:szCs w:val="24"/>
              </w:rPr>
              <w:t>6</w:t>
            </w:r>
          </w:p>
        </w:tc>
        <w:tc>
          <w:tcPr>
            <w:tcW w:w="1334" w:type="dxa"/>
            <w:vAlign w:val="center"/>
          </w:tcPr>
          <w:p w:rsidR="00A033C2" w:rsidRDefault="00B03245">
            <w:pPr>
              <w:jc w:val="center"/>
            </w:pPr>
            <w:r>
              <w:rPr>
                <w:color w:val="000000"/>
                <w:sz w:val="24"/>
                <w:szCs w:val="24"/>
              </w:rPr>
              <w:t>300059</w:t>
            </w:r>
          </w:p>
        </w:tc>
        <w:tc>
          <w:tcPr>
            <w:tcW w:w="1777" w:type="dxa"/>
            <w:vAlign w:val="center"/>
          </w:tcPr>
          <w:p w:rsidR="00A033C2" w:rsidRDefault="00B03245">
            <w:pPr>
              <w:jc w:val="center"/>
            </w:pPr>
            <w:r>
              <w:rPr>
                <w:color w:val="000000"/>
                <w:sz w:val="24"/>
                <w:szCs w:val="24"/>
              </w:rPr>
              <w:t>东方财富</w:t>
            </w:r>
          </w:p>
        </w:tc>
        <w:tc>
          <w:tcPr>
            <w:tcW w:w="1334" w:type="dxa"/>
            <w:vAlign w:val="center"/>
          </w:tcPr>
          <w:p w:rsidR="00A033C2" w:rsidRDefault="00B03245">
            <w:pPr>
              <w:jc w:val="right"/>
            </w:pPr>
            <w:r>
              <w:rPr>
                <w:color w:val="000000"/>
                <w:sz w:val="24"/>
                <w:szCs w:val="24"/>
              </w:rPr>
              <w:t>2,955,101</w:t>
            </w:r>
          </w:p>
        </w:tc>
        <w:tc>
          <w:tcPr>
            <w:tcW w:w="1924" w:type="dxa"/>
            <w:vAlign w:val="center"/>
          </w:tcPr>
          <w:p w:rsidR="00A033C2" w:rsidRDefault="00B03245">
            <w:pPr>
              <w:jc w:val="right"/>
            </w:pPr>
            <w:r>
              <w:rPr>
                <w:color w:val="000000"/>
                <w:sz w:val="24"/>
                <w:szCs w:val="24"/>
              </w:rPr>
              <w:t>186,437,322.09</w:t>
            </w:r>
          </w:p>
        </w:tc>
        <w:tc>
          <w:tcPr>
            <w:tcW w:w="1644" w:type="dxa"/>
            <w:vAlign w:val="center"/>
          </w:tcPr>
          <w:p w:rsidR="00A033C2" w:rsidRDefault="00B03245">
            <w:pPr>
              <w:jc w:val="right"/>
            </w:pPr>
            <w:r>
              <w:rPr>
                <w:color w:val="000000"/>
                <w:sz w:val="24"/>
                <w:szCs w:val="24"/>
              </w:rPr>
              <w:t>3.82</w:t>
            </w:r>
          </w:p>
        </w:tc>
      </w:tr>
      <w:tr w:rsidR="00A033C2">
        <w:trPr>
          <w:jc w:val="center"/>
        </w:trPr>
        <w:tc>
          <w:tcPr>
            <w:tcW w:w="855" w:type="dxa"/>
            <w:vAlign w:val="center"/>
          </w:tcPr>
          <w:p w:rsidR="00A033C2" w:rsidRDefault="00B03245">
            <w:pPr>
              <w:jc w:val="center"/>
            </w:pPr>
            <w:r>
              <w:rPr>
                <w:color w:val="000000"/>
                <w:sz w:val="24"/>
                <w:szCs w:val="24"/>
              </w:rPr>
              <w:t>7</w:t>
            </w:r>
          </w:p>
        </w:tc>
        <w:tc>
          <w:tcPr>
            <w:tcW w:w="1334" w:type="dxa"/>
            <w:vAlign w:val="center"/>
          </w:tcPr>
          <w:p w:rsidR="00A033C2" w:rsidRDefault="00B03245">
            <w:pPr>
              <w:jc w:val="center"/>
            </w:pPr>
            <w:r>
              <w:rPr>
                <w:color w:val="000000"/>
                <w:sz w:val="24"/>
                <w:szCs w:val="24"/>
              </w:rPr>
              <w:t>300347</w:t>
            </w:r>
          </w:p>
        </w:tc>
        <w:tc>
          <w:tcPr>
            <w:tcW w:w="1777" w:type="dxa"/>
            <w:vAlign w:val="center"/>
          </w:tcPr>
          <w:p w:rsidR="00A033C2" w:rsidRDefault="00B03245">
            <w:pPr>
              <w:jc w:val="center"/>
            </w:pPr>
            <w:r>
              <w:rPr>
                <w:color w:val="000000"/>
                <w:sz w:val="24"/>
                <w:szCs w:val="24"/>
              </w:rPr>
              <w:t>泰格医药</w:t>
            </w:r>
          </w:p>
        </w:tc>
        <w:tc>
          <w:tcPr>
            <w:tcW w:w="1334" w:type="dxa"/>
            <w:vAlign w:val="center"/>
          </w:tcPr>
          <w:p w:rsidR="00A033C2" w:rsidRDefault="00B03245">
            <w:pPr>
              <w:jc w:val="right"/>
            </w:pPr>
            <w:r>
              <w:rPr>
                <w:color w:val="000000"/>
                <w:sz w:val="24"/>
                <w:szCs w:val="24"/>
              </w:rPr>
              <w:t>4,896,581</w:t>
            </w:r>
          </w:p>
        </w:tc>
        <w:tc>
          <w:tcPr>
            <w:tcW w:w="1924" w:type="dxa"/>
            <w:vAlign w:val="center"/>
          </w:tcPr>
          <w:p w:rsidR="00A033C2" w:rsidRDefault="00B03245">
            <w:pPr>
              <w:jc w:val="right"/>
            </w:pPr>
            <w:r>
              <w:rPr>
                <w:color w:val="000000"/>
                <w:sz w:val="24"/>
                <w:szCs w:val="24"/>
              </w:rPr>
              <w:t>167,071,343.72</w:t>
            </w:r>
          </w:p>
        </w:tc>
        <w:tc>
          <w:tcPr>
            <w:tcW w:w="1644" w:type="dxa"/>
            <w:vAlign w:val="center"/>
          </w:tcPr>
          <w:p w:rsidR="00A033C2" w:rsidRDefault="00B03245">
            <w:pPr>
              <w:jc w:val="right"/>
            </w:pPr>
            <w:r>
              <w:rPr>
                <w:color w:val="000000"/>
                <w:sz w:val="24"/>
                <w:szCs w:val="24"/>
              </w:rPr>
              <w:t>3.42</w:t>
            </w:r>
          </w:p>
        </w:tc>
      </w:tr>
      <w:tr w:rsidR="00A033C2">
        <w:trPr>
          <w:jc w:val="center"/>
        </w:trPr>
        <w:tc>
          <w:tcPr>
            <w:tcW w:w="855" w:type="dxa"/>
            <w:vAlign w:val="center"/>
          </w:tcPr>
          <w:p w:rsidR="00A033C2" w:rsidRDefault="00B03245">
            <w:pPr>
              <w:jc w:val="center"/>
            </w:pPr>
            <w:r>
              <w:rPr>
                <w:color w:val="000000"/>
                <w:sz w:val="24"/>
                <w:szCs w:val="24"/>
              </w:rPr>
              <w:t>8</w:t>
            </w:r>
          </w:p>
        </w:tc>
        <w:tc>
          <w:tcPr>
            <w:tcW w:w="1334" w:type="dxa"/>
            <w:vAlign w:val="center"/>
          </w:tcPr>
          <w:p w:rsidR="00A033C2" w:rsidRDefault="00B03245">
            <w:pPr>
              <w:jc w:val="center"/>
            </w:pPr>
            <w:r>
              <w:rPr>
                <w:color w:val="000000"/>
                <w:sz w:val="24"/>
                <w:szCs w:val="24"/>
              </w:rPr>
              <w:t>002280</w:t>
            </w:r>
          </w:p>
        </w:tc>
        <w:tc>
          <w:tcPr>
            <w:tcW w:w="1777" w:type="dxa"/>
            <w:vAlign w:val="center"/>
          </w:tcPr>
          <w:p w:rsidR="00A033C2" w:rsidRDefault="00B03245">
            <w:pPr>
              <w:jc w:val="center"/>
            </w:pPr>
            <w:r>
              <w:rPr>
                <w:color w:val="000000"/>
                <w:sz w:val="24"/>
                <w:szCs w:val="24"/>
              </w:rPr>
              <w:t>联络互动</w:t>
            </w:r>
          </w:p>
        </w:tc>
        <w:tc>
          <w:tcPr>
            <w:tcW w:w="1334" w:type="dxa"/>
            <w:vAlign w:val="center"/>
          </w:tcPr>
          <w:p w:rsidR="00A033C2" w:rsidRDefault="00B03245">
            <w:pPr>
              <w:jc w:val="right"/>
            </w:pPr>
            <w:r>
              <w:rPr>
                <w:color w:val="000000"/>
                <w:sz w:val="24"/>
                <w:szCs w:val="24"/>
              </w:rPr>
              <w:t>3,028,230</w:t>
            </w:r>
          </w:p>
        </w:tc>
        <w:tc>
          <w:tcPr>
            <w:tcW w:w="1924" w:type="dxa"/>
            <w:vAlign w:val="center"/>
          </w:tcPr>
          <w:p w:rsidR="00A033C2" w:rsidRDefault="00B03245">
            <w:pPr>
              <w:jc w:val="right"/>
            </w:pPr>
            <w:r>
              <w:rPr>
                <w:color w:val="000000"/>
                <w:sz w:val="24"/>
                <w:szCs w:val="24"/>
              </w:rPr>
              <w:t>161,404,659.00</w:t>
            </w:r>
          </w:p>
        </w:tc>
        <w:tc>
          <w:tcPr>
            <w:tcW w:w="1644" w:type="dxa"/>
            <w:vAlign w:val="center"/>
          </w:tcPr>
          <w:p w:rsidR="00A033C2" w:rsidRDefault="00B03245">
            <w:pPr>
              <w:jc w:val="right"/>
            </w:pPr>
            <w:r>
              <w:rPr>
                <w:color w:val="000000"/>
                <w:sz w:val="24"/>
                <w:szCs w:val="24"/>
              </w:rPr>
              <w:t>3.30</w:t>
            </w:r>
          </w:p>
        </w:tc>
      </w:tr>
      <w:tr w:rsidR="00A033C2">
        <w:trPr>
          <w:jc w:val="center"/>
        </w:trPr>
        <w:tc>
          <w:tcPr>
            <w:tcW w:w="855" w:type="dxa"/>
            <w:vAlign w:val="center"/>
          </w:tcPr>
          <w:p w:rsidR="00A033C2" w:rsidRDefault="00B03245">
            <w:pPr>
              <w:jc w:val="center"/>
            </w:pPr>
            <w:r>
              <w:rPr>
                <w:color w:val="000000"/>
                <w:sz w:val="24"/>
                <w:szCs w:val="24"/>
              </w:rPr>
              <w:t>9</w:t>
            </w:r>
          </w:p>
        </w:tc>
        <w:tc>
          <w:tcPr>
            <w:tcW w:w="1334" w:type="dxa"/>
            <w:vAlign w:val="center"/>
          </w:tcPr>
          <w:p w:rsidR="00A033C2" w:rsidRDefault="00B03245">
            <w:pPr>
              <w:jc w:val="center"/>
            </w:pPr>
            <w:r>
              <w:rPr>
                <w:color w:val="000000"/>
                <w:sz w:val="24"/>
                <w:szCs w:val="24"/>
              </w:rPr>
              <w:t>002568</w:t>
            </w:r>
          </w:p>
        </w:tc>
        <w:tc>
          <w:tcPr>
            <w:tcW w:w="1777" w:type="dxa"/>
            <w:vAlign w:val="center"/>
          </w:tcPr>
          <w:p w:rsidR="00A033C2" w:rsidRDefault="00B03245">
            <w:pPr>
              <w:jc w:val="center"/>
            </w:pPr>
            <w:r>
              <w:rPr>
                <w:color w:val="000000"/>
                <w:sz w:val="24"/>
                <w:szCs w:val="24"/>
              </w:rPr>
              <w:t>百润股份</w:t>
            </w:r>
          </w:p>
        </w:tc>
        <w:tc>
          <w:tcPr>
            <w:tcW w:w="1334" w:type="dxa"/>
            <w:vAlign w:val="center"/>
          </w:tcPr>
          <w:p w:rsidR="00A033C2" w:rsidRDefault="00B03245">
            <w:pPr>
              <w:jc w:val="right"/>
            </w:pPr>
            <w:r>
              <w:rPr>
                <w:color w:val="000000"/>
                <w:sz w:val="24"/>
                <w:szCs w:val="24"/>
              </w:rPr>
              <w:t>1,102,076</w:t>
            </w:r>
          </w:p>
        </w:tc>
        <w:tc>
          <w:tcPr>
            <w:tcW w:w="1924" w:type="dxa"/>
            <w:vAlign w:val="center"/>
          </w:tcPr>
          <w:p w:rsidR="00A033C2" w:rsidRDefault="00B03245">
            <w:pPr>
              <w:jc w:val="right"/>
            </w:pPr>
            <w:r>
              <w:rPr>
                <w:color w:val="000000"/>
                <w:sz w:val="24"/>
                <w:szCs w:val="24"/>
              </w:rPr>
              <w:t>144,956,056.28</w:t>
            </w:r>
          </w:p>
        </w:tc>
        <w:tc>
          <w:tcPr>
            <w:tcW w:w="1644" w:type="dxa"/>
            <w:vAlign w:val="center"/>
          </w:tcPr>
          <w:p w:rsidR="00A033C2" w:rsidRDefault="00B03245">
            <w:pPr>
              <w:jc w:val="right"/>
            </w:pPr>
            <w:r>
              <w:rPr>
                <w:color w:val="000000"/>
                <w:sz w:val="24"/>
                <w:szCs w:val="24"/>
              </w:rPr>
              <w:t>2.97</w:t>
            </w:r>
          </w:p>
        </w:tc>
      </w:tr>
      <w:tr w:rsidR="00A033C2">
        <w:trPr>
          <w:jc w:val="center"/>
        </w:trPr>
        <w:tc>
          <w:tcPr>
            <w:tcW w:w="855" w:type="dxa"/>
            <w:vAlign w:val="center"/>
          </w:tcPr>
          <w:p w:rsidR="00A033C2" w:rsidRDefault="00B03245">
            <w:pPr>
              <w:jc w:val="center"/>
            </w:pPr>
            <w:r>
              <w:rPr>
                <w:color w:val="000000"/>
                <w:sz w:val="24"/>
                <w:szCs w:val="24"/>
              </w:rPr>
              <w:t>10</w:t>
            </w:r>
          </w:p>
        </w:tc>
        <w:tc>
          <w:tcPr>
            <w:tcW w:w="1334" w:type="dxa"/>
            <w:vAlign w:val="center"/>
          </w:tcPr>
          <w:p w:rsidR="00A033C2" w:rsidRDefault="00B03245">
            <w:pPr>
              <w:jc w:val="center"/>
            </w:pPr>
            <w:r>
              <w:rPr>
                <w:color w:val="000000"/>
                <w:sz w:val="24"/>
                <w:szCs w:val="24"/>
              </w:rPr>
              <w:t>600763</w:t>
            </w:r>
          </w:p>
        </w:tc>
        <w:tc>
          <w:tcPr>
            <w:tcW w:w="1777" w:type="dxa"/>
            <w:vAlign w:val="center"/>
          </w:tcPr>
          <w:p w:rsidR="00A033C2" w:rsidRDefault="00B03245">
            <w:pPr>
              <w:jc w:val="center"/>
            </w:pPr>
            <w:r>
              <w:rPr>
                <w:color w:val="000000"/>
                <w:sz w:val="24"/>
                <w:szCs w:val="24"/>
              </w:rPr>
              <w:t>通策医疗</w:t>
            </w:r>
          </w:p>
        </w:tc>
        <w:tc>
          <w:tcPr>
            <w:tcW w:w="1334" w:type="dxa"/>
            <w:vAlign w:val="center"/>
          </w:tcPr>
          <w:p w:rsidR="00A033C2" w:rsidRDefault="00B03245">
            <w:pPr>
              <w:jc w:val="right"/>
            </w:pPr>
            <w:r>
              <w:rPr>
                <w:color w:val="000000"/>
                <w:sz w:val="24"/>
                <w:szCs w:val="24"/>
              </w:rPr>
              <w:t>1,636,989</w:t>
            </w:r>
          </w:p>
        </w:tc>
        <w:tc>
          <w:tcPr>
            <w:tcW w:w="1924" w:type="dxa"/>
            <w:vAlign w:val="center"/>
          </w:tcPr>
          <w:p w:rsidR="00A033C2" w:rsidRDefault="00B03245">
            <w:pPr>
              <w:jc w:val="right"/>
            </w:pPr>
            <w:r>
              <w:rPr>
                <w:color w:val="000000"/>
                <w:sz w:val="24"/>
                <w:szCs w:val="24"/>
              </w:rPr>
              <w:t>138,702,077.97</w:t>
            </w:r>
          </w:p>
        </w:tc>
        <w:tc>
          <w:tcPr>
            <w:tcW w:w="1644" w:type="dxa"/>
            <w:vAlign w:val="center"/>
          </w:tcPr>
          <w:p w:rsidR="00A033C2" w:rsidRDefault="00B03245">
            <w:pPr>
              <w:jc w:val="right"/>
            </w:pPr>
            <w:r>
              <w:rPr>
                <w:color w:val="000000"/>
                <w:sz w:val="24"/>
                <w:szCs w:val="24"/>
              </w:rPr>
              <w:t>2.84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5,505,795.90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5,505,795.90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033C2">
        <w:trPr>
          <w:jc w:val="center"/>
        </w:trPr>
        <w:tc>
          <w:tcPr>
            <w:tcW w:w="850" w:type="dxa"/>
            <w:vAlign w:val="center"/>
          </w:tcPr>
          <w:p w:rsidR="00A033C2" w:rsidRDefault="00B03245">
            <w:pPr>
              <w:jc w:val="center"/>
            </w:pPr>
            <w:r>
              <w:rPr>
                <w:color w:val="000000"/>
                <w:sz w:val="24"/>
                <w:szCs w:val="24"/>
              </w:rPr>
              <w:t>1</w:t>
            </w:r>
          </w:p>
        </w:tc>
        <w:tc>
          <w:tcPr>
            <w:tcW w:w="1475" w:type="dxa"/>
            <w:vAlign w:val="center"/>
          </w:tcPr>
          <w:p w:rsidR="00A033C2" w:rsidRDefault="00B03245">
            <w:pPr>
              <w:jc w:val="center"/>
            </w:pPr>
            <w:r>
              <w:rPr>
                <w:color w:val="000000"/>
                <w:sz w:val="24"/>
                <w:szCs w:val="24"/>
              </w:rPr>
              <w:t>110031</w:t>
            </w:r>
          </w:p>
        </w:tc>
        <w:tc>
          <w:tcPr>
            <w:tcW w:w="1769" w:type="dxa"/>
            <w:vAlign w:val="center"/>
          </w:tcPr>
          <w:p w:rsidR="00A033C2" w:rsidRDefault="00B03245">
            <w:pPr>
              <w:jc w:val="center"/>
            </w:pPr>
            <w:r>
              <w:rPr>
                <w:color w:val="000000"/>
                <w:sz w:val="24"/>
                <w:szCs w:val="24"/>
              </w:rPr>
              <w:t>航信转债</w:t>
            </w:r>
          </w:p>
        </w:tc>
        <w:tc>
          <w:tcPr>
            <w:tcW w:w="1387" w:type="dxa"/>
            <w:vAlign w:val="center"/>
          </w:tcPr>
          <w:p w:rsidR="00A033C2" w:rsidRDefault="00B03245">
            <w:pPr>
              <w:jc w:val="right"/>
            </w:pPr>
            <w:r>
              <w:rPr>
                <w:color w:val="000000"/>
                <w:sz w:val="24"/>
                <w:szCs w:val="24"/>
              </w:rPr>
              <w:t>37,890</w:t>
            </w:r>
          </w:p>
        </w:tc>
        <w:tc>
          <w:tcPr>
            <w:tcW w:w="2150" w:type="dxa"/>
            <w:vAlign w:val="center"/>
          </w:tcPr>
          <w:p w:rsidR="00A033C2" w:rsidRDefault="00B03245">
            <w:pPr>
              <w:jc w:val="right"/>
            </w:pPr>
            <w:r>
              <w:rPr>
                <w:color w:val="000000"/>
                <w:sz w:val="24"/>
                <w:szCs w:val="24"/>
              </w:rPr>
              <w:t>5,505,795.90</w:t>
            </w:r>
          </w:p>
        </w:tc>
        <w:tc>
          <w:tcPr>
            <w:tcW w:w="1237" w:type="dxa"/>
            <w:vAlign w:val="center"/>
          </w:tcPr>
          <w:p w:rsidR="00A033C2" w:rsidRDefault="00B03245">
            <w:pPr>
              <w:jc w:val="right"/>
            </w:pPr>
            <w:r>
              <w:rPr>
                <w:color w:val="000000"/>
                <w:sz w:val="24"/>
                <w:szCs w:val="24"/>
              </w:rPr>
              <w:t>0.11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1,998,377.94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132,318.87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8,607,758.36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10,738,455.17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D27BDF" w:rsidRPr="006655B1" w:rsidTr="00480C79">
        <w:trPr>
          <w:jc w:val="center"/>
        </w:trPr>
        <w:tc>
          <w:tcPr>
            <w:tcW w:w="1083" w:type="dxa"/>
            <w:vAlign w:val="center"/>
          </w:tcPr>
          <w:p w:rsidR="00D27BDF" w:rsidRPr="006655B1" w:rsidRDefault="00D27BDF" w:rsidP="00E25D49">
            <w:pPr>
              <w:widowControl/>
              <w:spacing w:before="29" w:line="288" w:lineRule="auto"/>
              <w:ind w:firstLineChars="99" w:firstLine="238"/>
              <w:rPr>
                <w:color w:val="000000"/>
                <w:sz w:val="24"/>
                <w:szCs w:val="24"/>
              </w:rPr>
            </w:pPr>
            <w:r w:rsidRPr="006655B1">
              <w:rPr>
                <w:color w:val="000000"/>
                <w:sz w:val="24"/>
                <w:szCs w:val="24"/>
              </w:rPr>
              <w:t>序号</w:t>
            </w:r>
          </w:p>
        </w:tc>
        <w:tc>
          <w:tcPr>
            <w:tcW w:w="1302" w:type="dxa"/>
            <w:vAlign w:val="center"/>
          </w:tcPr>
          <w:p w:rsidR="00D27BDF" w:rsidRPr="006655B1" w:rsidRDefault="00D27BDF" w:rsidP="00480C79">
            <w:pPr>
              <w:widowControl/>
              <w:spacing w:before="29" w:line="288" w:lineRule="auto"/>
              <w:rPr>
                <w:color w:val="000000"/>
                <w:sz w:val="24"/>
                <w:szCs w:val="24"/>
              </w:rPr>
            </w:pPr>
            <w:r w:rsidRPr="006655B1">
              <w:rPr>
                <w:color w:val="000000"/>
                <w:sz w:val="24"/>
                <w:szCs w:val="24"/>
              </w:rPr>
              <w:t>股票代码</w:t>
            </w:r>
          </w:p>
        </w:tc>
        <w:tc>
          <w:tcPr>
            <w:tcW w:w="1301" w:type="dxa"/>
            <w:vAlign w:val="center"/>
          </w:tcPr>
          <w:p w:rsidR="00D27BDF" w:rsidRPr="006655B1" w:rsidRDefault="00D27BDF" w:rsidP="00480C79">
            <w:pPr>
              <w:widowControl/>
              <w:spacing w:before="29" w:line="288" w:lineRule="auto"/>
              <w:rPr>
                <w:color w:val="000000"/>
                <w:sz w:val="24"/>
                <w:szCs w:val="24"/>
              </w:rPr>
            </w:pPr>
            <w:r w:rsidRPr="006655B1">
              <w:rPr>
                <w:color w:val="000000"/>
                <w:sz w:val="24"/>
                <w:szCs w:val="24"/>
              </w:rPr>
              <w:t>股票名称</w:t>
            </w:r>
          </w:p>
        </w:tc>
        <w:tc>
          <w:tcPr>
            <w:tcW w:w="1805" w:type="dxa"/>
            <w:vAlign w:val="center"/>
          </w:tcPr>
          <w:p w:rsidR="00D27BDF" w:rsidRPr="006655B1" w:rsidRDefault="00D27BDF" w:rsidP="00480C79">
            <w:pPr>
              <w:widowControl/>
              <w:spacing w:before="29" w:line="288" w:lineRule="auto"/>
              <w:rPr>
                <w:color w:val="000000"/>
                <w:sz w:val="24"/>
                <w:szCs w:val="24"/>
              </w:rPr>
            </w:pPr>
            <w:r w:rsidRPr="006655B1">
              <w:rPr>
                <w:color w:val="000000"/>
                <w:sz w:val="24"/>
                <w:szCs w:val="24"/>
              </w:rPr>
              <w:t>流通受限部分的公允价值</w:t>
            </w:r>
            <w:r w:rsidRPr="006655B1">
              <w:rPr>
                <w:color w:val="000000"/>
                <w:sz w:val="24"/>
                <w:szCs w:val="24"/>
              </w:rPr>
              <w:t>(</w:t>
            </w:r>
            <w:r w:rsidRPr="006655B1">
              <w:rPr>
                <w:color w:val="000000"/>
                <w:sz w:val="24"/>
                <w:szCs w:val="24"/>
              </w:rPr>
              <w:t>元</w:t>
            </w:r>
            <w:r w:rsidRPr="006655B1">
              <w:rPr>
                <w:color w:val="000000"/>
                <w:sz w:val="24"/>
                <w:szCs w:val="24"/>
              </w:rPr>
              <w:t>)</w:t>
            </w:r>
          </w:p>
        </w:tc>
        <w:tc>
          <w:tcPr>
            <w:tcW w:w="1655" w:type="dxa"/>
            <w:vAlign w:val="center"/>
          </w:tcPr>
          <w:p w:rsidR="00D27BDF" w:rsidRPr="006655B1" w:rsidRDefault="00D27BDF" w:rsidP="00480C79">
            <w:pPr>
              <w:widowControl/>
              <w:spacing w:before="29" w:line="288" w:lineRule="auto"/>
              <w:rPr>
                <w:color w:val="000000"/>
                <w:sz w:val="24"/>
                <w:szCs w:val="24"/>
              </w:rPr>
            </w:pPr>
            <w:r w:rsidRPr="006655B1">
              <w:rPr>
                <w:color w:val="000000"/>
                <w:sz w:val="24"/>
                <w:szCs w:val="24"/>
              </w:rPr>
              <w:t>占基金资产净值比例</w:t>
            </w:r>
            <w:r w:rsidRPr="006655B1">
              <w:rPr>
                <w:color w:val="000000"/>
                <w:sz w:val="24"/>
                <w:szCs w:val="24"/>
              </w:rPr>
              <w:t>(</w:t>
            </w:r>
            <w:r w:rsidRPr="006655B1">
              <w:rPr>
                <w:color w:val="000000"/>
                <w:sz w:val="24"/>
                <w:szCs w:val="24"/>
              </w:rPr>
              <w:t>％</w:t>
            </w:r>
            <w:r w:rsidRPr="006655B1">
              <w:rPr>
                <w:color w:val="000000"/>
                <w:sz w:val="24"/>
                <w:szCs w:val="24"/>
              </w:rPr>
              <w:t>)</w:t>
            </w:r>
          </w:p>
        </w:tc>
        <w:tc>
          <w:tcPr>
            <w:tcW w:w="1367" w:type="dxa"/>
            <w:vAlign w:val="center"/>
          </w:tcPr>
          <w:p w:rsidR="00D27BDF" w:rsidRPr="006655B1" w:rsidRDefault="00D27BDF" w:rsidP="00480C79">
            <w:pPr>
              <w:widowControl/>
              <w:spacing w:before="29" w:line="288" w:lineRule="auto"/>
              <w:rPr>
                <w:color w:val="000000"/>
                <w:sz w:val="24"/>
                <w:szCs w:val="24"/>
              </w:rPr>
            </w:pPr>
            <w:r w:rsidRPr="006655B1">
              <w:rPr>
                <w:color w:val="000000"/>
                <w:sz w:val="24"/>
                <w:szCs w:val="24"/>
              </w:rPr>
              <w:t>流通受限情况说明</w:t>
            </w:r>
          </w:p>
        </w:tc>
      </w:tr>
      <w:tr w:rsidR="00D27BDF" w:rsidRPr="006655B1" w:rsidTr="00480C79">
        <w:trPr>
          <w:jc w:val="center"/>
        </w:trPr>
        <w:tc>
          <w:tcPr>
            <w:tcW w:w="1129" w:type="dxa"/>
            <w:vAlign w:val="center"/>
          </w:tcPr>
          <w:p w:rsidR="00D27BDF" w:rsidRPr="006655B1" w:rsidRDefault="00D27BDF" w:rsidP="00480C79">
            <w:pPr>
              <w:widowControl/>
              <w:spacing w:before="29" w:line="288" w:lineRule="auto"/>
              <w:ind w:firstLineChars="200" w:firstLine="480"/>
              <w:rPr>
                <w:color w:val="000000"/>
                <w:sz w:val="24"/>
                <w:szCs w:val="24"/>
              </w:rPr>
            </w:pPr>
            <w:r w:rsidRPr="006655B1">
              <w:rPr>
                <w:color w:val="000000"/>
                <w:sz w:val="24"/>
                <w:szCs w:val="24"/>
              </w:rPr>
              <w:t>1</w:t>
            </w:r>
          </w:p>
        </w:tc>
        <w:tc>
          <w:tcPr>
            <w:tcW w:w="1356" w:type="dxa"/>
            <w:vAlign w:val="center"/>
          </w:tcPr>
          <w:p w:rsidR="00D27BDF" w:rsidRPr="006655B1" w:rsidRDefault="00D27BDF" w:rsidP="00480C79">
            <w:pPr>
              <w:widowControl/>
              <w:spacing w:before="29" w:line="288" w:lineRule="auto"/>
              <w:rPr>
                <w:color w:val="000000"/>
                <w:sz w:val="24"/>
                <w:szCs w:val="24"/>
              </w:rPr>
            </w:pPr>
            <w:r w:rsidRPr="006655B1">
              <w:rPr>
                <w:color w:val="000000"/>
                <w:sz w:val="24"/>
                <w:szCs w:val="24"/>
              </w:rPr>
              <w:t>600763</w:t>
            </w:r>
          </w:p>
        </w:tc>
        <w:tc>
          <w:tcPr>
            <w:tcW w:w="1355" w:type="dxa"/>
            <w:vAlign w:val="center"/>
          </w:tcPr>
          <w:p w:rsidR="00D27BDF" w:rsidRPr="006655B1" w:rsidRDefault="00D27BDF" w:rsidP="00480C79">
            <w:pPr>
              <w:widowControl/>
              <w:spacing w:before="29" w:line="288" w:lineRule="auto"/>
              <w:rPr>
                <w:color w:val="000000"/>
                <w:sz w:val="24"/>
                <w:szCs w:val="24"/>
              </w:rPr>
            </w:pPr>
            <w:r w:rsidRPr="006655B1">
              <w:rPr>
                <w:color w:val="000000"/>
                <w:sz w:val="24"/>
                <w:szCs w:val="24"/>
              </w:rPr>
              <w:t>通策医疗</w:t>
            </w:r>
          </w:p>
        </w:tc>
        <w:tc>
          <w:tcPr>
            <w:tcW w:w="1880" w:type="dxa"/>
            <w:vAlign w:val="center"/>
          </w:tcPr>
          <w:p w:rsidR="00D27BDF" w:rsidRPr="006655B1" w:rsidRDefault="00D27BDF" w:rsidP="00480C79">
            <w:pPr>
              <w:widowControl/>
              <w:spacing w:before="29" w:line="288" w:lineRule="auto"/>
              <w:rPr>
                <w:color w:val="000000"/>
                <w:sz w:val="24"/>
                <w:szCs w:val="24"/>
              </w:rPr>
            </w:pPr>
            <w:r w:rsidRPr="006655B1">
              <w:rPr>
                <w:color w:val="000000"/>
                <w:sz w:val="24"/>
                <w:szCs w:val="24"/>
              </w:rPr>
              <w:t>138,702,077.97</w:t>
            </w:r>
          </w:p>
        </w:tc>
        <w:tc>
          <w:tcPr>
            <w:tcW w:w="1724" w:type="dxa"/>
            <w:vAlign w:val="center"/>
          </w:tcPr>
          <w:p w:rsidR="00D27BDF" w:rsidRPr="006655B1" w:rsidRDefault="00D27BDF" w:rsidP="00480C79">
            <w:pPr>
              <w:widowControl/>
              <w:spacing w:before="29" w:line="288" w:lineRule="auto"/>
              <w:ind w:firstLineChars="200" w:firstLine="480"/>
              <w:rPr>
                <w:color w:val="000000"/>
                <w:sz w:val="24"/>
                <w:szCs w:val="24"/>
              </w:rPr>
            </w:pPr>
            <w:r w:rsidRPr="006655B1">
              <w:rPr>
                <w:color w:val="000000"/>
                <w:sz w:val="24"/>
                <w:szCs w:val="24"/>
              </w:rPr>
              <w:t>2.84</w:t>
            </w:r>
          </w:p>
        </w:tc>
        <w:tc>
          <w:tcPr>
            <w:tcW w:w="1424" w:type="dxa"/>
            <w:vAlign w:val="center"/>
          </w:tcPr>
          <w:p w:rsidR="00D27BDF" w:rsidRPr="006655B1" w:rsidRDefault="00D27BDF" w:rsidP="00480C79">
            <w:pPr>
              <w:widowControl/>
              <w:spacing w:before="29" w:line="288" w:lineRule="auto"/>
              <w:rPr>
                <w:color w:val="000000"/>
                <w:sz w:val="24"/>
                <w:szCs w:val="24"/>
              </w:rPr>
            </w:pPr>
            <w:r w:rsidRPr="006655B1">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1,268,129,866.09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99,717,159.53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474,128,234.71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893,718,790.91</w:t>
            </w:r>
          </w:p>
        </w:tc>
      </w:tr>
    </w:tbl>
    <w:p w:rsidR="00A033C2" w:rsidRDefault="00B0324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6E6726">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A033C2" w:rsidRDefault="00B0324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、中国证监会批准交银施罗德成长股票证券投资基金募集的文件；</w:t>
      </w:r>
      <w:r>
        <w:rPr>
          <w:color w:val="000000"/>
          <w:sz w:val="24"/>
          <w:szCs w:val="24"/>
        </w:rPr>
        <w:t xml:space="preserve"> </w:t>
      </w:r>
    </w:p>
    <w:p w:rsidR="00A033C2" w:rsidRDefault="00B0324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、《交银施罗德成长股票证券投资基金基金合同》；</w:t>
      </w:r>
      <w:r>
        <w:rPr>
          <w:color w:val="000000"/>
          <w:sz w:val="24"/>
          <w:szCs w:val="24"/>
        </w:rPr>
        <w:t xml:space="preserve"> </w:t>
      </w:r>
    </w:p>
    <w:p w:rsidR="00A033C2" w:rsidRDefault="00B0324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、《交银施罗德成长股票证券投资基金招募说明书》；</w:t>
      </w:r>
      <w:r>
        <w:rPr>
          <w:color w:val="000000"/>
          <w:sz w:val="24"/>
          <w:szCs w:val="24"/>
        </w:rPr>
        <w:t xml:space="preserve"> </w:t>
      </w:r>
    </w:p>
    <w:p w:rsidR="00A033C2" w:rsidRDefault="00B0324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、《交银施罗德成长股票证券投资基金托管协议》；</w:t>
      </w:r>
      <w:r>
        <w:rPr>
          <w:color w:val="000000"/>
          <w:sz w:val="24"/>
          <w:szCs w:val="24"/>
        </w:rPr>
        <w:t xml:space="preserve"> </w:t>
      </w:r>
    </w:p>
    <w:p w:rsidR="00A033C2" w:rsidRDefault="00B03245">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、关于募集交银施罗德成长股票证券投资基金之法律意见书；</w:t>
      </w:r>
      <w:r>
        <w:rPr>
          <w:color w:val="000000"/>
          <w:sz w:val="24"/>
          <w:szCs w:val="24"/>
        </w:rPr>
        <w:t xml:space="preserve"> </w:t>
      </w:r>
    </w:p>
    <w:p w:rsidR="00A033C2" w:rsidRDefault="00B0324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033C2" w:rsidRDefault="00B0324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A033C2" w:rsidRDefault="00B0324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220" w:rsidRDefault="005F6220" w:rsidP="00876D65">
      <w:r>
        <w:separator/>
      </w:r>
    </w:p>
  </w:endnote>
  <w:endnote w:type="continuationSeparator" w:id="0">
    <w:p w:rsidR="005F6220" w:rsidRDefault="005F622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821235">
      <w:rPr>
        <w:kern w:val="0"/>
        <w:szCs w:val="21"/>
      </w:rPr>
      <w:fldChar w:fldCharType="begin"/>
    </w:r>
    <w:r>
      <w:rPr>
        <w:kern w:val="0"/>
        <w:szCs w:val="21"/>
      </w:rPr>
      <w:instrText xml:space="preserve"> PAGE </w:instrText>
    </w:r>
    <w:r w:rsidR="00821235">
      <w:rPr>
        <w:kern w:val="0"/>
        <w:szCs w:val="21"/>
      </w:rPr>
      <w:fldChar w:fldCharType="separate"/>
    </w:r>
    <w:r w:rsidR="00DD1B9D">
      <w:rPr>
        <w:noProof/>
        <w:kern w:val="0"/>
        <w:szCs w:val="21"/>
      </w:rPr>
      <w:t>1</w:t>
    </w:r>
    <w:r w:rsidR="00821235">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821235">
      <w:rPr>
        <w:kern w:val="0"/>
        <w:szCs w:val="21"/>
      </w:rPr>
      <w:fldChar w:fldCharType="begin"/>
    </w:r>
    <w:r>
      <w:rPr>
        <w:kern w:val="0"/>
        <w:szCs w:val="21"/>
      </w:rPr>
      <w:instrText xml:space="preserve"> NUMPAGES </w:instrText>
    </w:r>
    <w:r w:rsidR="00821235">
      <w:rPr>
        <w:kern w:val="0"/>
        <w:szCs w:val="21"/>
      </w:rPr>
      <w:fldChar w:fldCharType="separate"/>
    </w:r>
    <w:r w:rsidR="00DD1B9D">
      <w:rPr>
        <w:noProof/>
        <w:kern w:val="0"/>
        <w:szCs w:val="21"/>
      </w:rPr>
      <w:t>11</w:t>
    </w:r>
    <w:r w:rsidR="00821235">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220" w:rsidRDefault="005F6220" w:rsidP="00876D65">
      <w:r>
        <w:separator/>
      </w:r>
    </w:p>
  </w:footnote>
  <w:footnote w:type="continuationSeparator" w:id="0">
    <w:p w:rsidR="005F6220" w:rsidRDefault="005F622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4D40"/>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4296"/>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D57E7"/>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C1ED0"/>
    <w:rsid w:val="005D2B36"/>
    <w:rsid w:val="005D66FE"/>
    <w:rsid w:val="005E475E"/>
    <w:rsid w:val="005F118D"/>
    <w:rsid w:val="005F3996"/>
    <w:rsid w:val="005F6220"/>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C612D"/>
    <w:rsid w:val="009D0952"/>
    <w:rsid w:val="009E19A9"/>
    <w:rsid w:val="009E31DA"/>
    <w:rsid w:val="009E402C"/>
    <w:rsid w:val="009E7C6A"/>
    <w:rsid w:val="009F3659"/>
    <w:rsid w:val="009F4861"/>
    <w:rsid w:val="009F61BE"/>
    <w:rsid w:val="009F7ED4"/>
    <w:rsid w:val="00A033C2"/>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03245"/>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46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27BDF"/>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D1B9D"/>
    <w:rsid w:val="00DE27F7"/>
    <w:rsid w:val="00DE4B43"/>
    <w:rsid w:val="00E02660"/>
    <w:rsid w:val="00E215BA"/>
    <w:rsid w:val="00E25D49"/>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05C1DE-0B91-4C4D-8910-D2E4B7AF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9C658-31CC-45C5-A054-2D79525B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1</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566</cp:revision>
  <dcterms:created xsi:type="dcterms:W3CDTF">2012-10-16T06:07:00Z</dcterms:created>
  <dcterms:modified xsi:type="dcterms:W3CDTF">2015-07-15T06:51:00Z</dcterms:modified>
</cp:coreProperties>
</file>