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C0D" w:rsidRDefault="00330C0D" w:rsidP="00330C0D">
      <w:pPr>
        <w:spacing w:line="288" w:lineRule="auto"/>
        <w:ind w:firstLine="562"/>
        <w:jc w:val="center"/>
        <w:rPr>
          <w:rFonts w:eastAsia="仿宋_GB2312"/>
          <w:b/>
          <w:color w:val="000000"/>
          <w:sz w:val="28"/>
          <w:szCs w:val="28"/>
        </w:rPr>
      </w:pPr>
      <w:r w:rsidRPr="00330C0D">
        <w:rPr>
          <w:rFonts w:eastAsia="仿宋_GB2312" w:hint="eastAsia"/>
          <w:b/>
          <w:color w:val="000000"/>
          <w:sz w:val="28"/>
          <w:szCs w:val="28"/>
        </w:rPr>
        <w:t>关于修订交银施罗德荣安保本混合型证券投资基金</w:t>
      </w:r>
    </w:p>
    <w:p w:rsidR="00344DC3" w:rsidRDefault="00330C0D" w:rsidP="003754C6">
      <w:pPr>
        <w:spacing w:line="288" w:lineRule="auto"/>
        <w:ind w:firstLine="562"/>
        <w:jc w:val="center"/>
        <w:rPr>
          <w:sz w:val="24"/>
        </w:rPr>
      </w:pPr>
      <w:r w:rsidRPr="00330C0D">
        <w:rPr>
          <w:rFonts w:eastAsia="仿宋_GB2312" w:hint="eastAsia"/>
          <w:b/>
          <w:color w:val="000000"/>
          <w:sz w:val="28"/>
          <w:szCs w:val="28"/>
        </w:rPr>
        <w:t>基金合同的公告</w:t>
      </w:r>
    </w:p>
    <w:p w:rsidR="00330C0D" w:rsidRPr="00330C0D" w:rsidRDefault="00330C0D" w:rsidP="003754C6">
      <w:pPr>
        <w:spacing w:line="288" w:lineRule="auto"/>
        <w:ind w:firstLineChars="200" w:firstLine="560"/>
        <w:jc w:val="left"/>
        <w:rPr>
          <w:rFonts w:eastAsia="仿宋_GB2312"/>
          <w:sz w:val="28"/>
          <w:szCs w:val="28"/>
        </w:rPr>
      </w:pPr>
      <w:r w:rsidRPr="00330C0D">
        <w:rPr>
          <w:rFonts w:eastAsia="仿宋_GB2312" w:hint="eastAsia"/>
          <w:sz w:val="28"/>
          <w:szCs w:val="28"/>
        </w:rPr>
        <w:t>交银施罗德荣安保本混合型证券投资基金（以下简称</w:t>
      </w:r>
      <w:r w:rsidRPr="00330C0D">
        <w:rPr>
          <w:rFonts w:eastAsia="仿宋_GB2312"/>
          <w:sz w:val="28"/>
          <w:szCs w:val="28"/>
        </w:rPr>
        <w:t>“</w:t>
      </w:r>
      <w:r w:rsidRPr="00330C0D">
        <w:rPr>
          <w:rFonts w:eastAsia="仿宋_GB2312" w:hint="eastAsia"/>
          <w:sz w:val="28"/>
          <w:szCs w:val="28"/>
        </w:rPr>
        <w:t>本基金</w:t>
      </w:r>
      <w:r w:rsidRPr="00330C0D">
        <w:rPr>
          <w:rFonts w:eastAsia="仿宋_GB2312"/>
          <w:sz w:val="28"/>
          <w:szCs w:val="28"/>
        </w:rPr>
        <w:t>”</w:t>
      </w:r>
      <w:r w:rsidRPr="00330C0D">
        <w:rPr>
          <w:rFonts w:eastAsia="仿宋_GB2312" w:hint="eastAsia"/>
          <w:sz w:val="28"/>
          <w:szCs w:val="28"/>
        </w:rPr>
        <w:t>）基金合同（以下简称</w:t>
      </w:r>
      <w:r w:rsidRPr="00330C0D">
        <w:rPr>
          <w:rFonts w:eastAsia="仿宋_GB2312"/>
          <w:sz w:val="28"/>
          <w:szCs w:val="28"/>
        </w:rPr>
        <w:t>“</w:t>
      </w:r>
      <w:r w:rsidRPr="00330C0D">
        <w:rPr>
          <w:rFonts w:eastAsia="仿宋_GB2312" w:hint="eastAsia"/>
          <w:sz w:val="28"/>
          <w:szCs w:val="28"/>
        </w:rPr>
        <w:t>基金合同</w:t>
      </w:r>
      <w:r w:rsidRPr="00330C0D">
        <w:rPr>
          <w:rFonts w:eastAsia="仿宋_GB2312"/>
          <w:sz w:val="28"/>
          <w:szCs w:val="28"/>
        </w:rPr>
        <w:t>”</w:t>
      </w:r>
      <w:r w:rsidRPr="00330C0D">
        <w:rPr>
          <w:rFonts w:eastAsia="仿宋_GB2312" w:hint="eastAsia"/>
          <w:sz w:val="28"/>
          <w:szCs w:val="28"/>
        </w:rPr>
        <w:t>）于</w:t>
      </w:r>
      <w:r w:rsidRPr="00330C0D">
        <w:rPr>
          <w:rFonts w:eastAsia="仿宋_GB2312"/>
          <w:sz w:val="28"/>
          <w:szCs w:val="28"/>
        </w:rPr>
        <w:t>2012</w:t>
      </w:r>
      <w:r w:rsidRPr="00330C0D">
        <w:rPr>
          <w:rFonts w:eastAsia="仿宋_GB2312" w:hint="eastAsia"/>
          <w:sz w:val="28"/>
          <w:szCs w:val="28"/>
        </w:rPr>
        <w:t>年</w:t>
      </w:r>
      <w:r w:rsidRPr="00330C0D">
        <w:rPr>
          <w:rFonts w:eastAsia="仿宋_GB2312"/>
          <w:sz w:val="28"/>
          <w:szCs w:val="28"/>
        </w:rPr>
        <w:t>6</w:t>
      </w:r>
      <w:r w:rsidRPr="00330C0D">
        <w:rPr>
          <w:rFonts w:eastAsia="仿宋_GB2312" w:hint="eastAsia"/>
          <w:sz w:val="28"/>
          <w:szCs w:val="28"/>
        </w:rPr>
        <w:t>月</w:t>
      </w:r>
      <w:r w:rsidRPr="00330C0D">
        <w:rPr>
          <w:rFonts w:eastAsia="仿宋_GB2312"/>
          <w:sz w:val="28"/>
          <w:szCs w:val="28"/>
        </w:rPr>
        <w:t>20</w:t>
      </w:r>
      <w:r w:rsidRPr="00330C0D">
        <w:rPr>
          <w:rFonts w:eastAsia="仿宋_GB2312" w:hint="eastAsia"/>
          <w:sz w:val="28"/>
          <w:szCs w:val="28"/>
        </w:rPr>
        <w:t>日生效。</w:t>
      </w:r>
      <w:r w:rsidRPr="00330C0D">
        <w:rPr>
          <w:rFonts w:eastAsia="仿宋_GB2312"/>
          <w:sz w:val="28"/>
          <w:szCs w:val="28"/>
        </w:rPr>
        <w:t xml:space="preserve"> </w:t>
      </w:r>
    </w:p>
    <w:p w:rsidR="00D83200" w:rsidRDefault="00D83200" w:rsidP="00D83200">
      <w:pPr>
        <w:spacing w:line="288" w:lineRule="auto"/>
        <w:ind w:firstLineChars="200" w:firstLine="560"/>
        <w:jc w:val="left"/>
        <w:rPr>
          <w:rFonts w:eastAsia="仿宋_GB2312"/>
          <w:sz w:val="28"/>
          <w:szCs w:val="28"/>
        </w:rPr>
      </w:pPr>
      <w:r w:rsidRPr="0072202E">
        <w:rPr>
          <w:rFonts w:eastAsia="仿宋_GB2312" w:hint="eastAsia"/>
          <w:sz w:val="28"/>
          <w:szCs w:val="28"/>
        </w:rPr>
        <w:t>本基金保本周期期限三年，自本基金基金合同生效日起至三个公历年后对应日止，如该对应日为非工作日，保本周期到期日顺延至下一个工作日，</w:t>
      </w:r>
      <w:r>
        <w:rPr>
          <w:rFonts w:eastAsia="仿宋_GB2312" w:hint="eastAsia"/>
          <w:sz w:val="28"/>
          <w:szCs w:val="28"/>
        </w:rPr>
        <w:t>即本</w:t>
      </w:r>
      <w:r w:rsidRPr="005A7CF2">
        <w:rPr>
          <w:rFonts w:eastAsia="仿宋_GB2312" w:hint="eastAsia"/>
          <w:sz w:val="28"/>
          <w:szCs w:val="28"/>
        </w:rPr>
        <w:t>基金于</w:t>
      </w:r>
      <w:r w:rsidRPr="005A7CF2">
        <w:rPr>
          <w:rFonts w:eastAsia="仿宋_GB2312"/>
          <w:sz w:val="28"/>
          <w:szCs w:val="28"/>
        </w:rPr>
        <w:t>2015</w:t>
      </w:r>
      <w:r w:rsidRPr="005A7CF2">
        <w:rPr>
          <w:rFonts w:eastAsia="仿宋_GB2312" w:hint="eastAsia"/>
          <w:sz w:val="28"/>
          <w:szCs w:val="28"/>
        </w:rPr>
        <w:t>年</w:t>
      </w:r>
      <w:r w:rsidRPr="005A7CF2">
        <w:rPr>
          <w:rFonts w:eastAsia="仿宋_GB2312"/>
          <w:sz w:val="28"/>
          <w:szCs w:val="28"/>
        </w:rPr>
        <w:t>6</w:t>
      </w:r>
      <w:r w:rsidRPr="005A7CF2">
        <w:rPr>
          <w:rFonts w:eastAsia="仿宋_GB2312" w:hint="eastAsia"/>
          <w:sz w:val="28"/>
          <w:szCs w:val="28"/>
        </w:rPr>
        <w:t>月</w:t>
      </w:r>
      <w:r w:rsidRPr="005A7CF2">
        <w:rPr>
          <w:rFonts w:eastAsia="仿宋_GB2312"/>
          <w:sz w:val="28"/>
          <w:szCs w:val="28"/>
        </w:rPr>
        <w:t>23</w:t>
      </w:r>
      <w:r w:rsidRPr="005A7CF2">
        <w:rPr>
          <w:rFonts w:eastAsia="仿宋_GB2312" w:hint="eastAsia"/>
          <w:sz w:val="28"/>
          <w:szCs w:val="28"/>
        </w:rPr>
        <w:t>日保本周期到期</w:t>
      </w:r>
      <w:r>
        <w:rPr>
          <w:rFonts w:eastAsia="仿宋_GB2312" w:hint="eastAsia"/>
          <w:sz w:val="28"/>
          <w:szCs w:val="28"/>
        </w:rPr>
        <w:t>。</w:t>
      </w:r>
      <w:r w:rsidRPr="005A7CF2">
        <w:rPr>
          <w:rFonts w:eastAsia="仿宋_GB2312" w:hint="eastAsia"/>
          <w:sz w:val="28"/>
          <w:szCs w:val="28"/>
        </w:rPr>
        <w:t>按照基金合同的约定：“保本周期届满时，在符合保本基金存续条件下，本基金继续存续并进入下一保本周期，该保本周期的具体起止日期以本基金管理人届时公告为准；如保本周期到期后，本基金未能符合保本基金存续条件，则本基金转型为非保本的混合型证券投资基金，基金名称相应变更为‘交银施罗德策略回报灵活配置混合型证券投资基金’。同时，基金的投资目标、投资范围、投资策略以及基金费率等相关内容也将根据基金合同的相关约定作相应修改。</w:t>
      </w:r>
      <w:r w:rsidRPr="00E31A4C">
        <w:rPr>
          <w:rFonts w:eastAsia="仿宋_GB2312" w:hint="eastAsia"/>
          <w:sz w:val="28"/>
          <w:szCs w:val="28"/>
        </w:rPr>
        <w:t>上述变更由基金管理人和基金托管人同意后，可不经基金份额持有人大会决议，在报中国证监会备案后，提前在临时公告或更新的基金招募说明书中予以说明。</w:t>
      </w:r>
      <w:r w:rsidRPr="005A7CF2">
        <w:rPr>
          <w:rFonts w:eastAsia="仿宋_GB2312" w:hint="eastAsia"/>
          <w:sz w:val="28"/>
          <w:szCs w:val="28"/>
        </w:rPr>
        <w:t>”</w:t>
      </w:r>
    </w:p>
    <w:p w:rsidR="00330C0D" w:rsidRPr="00330C0D" w:rsidRDefault="00330C0D" w:rsidP="003754C6">
      <w:pPr>
        <w:spacing w:line="288" w:lineRule="auto"/>
        <w:ind w:firstLineChars="200" w:firstLine="560"/>
        <w:jc w:val="left"/>
        <w:rPr>
          <w:rFonts w:eastAsia="仿宋_GB2312"/>
          <w:sz w:val="28"/>
          <w:szCs w:val="28"/>
        </w:rPr>
      </w:pPr>
      <w:r w:rsidRPr="00330C0D">
        <w:rPr>
          <w:rFonts w:eastAsia="仿宋_GB2312" w:hint="eastAsia"/>
          <w:sz w:val="28"/>
          <w:szCs w:val="28"/>
        </w:rPr>
        <w:t>根据</w:t>
      </w:r>
      <w:r w:rsidR="001B092F">
        <w:rPr>
          <w:rFonts w:eastAsia="仿宋_GB2312" w:hint="eastAsia"/>
          <w:sz w:val="28"/>
          <w:szCs w:val="28"/>
        </w:rPr>
        <w:t>上述</w:t>
      </w:r>
      <w:r w:rsidRPr="00330C0D">
        <w:rPr>
          <w:rFonts w:eastAsia="仿宋_GB2312" w:hint="eastAsia"/>
          <w:sz w:val="28"/>
          <w:szCs w:val="28"/>
        </w:rPr>
        <w:t>约定，变更后基金合同、托管协议和招募说明书分别修订为《交银施罗德策略回报灵活配置混合型证券投资基金基金合同》、《交银施罗德策略回报灵活配置混合型证券投资基金托管协议》和《交银施罗德策略回报灵活配置混合型证券投资基金招募说明书》，调整的内容包括但不限于保留并适用《交银施罗德荣安保本混合型证券投资基金基金合同》关于变更后的交银施罗德策略回报灵活配置混</w:t>
      </w:r>
      <w:r w:rsidRPr="00330C0D">
        <w:rPr>
          <w:rFonts w:eastAsia="仿宋_GB2312" w:hint="eastAsia"/>
          <w:sz w:val="28"/>
          <w:szCs w:val="28"/>
        </w:rPr>
        <w:lastRenderedPageBreak/>
        <w:t>合型证券投资基金的基金名称、投资目标、投资范围、投资</w:t>
      </w:r>
      <w:r w:rsidR="00D83200">
        <w:rPr>
          <w:rFonts w:eastAsia="仿宋_GB2312" w:hint="eastAsia"/>
          <w:sz w:val="28"/>
          <w:szCs w:val="28"/>
        </w:rPr>
        <w:t>策略</w:t>
      </w:r>
      <w:r w:rsidRPr="00330C0D">
        <w:rPr>
          <w:rFonts w:eastAsia="仿宋_GB2312" w:hint="eastAsia"/>
          <w:sz w:val="28"/>
          <w:szCs w:val="28"/>
        </w:rPr>
        <w:t>以及基金费率等条款的约定，并根据现行有效的法律法规规定，在对基金份额持有人无实质性不利影响的前提下对基金合同的其他条款进行了修订。</w:t>
      </w:r>
      <w:r w:rsidRPr="00330C0D">
        <w:rPr>
          <w:rFonts w:eastAsia="仿宋_GB2312"/>
          <w:sz w:val="28"/>
          <w:szCs w:val="28"/>
        </w:rPr>
        <w:t xml:space="preserve"> </w:t>
      </w:r>
    </w:p>
    <w:p w:rsidR="00330C0D" w:rsidRDefault="00330C0D" w:rsidP="003754C6">
      <w:pPr>
        <w:spacing w:line="288" w:lineRule="auto"/>
        <w:ind w:firstLineChars="200" w:firstLine="560"/>
        <w:jc w:val="left"/>
        <w:rPr>
          <w:rFonts w:eastAsia="仿宋_GB2312"/>
          <w:sz w:val="28"/>
          <w:szCs w:val="28"/>
        </w:rPr>
      </w:pPr>
      <w:r w:rsidRPr="00330C0D">
        <w:rPr>
          <w:rFonts w:eastAsia="仿宋_GB2312" w:hint="eastAsia"/>
          <w:sz w:val="28"/>
          <w:szCs w:val="28"/>
        </w:rPr>
        <w:t>自</w:t>
      </w:r>
      <w:r w:rsidRPr="00330C0D">
        <w:rPr>
          <w:rFonts w:eastAsia="仿宋_GB2312"/>
          <w:sz w:val="28"/>
          <w:szCs w:val="28"/>
        </w:rPr>
        <w:t>2015</w:t>
      </w:r>
      <w:r w:rsidRPr="00330C0D">
        <w:rPr>
          <w:rFonts w:eastAsia="仿宋_GB2312" w:hint="eastAsia"/>
          <w:sz w:val="28"/>
          <w:szCs w:val="28"/>
        </w:rPr>
        <w:t>年</w:t>
      </w:r>
      <w:r w:rsidRPr="00330C0D">
        <w:rPr>
          <w:rFonts w:eastAsia="仿宋_GB2312"/>
          <w:sz w:val="28"/>
          <w:szCs w:val="28"/>
        </w:rPr>
        <w:t>6</w:t>
      </w:r>
      <w:r w:rsidRPr="00330C0D">
        <w:rPr>
          <w:rFonts w:eastAsia="仿宋_GB2312" w:hint="eastAsia"/>
          <w:sz w:val="28"/>
          <w:szCs w:val="28"/>
        </w:rPr>
        <w:t>月</w:t>
      </w:r>
      <w:r w:rsidRPr="00330C0D">
        <w:rPr>
          <w:rFonts w:eastAsia="仿宋_GB2312"/>
          <w:sz w:val="28"/>
          <w:szCs w:val="28"/>
        </w:rPr>
        <w:t>27</w:t>
      </w:r>
      <w:r w:rsidRPr="00330C0D">
        <w:rPr>
          <w:rFonts w:eastAsia="仿宋_GB2312" w:hint="eastAsia"/>
          <w:sz w:val="28"/>
          <w:szCs w:val="28"/>
        </w:rPr>
        <w:t>日起，修订后的《交银施罗德策略回报灵活配置混合型证券投资基金基金合同》生效，《交银施罗德荣安保本混合型证券投资基金基金合同》自同一日起失效。交银施罗德荣安保本混合型证券投资基金变更为交银施罗德策略回报灵活配置混合型证券投资基金。前述修改变更事项已报中国证监会备案。</w:t>
      </w:r>
    </w:p>
    <w:p w:rsidR="00000000" w:rsidRDefault="001B3757">
      <w:pPr>
        <w:spacing w:line="288" w:lineRule="auto"/>
        <w:ind w:firstLineChars="200" w:firstLine="560"/>
        <w:rPr>
          <w:rFonts w:eastAsia="仿宋_GB2312"/>
          <w:sz w:val="28"/>
          <w:szCs w:val="28"/>
        </w:rPr>
      </w:pPr>
      <w:r>
        <w:rPr>
          <w:rFonts w:eastAsia="仿宋_GB2312" w:hint="eastAsia"/>
          <w:sz w:val="28"/>
          <w:szCs w:val="28"/>
        </w:rPr>
        <w:t>交银策略回报的</w:t>
      </w:r>
      <w:r w:rsidRPr="00DD0C13">
        <w:rPr>
          <w:rFonts w:eastAsia="仿宋_GB2312"/>
          <w:sz w:val="28"/>
          <w:szCs w:val="28"/>
        </w:rPr>
        <w:t>投资目标、</w:t>
      </w:r>
      <w:r w:rsidR="00861D66" w:rsidRPr="00330C0D">
        <w:rPr>
          <w:rFonts w:eastAsia="仿宋_GB2312" w:hint="eastAsia"/>
          <w:sz w:val="28"/>
          <w:szCs w:val="28"/>
        </w:rPr>
        <w:t>投资范围、</w:t>
      </w:r>
      <w:r w:rsidRPr="00DD0C13">
        <w:rPr>
          <w:rFonts w:eastAsia="仿宋_GB2312"/>
          <w:sz w:val="28"/>
          <w:szCs w:val="28"/>
        </w:rPr>
        <w:t>投资策略</w:t>
      </w:r>
      <w:r>
        <w:rPr>
          <w:rFonts w:eastAsia="仿宋_GB2312" w:hint="eastAsia"/>
          <w:sz w:val="28"/>
          <w:szCs w:val="28"/>
        </w:rPr>
        <w:t>、基金</w:t>
      </w:r>
      <w:r w:rsidRPr="00DD0C13">
        <w:rPr>
          <w:rFonts w:eastAsia="仿宋_GB2312"/>
          <w:sz w:val="28"/>
          <w:szCs w:val="28"/>
        </w:rPr>
        <w:t>费率</w:t>
      </w:r>
      <w:r>
        <w:rPr>
          <w:rFonts w:eastAsia="仿宋_GB2312" w:hint="eastAsia"/>
          <w:sz w:val="28"/>
          <w:szCs w:val="28"/>
        </w:rPr>
        <w:t>、业务开通情况、销售机构及其他具体操作事宜</w:t>
      </w:r>
      <w:r w:rsidRPr="00DD0C13">
        <w:rPr>
          <w:rFonts w:eastAsia="仿宋_GB2312"/>
          <w:sz w:val="28"/>
          <w:szCs w:val="28"/>
        </w:rPr>
        <w:t>按</w:t>
      </w:r>
      <w:r>
        <w:rPr>
          <w:rFonts w:eastAsia="仿宋_GB2312" w:hint="eastAsia"/>
          <w:sz w:val="28"/>
          <w:szCs w:val="28"/>
        </w:rPr>
        <w:t>照该基金基金合同及招募说明书等</w:t>
      </w:r>
      <w:r w:rsidRPr="00DD0C13">
        <w:rPr>
          <w:rFonts w:eastAsia="仿宋_GB2312"/>
          <w:sz w:val="28"/>
          <w:szCs w:val="28"/>
        </w:rPr>
        <w:t>相关规定进行运作</w:t>
      </w:r>
      <w:r>
        <w:rPr>
          <w:rFonts w:eastAsia="仿宋_GB2312" w:hint="eastAsia"/>
          <w:sz w:val="28"/>
          <w:szCs w:val="28"/>
        </w:rPr>
        <w:t>，详见</w:t>
      </w:r>
      <w:r w:rsidRPr="00CC712B">
        <w:rPr>
          <w:rFonts w:eastAsia="仿宋_GB2312" w:hint="eastAsia"/>
          <w:sz w:val="28"/>
          <w:szCs w:val="28"/>
        </w:rPr>
        <w:t>刊登在</w:t>
      </w:r>
      <w:r w:rsidR="00626824">
        <w:rPr>
          <w:rFonts w:eastAsia="仿宋_GB2312" w:hint="eastAsia"/>
          <w:sz w:val="28"/>
          <w:szCs w:val="28"/>
        </w:rPr>
        <w:t>2015</w:t>
      </w:r>
      <w:r w:rsidR="00626824" w:rsidRPr="003927D8">
        <w:rPr>
          <w:rFonts w:eastAsia="仿宋_GB2312" w:hint="eastAsia"/>
          <w:sz w:val="28"/>
          <w:szCs w:val="28"/>
        </w:rPr>
        <w:t>年</w:t>
      </w:r>
      <w:r w:rsidR="00626824">
        <w:rPr>
          <w:rFonts w:eastAsia="仿宋_GB2312" w:hint="eastAsia"/>
          <w:sz w:val="28"/>
          <w:szCs w:val="28"/>
        </w:rPr>
        <w:t>6</w:t>
      </w:r>
      <w:r w:rsidRPr="003927D8">
        <w:rPr>
          <w:rFonts w:eastAsia="仿宋_GB2312" w:hint="eastAsia"/>
          <w:sz w:val="28"/>
          <w:szCs w:val="28"/>
        </w:rPr>
        <w:t>月</w:t>
      </w:r>
      <w:r w:rsidR="005F1632">
        <w:rPr>
          <w:rFonts w:eastAsia="仿宋_GB2312"/>
          <w:sz w:val="28"/>
          <w:szCs w:val="28"/>
        </w:rPr>
        <w:t>15</w:t>
      </w:r>
      <w:r w:rsidRPr="003927D8">
        <w:rPr>
          <w:rFonts w:eastAsia="仿宋_GB2312" w:hint="eastAsia"/>
          <w:sz w:val="28"/>
          <w:szCs w:val="28"/>
        </w:rPr>
        <w:t>日《中国证券报》、</w:t>
      </w:r>
      <w:r w:rsidR="00626824">
        <w:rPr>
          <w:rFonts w:eastAsia="仿宋_GB2312" w:hint="eastAsia"/>
          <w:sz w:val="28"/>
          <w:szCs w:val="28"/>
        </w:rPr>
        <w:t>2015</w:t>
      </w:r>
      <w:r w:rsidR="00626824" w:rsidRPr="003927D8">
        <w:rPr>
          <w:rFonts w:eastAsia="仿宋_GB2312" w:hint="eastAsia"/>
          <w:sz w:val="28"/>
          <w:szCs w:val="28"/>
        </w:rPr>
        <w:t>年</w:t>
      </w:r>
      <w:r w:rsidR="00626824">
        <w:rPr>
          <w:rFonts w:eastAsia="仿宋_GB2312" w:hint="eastAsia"/>
          <w:sz w:val="28"/>
          <w:szCs w:val="28"/>
        </w:rPr>
        <w:t>6</w:t>
      </w:r>
      <w:r w:rsidRPr="003927D8">
        <w:rPr>
          <w:rFonts w:eastAsia="仿宋_GB2312" w:hint="eastAsia"/>
          <w:sz w:val="28"/>
          <w:szCs w:val="28"/>
        </w:rPr>
        <w:t>月</w:t>
      </w:r>
      <w:r w:rsidR="005F1632">
        <w:rPr>
          <w:rFonts w:eastAsia="仿宋_GB2312"/>
          <w:sz w:val="28"/>
          <w:szCs w:val="28"/>
        </w:rPr>
        <w:t>16</w:t>
      </w:r>
      <w:r w:rsidRPr="003927D8">
        <w:rPr>
          <w:rFonts w:eastAsia="仿宋_GB2312" w:hint="eastAsia"/>
          <w:sz w:val="28"/>
          <w:szCs w:val="28"/>
        </w:rPr>
        <w:t>日《上海证券报》和</w:t>
      </w:r>
      <w:r w:rsidR="00626824">
        <w:rPr>
          <w:rFonts w:eastAsia="仿宋_GB2312" w:hint="eastAsia"/>
          <w:sz w:val="28"/>
          <w:szCs w:val="28"/>
        </w:rPr>
        <w:t>2015</w:t>
      </w:r>
      <w:r w:rsidR="00626824" w:rsidRPr="003927D8">
        <w:rPr>
          <w:rFonts w:eastAsia="仿宋_GB2312" w:hint="eastAsia"/>
          <w:sz w:val="28"/>
          <w:szCs w:val="28"/>
        </w:rPr>
        <w:t>年</w:t>
      </w:r>
      <w:r w:rsidR="00626824">
        <w:rPr>
          <w:rFonts w:eastAsia="仿宋_GB2312" w:hint="eastAsia"/>
          <w:sz w:val="28"/>
          <w:szCs w:val="28"/>
        </w:rPr>
        <w:t>6</w:t>
      </w:r>
      <w:r w:rsidRPr="003927D8">
        <w:rPr>
          <w:rFonts w:eastAsia="仿宋_GB2312" w:hint="eastAsia"/>
          <w:sz w:val="28"/>
          <w:szCs w:val="28"/>
        </w:rPr>
        <w:t>月</w:t>
      </w:r>
      <w:r w:rsidR="005F1632">
        <w:rPr>
          <w:rFonts w:eastAsia="仿宋_GB2312"/>
          <w:sz w:val="28"/>
          <w:szCs w:val="28"/>
        </w:rPr>
        <w:t>17</w:t>
      </w:r>
      <w:r w:rsidRPr="003927D8">
        <w:rPr>
          <w:rFonts w:eastAsia="仿宋_GB2312" w:hint="eastAsia"/>
          <w:sz w:val="28"/>
          <w:szCs w:val="28"/>
        </w:rPr>
        <w:t>日</w:t>
      </w:r>
      <w:r w:rsidRPr="00CC712B">
        <w:rPr>
          <w:rFonts w:eastAsia="仿宋_GB2312" w:hint="eastAsia"/>
          <w:sz w:val="28"/>
          <w:szCs w:val="28"/>
        </w:rPr>
        <w:t>《证券时报》上的</w:t>
      </w:r>
      <w:r w:rsidRPr="00DD0C13">
        <w:rPr>
          <w:rFonts w:eastAsia="仿宋_GB2312" w:hint="eastAsia"/>
          <w:sz w:val="28"/>
          <w:szCs w:val="28"/>
        </w:rPr>
        <w:t>《</w:t>
      </w:r>
      <w:r>
        <w:rPr>
          <w:rFonts w:eastAsia="仿宋_GB2312"/>
          <w:sz w:val="28"/>
          <w:szCs w:val="28"/>
        </w:rPr>
        <w:t>交银施罗德</w:t>
      </w:r>
      <w:r>
        <w:rPr>
          <w:rFonts w:eastAsia="仿宋_GB2312" w:hint="eastAsia"/>
          <w:sz w:val="28"/>
          <w:szCs w:val="28"/>
        </w:rPr>
        <w:t>策略回报</w:t>
      </w:r>
      <w:r>
        <w:rPr>
          <w:rFonts w:eastAsia="仿宋_GB2312"/>
          <w:sz w:val="28"/>
          <w:szCs w:val="28"/>
        </w:rPr>
        <w:t>灵活配置混合型证券投资基金</w:t>
      </w:r>
      <w:r w:rsidRPr="00B977A6">
        <w:rPr>
          <w:rFonts w:eastAsia="仿宋_GB2312"/>
          <w:sz w:val="28"/>
          <w:szCs w:val="28"/>
        </w:rPr>
        <w:t>基金合同</w:t>
      </w:r>
      <w:r>
        <w:rPr>
          <w:rFonts w:eastAsia="仿宋_GB2312" w:hint="eastAsia"/>
          <w:sz w:val="28"/>
          <w:szCs w:val="28"/>
        </w:rPr>
        <w:t>摘要</w:t>
      </w:r>
      <w:r w:rsidRPr="00B977A6">
        <w:rPr>
          <w:rFonts w:eastAsia="仿宋_GB2312"/>
          <w:sz w:val="28"/>
          <w:szCs w:val="28"/>
        </w:rPr>
        <w:t>》</w:t>
      </w:r>
      <w:r>
        <w:rPr>
          <w:rFonts w:eastAsia="仿宋_GB2312" w:hint="eastAsia"/>
          <w:sz w:val="28"/>
          <w:szCs w:val="28"/>
        </w:rPr>
        <w:t>及</w:t>
      </w:r>
      <w:r w:rsidRPr="00CC712B">
        <w:rPr>
          <w:rFonts w:eastAsia="仿宋_GB2312" w:hint="eastAsia"/>
          <w:sz w:val="28"/>
          <w:szCs w:val="28"/>
        </w:rPr>
        <w:t>《交银施罗德</w:t>
      </w:r>
      <w:r>
        <w:rPr>
          <w:rFonts w:eastAsia="仿宋_GB2312" w:hint="eastAsia"/>
          <w:sz w:val="28"/>
          <w:szCs w:val="28"/>
        </w:rPr>
        <w:t>策略回报</w:t>
      </w:r>
      <w:r>
        <w:rPr>
          <w:rFonts w:eastAsia="仿宋_GB2312"/>
          <w:sz w:val="28"/>
          <w:szCs w:val="28"/>
        </w:rPr>
        <w:t>灵活配置混合型证券投资基金</w:t>
      </w:r>
      <w:r w:rsidRPr="00CC712B">
        <w:rPr>
          <w:rFonts w:eastAsia="仿宋_GB2312" w:hint="eastAsia"/>
          <w:sz w:val="28"/>
          <w:szCs w:val="28"/>
        </w:rPr>
        <w:t>招募说明书》。</w:t>
      </w:r>
      <w:r w:rsidRPr="00DD0C13">
        <w:rPr>
          <w:rFonts w:eastAsia="仿宋_GB2312" w:hint="eastAsia"/>
          <w:sz w:val="28"/>
          <w:szCs w:val="28"/>
        </w:rPr>
        <w:t>《</w:t>
      </w:r>
      <w:r>
        <w:rPr>
          <w:rFonts w:eastAsia="仿宋_GB2312"/>
          <w:sz w:val="28"/>
          <w:szCs w:val="28"/>
        </w:rPr>
        <w:t>交银施罗德</w:t>
      </w:r>
      <w:r>
        <w:rPr>
          <w:rFonts w:eastAsia="仿宋_GB2312" w:hint="eastAsia"/>
          <w:sz w:val="28"/>
          <w:szCs w:val="28"/>
        </w:rPr>
        <w:t>策略回报</w:t>
      </w:r>
      <w:r>
        <w:rPr>
          <w:rFonts w:eastAsia="仿宋_GB2312"/>
          <w:sz w:val="28"/>
          <w:szCs w:val="28"/>
        </w:rPr>
        <w:t>灵活配置混合型证券投资基金</w:t>
      </w:r>
      <w:r w:rsidRPr="00B977A6">
        <w:rPr>
          <w:rFonts w:eastAsia="仿宋_GB2312"/>
          <w:sz w:val="28"/>
          <w:szCs w:val="28"/>
        </w:rPr>
        <w:t>基金合同》</w:t>
      </w:r>
      <w:r>
        <w:rPr>
          <w:rFonts w:eastAsia="仿宋_GB2312" w:hint="eastAsia"/>
          <w:sz w:val="28"/>
          <w:szCs w:val="28"/>
        </w:rPr>
        <w:t>及</w:t>
      </w:r>
      <w:r w:rsidRPr="00DD0C13">
        <w:rPr>
          <w:rFonts w:eastAsia="仿宋_GB2312" w:hint="eastAsia"/>
          <w:sz w:val="28"/>
          <w:szCs w:val="28"/>
        </w:rPr>
        <w:t>《</w:t>
      </w:r>
      <w:r>
        <w:rPr>
          <w:rFonts w:eastAsia="仿宋_GB2312"/>
          <w:sz w:val="28"/>
          <w:szCs w:val="28"/>
        </w:rPr>
        <w:t>交银施罗德</w:t>
      </w:r>
      <w:r>
        <w:rPr>
          <w:rFonts w:eastAsia="仿宋_GB2312" w:hint="eastAsia"/>
          <w:sz w:val="28"/>
          <w:szCs w:val="28"/>
        </w:rPr>
        <w:t>策略回报</w:t>
      </w:r>
      <w:r>
        <w:rPr>
          <w:rFonts w:eastAsia="仿宋_GB2312"/>
          <w:sz w:val="28"/>
          <w:szCs w:val="28"/>
        </w:rPr>
        <w:t>灵活配置混合型证券投资基金</w:t>
      </w:r>
      <w:r>
        <w:rPr>
          <w:rFonts w:eastAsia="仿宋_GB2312" w:hint="eastAsia"/>
          <w:sz w:val="28"/>
          <w:szCs w:val="28"/>
        </w:rPr>
        <w:t>托管协议</w:t>
      </w:r>
      <w:r w:rsidRPr="00B977A6">
        <w:rPr>
          <w:rFonts w:eastAsia="仿宋_GB2312"/>
          <w:sz w:val="28"/>
          <w:szCs w:val="28"/>
        </w:rPr>
        <w:t>》</w:t>
      </w:r>
      <w:r>
        <w:rPr>
          <w:rFonts w:eastAsia="仿宋_GB2312" w:hint="eastAsia"/>
          <w:sz w:val="28"/>
          <w:szCs w:val="28"/>
        </w:rPr>
        <w:t>并同时登载于本公司网站。</w:t>
      </w:r>
    </w:p>
    <w:p w:rsidR="00330C0D" w:rsidRPr="00330C0D" w:rsidRDefault="00330C0D" w:rsidP="003754C6">
      <w:pPr>
        <w:spacing w:line="288" w:lineRule="auto"/>
        <w:ind w:firstLineChars="200" w:firstLine="560"/>
        <w:jc w:val="left"/>
        <w:rPr>
          <w:rFonts w:eastAsia="仿宋_GB2312"/>
          <w:sz w:val="28"/>
          <w:szCs w:val="28"/>
        </w:rPr>
      </w:pPr>
      <w:r w:rsidRPr="00330C0D">
        <w:rPr>
          <w:rFonts w:eastAsia="仿宋_GB2312" w:hint="eastAsia"/>
          <w:sz w:val="28"/>
          <w:szCs w:val="28"/>
        </w:rPr>
        <w:t>特此公告。</w:t>
      </w:r>
      <w:r w:rsidRPr="00330C0D">
        <w:rPr>
          <w:rFonts w:eastAsia="仿宋_GB2312"/>
          <w:sz w:val="28"/>
          <w:szCs w:val="28"/>
        </w:rPr>
        <w:t xml:space="preserve"> </w:t>
      </w:r>
    </w:p>
    <w:p w:rsidR="00330C0D" w:rsidRPr="00330C0D" w:rsidRDefault="00330C0D" w:rsidP="003754C6">
      <w:pPr>
        <w:spacing w:line="360" w:lineRule="auto"/>
        <w:ind w:firstLineChars="200" w:firstLine="560"/>
        <w:jc w:val="right"/>
        <w:rPr>
          <w:rFonts w:eastAsia="仿宋_GB2312"/>
          <w:sz w:val="28"/>
          <w:szCs w:val="28"/>
        </w:rPr>
      </w:pPr>
      <w:r w:rsidRPr="00330C0D">
        <w:rPr>
          <w:rFonts w:eastAsia="仿宋_GB2312" w:hint="eastAsia"/>
          <w:sz w:val="28"/>
          <w:szCs w:val="28"/>
        </w:rPr>
        <w:t>交银施罗德基金管理有限公司</w:t>
      </w:r>
      <w:r w:rsidRPr="00330C0D">
        <w:rPr>
          <w:rFonts w:eastAsia="仿宋_GB2312"/>
          <w:sz w:val="28"/>
          <w:szCs w:val="28"/>
        </w:rPr>
        <w:t xml:space="preserve"> </w:t>
      </w:r>
    </w:p>
    <w:p w:rsidR="006D6078" w:rsidRDefault="00626824" w:rsidP="003754C6">
      <w:pPr>
        <w:wordWrap w:val="0"/>
        <w:spacing w:line="360" w:lineRule="auto"/>
        <w:ind w:firstLineChars="200" w:firstLine="560"/>
        <w:jc w:val="right"/>
      </w:pPr>
      <w:r w:rsidRPr="00330C0D">
        <w:rPr>
          <w:rFonts w:eastAsia="仿宋_GB2312" w:hint="eastAsia"/>
          <w:sz w:val="28"/>
          <w:szCs w:val="28"/>
        </w:rPr>
        <w:t>二〇一五年</w:t>
      </w:r>
      <w:r>
        <w:rPr>
          <w:rFonts w:eastAsia="仿宋_GB2312" w:hint="eastAsia"/>
          <w:sz w:val="28"/>
          <w:szCs w:val="28"/>
        </w:rPr>
        <w:t>六</w:t>
      </w:r>
      <w:r w:rsidRPr="00330C0D">
        <w:rPr>
          <w:rFonts w:eastAsia="仿宋_GB2312" w:hint="eastAsia"/>
          <w:sz w:val="28"/>
          <w:szCs w:val="28"/>
        </w:rPr>
        <w:t>月</w:t>
      </w:r>
      <w:r w:rsidR="005F1632">
        <w:rPr>
          <w:rFonts w:eastAsia="仿宋_GB2312" w:hint="eastAsia"/>
          <w:sz w:val="28"/>
          <w:szCs w:val="28"/>
        </w:rPr>
        <w:t>十五</w:t>
      </w:r>
      <w:r w:rsidR="00330C0D" w:rsidRPr="00330C0D">
        <w:rPr>
          <w:rFonts w:eastAsia="仿宋_GB2312" w:hint="eastAsia"/>
          <w:sz w:val="28"/>
          <w:szCs w:val="28"/>
        </w:rPr>
        <w:t>日</w:t>
      </w:r>
    </w:p>
    <w:sectPr w:rsidR="006D6078" w:rsidSect="00DE7068">
      <w:headerReference w:type="default" r:id="rId6"/>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CAD9A2" w15:done="0"/>
  <w15:commentEx w15:paraId="647ACC3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C54" w:rsidRDefault="00B82C54"/>
  </w:endnote>
  <w:endnote w:type="continuationSeparator" w:id="0">
    <w:p w:rsidR="00B82C54" w:rsidRDefault="00B82C54"/>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C54" w:rsidRDefault="00B82C54"/>
  </w:footnote>
  <w:footnote w:type="continuationSeparator" w:id="0">
    <w:p w:rsidR="00B82C54" w:rsidRDefault="00B82C5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5FC" w:rsidRDefault="00EC1EC3">
    <w:pPr>
      <w:pStyle w:val="a3"/>
    </w:pPr>
    <w:r>
      <w:rPr>
        <w:noProof/>
      </w:rPr>
      <w:drawing>
        <wp:anchor distT="0" distB="0" distL="114300" distR="114300" simplePos="0" relativeHeight="251657728" behindDoc="0" locked="0" layoutInCell="1" allowOverlap="1">
          <wp:simplePos x="0" y="0"/>
          <wp:positionH relativeFrom="column">
            <wp:posOffset>-10160</wp:posOffset>
          </wp:positionH>
          <wp:positionV relativeFrom="paragraph">
            <wp:posOffset>2540</wp:posOffset>
          </wp:positionV>
          <wp:extent cx="5324475" cy="38544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24475" cy="385445"/>
                  </a:xfrm>
                  <a:prstGeom prst="rect">
                    <a:avLst/>
                  </a:prstGeom>
                  <a:noFill/>
                </pic:spPr>
              </pic:pic>
            </a:graphicData>
          </a:graphic>
        </wp:anchor>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孙文婷">
    <w15:presenceInfo w15:providerId="None" w15:userId="孙文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1942"/>
    <w:rsid w:val="00002859"/>
    <w:rsid w:val="0000682F"/>
    <w:rsid w:val="00010A1B"/>
    <w:rsid w:val="00043A2A"/>
    <w:rsid w:val="00052807"/>
    <w:rsid w:val="000A4BA6"/>
    <w:rsid w:val="000B7505"/>
    <w:rsid w:val="000D0B5B"/>
    <w:rsid w:val="001123EC"/>
    <w:rsid w:val="00122D0D"/>
    <w:rsid w:val="00131B9F"/>
    <w:rsid w:val="001565FA"/>
    <w:rsid w:val="00187396"/>
    <w:rsid w:val="001B092F"/>
    <w:rsid w:val="001B3757"/>
    <w:rsid w:val="001F501D"/>
    <w:rsid w:val="00212785"/>
    <w:rsid w:val="002571D9"/>
    <w:rsid w:val="00293CC0"/>
    <w:rsid w:val="002A1C56"/>
    <w:rsid w:val="002A647D"/>
    <w:rsid w:val="002C1639"/>
    <w:rsid w:val="002F70B2"/>
    <w:rsid w:val="00330C0D"/>
    <w:rsid w:val="00337C4F"/>
    <w:rsid w:val="00344DC3"/>
    <w:rsid w:val="003754C6"/>
    <w:rsid w:val="00381EBA"/>
    <w:rsid w:val="003F6001"/>
    <w:rsid w:val="00431F01"/>
    <w:rsid w:val="00484325"/>
    <w:rsid w:val="004B6F85"/>
    <w:rsid w:val="005345FB"/>
    <w:rsid w:val="005F1632"/>
    <w:rsid w:val="006203F1"/>
    <w:rsid w:val="00626824"/>
    <w:rsid w:val="00633F06"/>
    <w:rsid w:val="00684A96"/>
    <w:rsid w:val="00690611"/>
    <w:rsid w:val="006B4DDE"/>
    <w:rsid w:val="006D0DE2"/>
    <w:rsid w:val="006D6078"/>
    <w:rsid w:val="00703C99"/>
    <w:rsid w:val="0071135B"/>
    <w:rsid w:val="00715E91"/>
    <w:rsid w:val="007367B8"/>
    <w:rsid w:val="00766549"/>
    <w:rsid w:val="00790A7E"/>
    <w:rsid w:val="007A0205"/>
    <w:rsid w:val="007B2F6F"/>
    <w:rsid w:val="008168A6"/>
    <w:rsid w:val="00861D66"/>
    <w:rsid w:val="00883648"/>
    <w:rsid w:val="008B3202"/>
    <w:rsid w:val="008B4723"/>
    <w:rsid w:val="008B4904"/>
    <w:rsid w:val="008E6682"/>
    <w:rsid w:val="009045F6"/>
    <w:rsid w:val="009729AB"/>
    <w:rsid w:val="0099575D"/>
    <w:rsid w:val="009E75FC"/>
    <w:rsid w:val="00A2255B"/>
    <w:rsid w:val="00A33191"/>
    <w:rsid w:val="00A72A5D"/>
    <w:rsid w:val="00A748F2"/>
    <w:rsid w:val="00A770EA"/>
    <w:rsid w:val="00AA4523"/>
    <w:rsid w:val="00B1289D"/>
    <w:rsid w:val="00B2289D"/>
    <w:rsid w:val="00B64DBF"/>
    <w:rsid w:val="00B82C54"/>
    <w:rsid w:val="00B92886"/>
    <w:rsid w:val="00BB3E80"/>
    <w:rsid w:val="00BB7B8B"/>
    <w:rsid w:val="00BD6A0B"/>
    <w:rsid w:val="00C123B5"/>
    <w:rsid w:val="00C255E6"/>
    <w:rsid w:val="00C5654E"/>
    <w:rsid w:val="00C92D5C"/>
    <w:rsid w:val="00CB2C9F"/>
    <w:rsid w:val="00CB433A"/>
    <w:rsid w:val="00CF7AED"/>
    <w:rsid w:val="00D022AC"/>
    <w:rsid w:val="00D22477"/>
    <w:rsid w:val="00D31A07"/>
    <w:rsid w:val="00D83200"/>
    <w:rsid w:val="00D86691"/>
    <w:rsid w:val="00DA7C28"/>
    <w:rsid w:val="00DB0D04"/>
    <w:rsid w:val="00DE7068"/>
    <w:rsid w:val="00DF79BE"/>
    <w:rsid w:val="00EA456E"/>
    <w:rsid w:val="00EC1EC3"/>
    <w:rsid w:val="00EC35B2"/>
    <w:rsid w:val="00EC4601"/>
    <w:rsid w:val="00EE227B"/>
    <w:rsid w:val="00F02AB6"/>
    <w:rsid w:val="00F0782C"/>
    <w:rsid w:val="00F301D8"/>
    <w:rsid w:val="00F91248"/>
    <w:rsid w:val="00FB19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942"/>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5E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5E91"/>
    <w:rPr>
      <w:rFonts w:ascii="Times New Roman" w:eastAsia="宋体" w:hAnsi="Times New Roman" w:cs="Times New Roman"/>
      <w:sz w:val="18"/>
      <w:szCs w:val="18"/>
    </w:rPr>
  </w:style>
  <w:style w:type="paragraph" w:styleId="a4">
    <w:name w:val="footer"/>
    <w:basedOn w:val="a"/>
    <w:link w:val="Char0"/>
    <w:uiPriority w:val="99"/>
    <w:unhideWhenUsed/>
    <w:rsid w:val="00715E91"/>
    <w:pPr>
      <w:tabs>
        <w:tab w:val="center" w:pos="4153"/>
        <w:tab w:val="right" w:pos="8306"/>
      </w:tabs>
      <w:snapToGrid w:val="0"/>
      <w:jc w:val="left"/>
    </w:pPr>
    <w:rPr>
      <w:sz w:val="18"/>
      <w:szCs w:val="18"/>
    </w:rPr>
  </w:style>
  <w:style w:type="character" w:customStyle="1" w:styleId="Char0">
    <w:name w:val="页脚 Char"/>
    <w:basedOn w:val="a0"/>
    <w:link w:val="a4"/>
    <w:uiPriority w:val="99"/>
    <w:rsid w:val="00715E91"/>
    <w:rPr>
      <w:rFonts w:ascii="Times New Roman" w:eastAsia="宋体" w:hAnsi="Times New Roman" w:cs="Times New Roman"/>
      <w:sz w:val="18"/>
      <w:szCs w:val="18"/>
    </w:rPr>
  </w:style>
  <w:style w:type="character" w:styleId="a5">
    <w:name w:val="annotation reference"/>
    <w:basedOn w:val="a0"/>
    <w:unhideWhenUsed/>
    <w:rsid w:val="006B4DDE"/>
    <w:rPr>
      <w:sz w:val="21"/>
      <w:szCs w:val="21"/>
    </w:rPr>
  </w:style>
  <w:style w:type="paragraph" w:styleId="a6">
    <w:name w:val="annotation text"/>
    <w:basedOn w:val="a"/>
    <w:link w:val="Char1"/>
    <w:unhideWhenUsed/>
    <w:rsid w:val="006B4DDE"/>
    <w:pPr>
      <w:jc w:val="left"/>
    </w:pPr>
  </w:style>
  <w:style w:type="character" w:customStyle="1" w:styleId="Char1">
    <w:name w:val="批注文字 Char"/>
    <w:basedOn w:val="a0"/>
    <w:link w:val="a6"/>
    <w:rsid w:val="006B4DDE"/>
    <w:rPr>
      <w:rFonts w:ascii="Times New Roman" w:hAnsi="Times New Roman"/>
      <w:kern w:val="2"/>
      <w:sz w:val="21"/>
      <w:szCs w:val="24"/>
    </w:rPr>
  </w:style>
  <w:style w:type="paragraph" w:styleId="a7">
    <w:name w:val="annotation subject"/>
    <w:basedOn w:val="a6"/>
    <w:next w:val="a6"/>
    <w:link w:val="Char2"/>
    <w:uiPriority w:val="99"/>
    <w:semiHidden/>
    <w:unhideWhenUsed/>
    <w:rsid w:val="006B4DDE"/>
    <w:rPr>
      <w:b/>
      <w:bCs/>
    </w:rPr>
  </w:style>
  <w:style w:type="character" w:customStyle="1" w:styleId="Char2">
    <w:name w:val="批注主题 Char"/>
    <w:basedOn w:val="Char1"/>
    <w:link w:val="a7"/>
    <w:uiPriority w:val="99"/>
    <w:semiHidden/>
    <w:rsid w:val="006B4DDE"/>
    <w:rPr>
      <w:rFonts w:ascii="Times New Roman" w:hAnsi="Times New Roman"/>
      <w:b/>
      <w:bCs/>
      <w:kern w:val="2"/>
      <w:sz w:val="21"/>
      <w:szCs w:val="24"/>
    </w:rPr>
  </w:style>
  <w:style w:type="paragraph" w:styleId="a8">
    <w:name w:val="Balloon Text"/>
    <w:basedOn w:val="a"/>
    <w:link w:val="Char3"/>
    <w:uiPriority w:val="99"/>
    <w:semiHidden/>
    <w:unhideWhenUsed/>
    <w:rsid w:val="006B4DDE"/>
    <w:rPr>
      <w:sz w:val="18"/>
      <w:szCs w:val="18"/>
    </w:rPr>
  </w:style>
  <w:style w:type="character" w:customStyle="1" w:styleId="Char3">
    <w:name w:val="批注框文本 Char"/>
    <w:basedOn w:val="a0"/>
    <w:link w:val="a8"/>
    <w:uiPriority w:val="99"/>
    <w:semiHidden/>
    <w:rsid w:val="006B4DDE"/>
    <w:rPr>
      <w:rFonts w:ascii="Times New Roman" w:hAnsi="Times New Roman"/>
      <w:kern w:val="2"/>
      <w:sz w:val="18"/>
      <w:szCs w:val="18"/>
    </w:rPr>
  </w:style>
  <w:style w:type="paragraph" w:customStyle="1" w:styleId="CharCharCharCharCharCharChar">
    <w:name w:val="Char Char Char Char Char Char Char"/>
    <w:basedOn w:val="a"/>
    <w:rsid w:val="006B4DDE"/>
  </w:style>
  <w:style w:type="paragraph" w:customStyle="1" w:styleId="Default">
    <w:name w:val="Default"/>
    <w:rsid w:val="00052807"/>
    <w:pPr>
      <w:widowControl w:val="0"/>
      <w:autoSpaceDE w:val="0"/>
      <w:autoSpaceDN w:val="0"/>
      <w:adjustRightInd w:val="0"/>
    </w:pPr>
    <w:rPr>
      <w:rFonts w:ascii="黑体" w:eastAsia="黑体" w:cs="黑体"/>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倪俊</dc:creator>
  <cp:lastModifiedBy>郝嘉吉4</cp:lastModifiedBy>
  <cp:revision>11</cp:revision>
  <dcterms:created xsi:type="dcterms:W3CDTF">2015-05-19T06:03:00Z</dcterms:created>
  <dcterms:modified xsi:type="dcterms:W3CDTF">2015-06-11T02:05:00Z</dcterms:modified>
</cp:coreProperties>
</file>