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BB" w:rsidRDefault="003C3CBB" w:rsidP="005F64F4">
      <w:pPr>
        <w:spacing w:line="360" w:lineRule="auto"/>
        <w:ind w:firstLineChars="200" w:firstLine="643"/>
        <w:jc w:val="center"/>
        <w:rPr>
          <w:rFonts w:ascii="Times New Roman" w:eastAsia="宋体" w:hAnsi="Times New Roman" w:cs="Times New Roman"/>
          <w:b/>
          <w:sz w:val="32"/>
          <w:szCs w:val="32"/>
        </w:rPr>
      </w:pPr>
      <w:r w:rsidRPr="003C3CBB">
        <w:rPr>
          <w:rFonts w:ascii="Times New Roman" w:eastAsia="宋体" w:hAnsi="Times New Roman" w:cs="Times New Roman" w:hint="eastAsia"/>
          <w:b/>
          <w:sz w:val="32"/>
          <w:szCs w:val="32"/>
        </w:rPr>
        <w:t>交银施罗德国企改革灵活配置混合型证券投资基金</w:t>
      </w:r>
    </w:p>
    <w:p w:rsidR="005E537B" w:rsidRDefault="003C3CBB" w:rsidP="005F64F4">
      <w:pPr>
        <w:spacing w:line="360" w:lineRule="auto"/>
        <w:ind w:firstLineChars="200" w:firstLine="643"/>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基金</w:t>
      </w:r>
      <w:r>
        <w:rPr>
          <w:rFonts w:ascii="Times New Roman" w:eastAsia="宋体" w:hAnsi="Times New Roman" w:cs="Times New Roman"/>
          <w:b/>
          <w:sz w:val="32"/>
          <w:szCs w:val="32"/>
        </w:rPr>
        <w:t>合同</w:t>
      </w:r>
      <w:r w:rsidR="00CC24AB" w:rsidRPr="00CC24AB">
        <w:rPr>
          <w:rFonts w:ascii="Times New Roman" w:eastAsia="宋体" w:hAnsi="Times New Roman" w:cs="Times New Roman" w:hint="eastAsia"/>
          <w:b/>
          <w:sz w:val="32"/>
          <w:szCs w:val="32"/>
        </w:rPr>
        <w:t>摘要</w:t>
      </w:r>
    </w:p>
    <w:p w:rsidR="00CC24AB" w:rsidRDefault="00CC24AB" w:rsidP="005F64F4">
      <w:pPr>
        <w:spacing w:line="360" w:lineRule="auto"/>
        <w:ind w:firstLineChars="200" w:firstLine="643"/>
        <w:jc w:val="center"/>
        <w:rPr>
          <w:rFonts w:ascii="Times New Roman" w:eastAsia="宋体" w:hAnsi="Times New Roman" w:cs="Times New Roman"/>
          <w:b/>
          <w:sz w:val="32"/>
          <w:szCs w:val="32"/>
        </w:rPr>
      </w:pPr>
    </w:p>
    <w:p w:rsidR="005E1FCE" w:rsidRPr="008F6B1F" w:rsidRDefault="005E1FCE" w:rsidP="005F64F4">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rsidR="005E1FCE" w:rsidRPr="008F6B1F" w:rsidRDefault="005E1FCE" w:rsidP="005F64F4">
      <w:pPr>
        <w:spacing w:line="360" w:lineRule="auto"/>
        <w:ind w:firstLineChars="200" w:firstLine="480"/>
        <w:rPr>
          <w:bCs/>
          <w:sz w:val="24"/>
        </w:rPr>
      </w:pPr>
      <w:r w:rsidRPr="008F6B1F">
        <w:rPr>
          <w:rFonts w:hAnsi="宋体"/>
          <w:bCs/>
          <w:sz w:val="24"/>
        </w:rPr>
        <w:t>（一）基金管理人的权利</w:t>
      </w:r>
    </w:p>
    <w:p w:rsidR="005E1FCE" w:rsidRPr="008F6B1F" w:rsidRDefault="005E1FCE" w:rsidP="005F64F4">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）在《基金合同》约定的范围内，拒绝或暂停受理申购与赎回申请；</w:t>
      </w:r>
      <w:r w:rsidRPr="008F6B1F">
        <w:rPr>
          <w:rFonts w:hint="eastAsia"/>
          <w:bCs/>
          <w:sz w:val="24"/>
        </w:rPr>
        <w:t xml:space="preserve"> </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）在法律法规允许的前提下，为基金的利益依法为基金进行融资、融券；</w:t>
      </w:r>
      <w:r w:rsidRPr="008F6B1F">
        <w:rPr>
          <w:rFonts w:hint="eastAsia"/>
          <w:bCs/>
          <w:sz w:val="24"/>
        </w:rPr>
        <w:t xml:space="preserve"> </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w:t>
      </w:r>
      <w:r w:rsidRPr="008F6B1F">
        <w:rPr>
          <w:rFonts w:hint="eastAsia"/>
          <w:bCs/>
          <w:sz w:val="24"/>
        </w:rPr>
        <w:lastRenderedPageBreak/>
        <w:t>实施其他法律行为；</w:t>
      </w:r>
      <w:r w:rsidRPr="008F6B1F">
        <w:rPr>
          <w:rFonts w:hint="eastAsia"/>
          <w:bCs/>
          <w:sz w:val="24"/>
        </w:rPr>
        <w:tab/>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）选择、更换律师事务所、会计师事务所、证券经纪商、期货经纪机构或其他为基金提供服务的外部机构；</w:t>
      </w:r>
      <w:r w:rsidRPr="008F6B1F">
        <w:rPr>
          <w:rFonts w:hint="eastAsia"/>
          <w:bCs/>
          <w:sz w:val="24"/>
        </w:rPr>
        <w:tab/>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）在符合有关法律、法规的前提下，制定和调整有关基金认购、申购、赎回、转换等的业务规则；</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rsidR="005E1FCE" w:rsidRPr="008F6B1F" w:rsidRDefault="005E1FCE" w:rsidP="005F64F4">
      <w:pPr>
        <w:spacing w:line="360" w:lineRule="auto"/>
        <w:ind w:firstLineChars="200" w:firstLine="480"/>
        <w:rPr>
          <w:bCs/>
          <w:sz w:val="24"/>
        </w:rPr>
      </w:pPr>
      <w:r w:rsidRPr="008F6B1F">
        <w:rPr>
          <w:rFonts w:hAnsi="宋体"/>
          <w:bCs/>
          <w:sz w:val="24"/>
        </w:rPr>
        <w:t>（二）基金管理人的义务</w:t>
      </w:r>
    </w:p>
    <w:p w:rsidR="005E1FCE" w:rsidRPr="008F6B1F" w:rsidRDefault="005E1FCE" w:rsidP="005F64F4">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）依法募集资金，办理或者委托经中国证监会认定的其他机构代为办理基金份额的发售、申购、赎回和登记事宜；</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）编制季度、半年度和年度基金报告；</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）严格按照《基金法》、《基金合同》及其他有关规定，履行信息披露及报告义务；</w:t>
      </w:r>
    </w:p>
    <w:p w:rsidR="005E1FCE" w:rsidRPr="008F6B1F" w:rsidRDefault="005E1FCE" w:rsidP="005F64F4">
      <w:pPr>
        <w:spacing w:line="360" w:lineRule="auto"/>
        <w:ind w:firstLineChars="200" w:firstLine="480"/>
        <w:rPr>
          <w:bCs/>
          <w:sz w:val="24"/>
        </w:rPr>
      </w:pPr>
      <w:r w:rsidRPr="008F6B1F">
        <w:rPr>
          <w:rFonts w:hint="eastAsia"/>
          <w:bCs/>
          <w:sz w:val="24"/>
        </w:rPr>
        <w:lastRenderedPageBreak/>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）按《基金合同》的约定确定基金收益分配方案，及时向基金份额持有人分配基金收益；</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rsidR="005E1FCE" w:rsidRPr="008F6B1F" w:rsidRDefault="005E1FCE" w:rsidP="005F64F4">
      <w:pPr>
        <w:spacing w:line="360" w:lineRule="auto"/>
        <w:ind w:firstLineChars="200" w:firstLine="480"/>
        <w:rPr>
          <w:bCs/>
          <w:sz w:val="24"/>
        </w:rPr>
      </w:pPr>
      <w:r w:rsidRPr="008F6B1F">
        <w:rPr>
          <w:rFonts w:hint="eastAsia"/>
          <w:bCs/>
          <w:sz w:val="24"/>
        </w:rPr>
        <w:lastRenderedPageBreak/>
        <w:t>（</w:t>
      </w:r>
      <w:r w:rsidRPr="008F6B1F">
        <w:rPr>
          <w:rFonts w:hint="eastAsia"/>
          <w:bCs/>
          <w:sz w:val="24"/>
        </w:rPr>
        <w:t>25</w:t>
      </w:r>
      <w:r w:rsidRPr="008F6B1F">
        <w:rPr>
          <w:rFonts w:hint="eastAsia"/>
          <w:bCs/>
          <w:sz w:val="24"/>
        </w:rPr>
        <w:t>）执行生效的基金份额持有人大会的决议；</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rsidR="005E1FCE" w:rsidRPr="008F6B1F" w:rsidRDefault="005E1FCE" w:rsidP="005F64F4">
      <w:pPr>
        <w:spacing w:line="360" w:lineRule="auto"/>
        <w:ind w:firstLineChars="200" w:firstLine="480"/>
        <w:rPr>
          <w:bCs/>
          <w:sz w:val="24"/>
        </w:rPr>
      </w:pPr>
      <w:r w:rsidRPr="008F6B1F">
        <w:rPr>
          <w:rFonts w:hAnsi="宋体"/>
          <w:bCs/>
          <w:sz w:val="24"/>
        </w:rPr>
        <w:t>（三）基金托管人的权利</w:t>
      </w:r>
    </w:p>
    <w:p w:rsidR="005E1FCE" w:rsidRPr="008F6B1F" w:rsidRDefault="005E1FCE" w:rsidP="005F64F4">
      <w:pPr>
        <w:spacing w:line="360" w:lineRule="auto"/>
        <w:ind w:firstLineChars="200" w:firstLine="480"/>
        <w:rPr>
          <w:rFonts w:hAnsi="宋体"/>
          <w:bCs/>
          <w:sz w:val="24"/>
        </w:rPr>
      </w:pPr>
      <w:r w:rsidRPr="008F6B1F">
        <w:rPr>
          <w:rFonts w:hAnsi="宋体"/>
          <w:bCs/>
          <w:sz w:val="24"/>
        </w:rPr>
        <w:t>根据《基金法》、《运作办法》及其他有关规定，基金托管人的权利包括但不限于：</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）自《基金合同》生效之日起，依法律法规和《基金合同》的规定安全保管基金财产；</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）根据相关市场规则，为基金开设资金账户、证券账户等投资所需账户、协助开立股指期货业务相关账户及交易编码、为基金办理证券交易资金清算；</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rsidR="005E1FCE" w:rsidRPr="008F6B1F" w:rsidRDefault="005E1FCE" w:rsidP="005F64F4">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rsidR="005E1FCE" w:rsidRPr="008F6B1F" w:rsidRDefault="005E1FCE" w:rsidP="005F64F4">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w:t>
      </w:r>
      <w:r w:rsidRPr="008F6B1F">
        <w:rPr>
          <w:rFonts w:hint="eastAsia"/>
          <w:bCs/>
          <w:sz w:val="24"/>
        </w:rPr>
        <w:lastRenderedPageBreak/>
        <w:t>产为自己及任何第三人谋取利益，不得委托第三人托管基金财产；</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）复核、审查基金管理人计算的基金资产净值、基金份额申购、赎回价格；</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）建立并保存基金份额持有人名册；</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rsidR="005E1FCE" w:rsidRPr="008F6B1F" w:rsidRDefault="005E1FCE" w:rsidP="005F64F4">
      <w:pPr>
        <w:spacing w:line="360" w:lineRule="auto"/>
        <w:ind w:firstLineChars="200" w:firstLine="480"/>
        <w:rPr>
          <w:bCs/>
          <w:sz w:val="24"/>
        </w:rPr>
      </w:pPr>
      <w:r w:rsidRPr="008F6B1F">
        <w:rPr>
          <w:rFonts w:hint="eastAsia"/>
          <w:bCs/>
          <w:sz w:val="24"/>
        </w:rPr>
        <w:lastRenderedPageBreak/>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rsidR="005E1FCE" w:rsidRPr="008F6B1F" w:rsidRDefault="005E1FCE" w:rsidP="005F64F4">
      <w:pPr>
        <w:pStyle w:val="a5"/>
        <w:spacing w:afterLines="0"/>
        <w:ind w:left="480" w:firstLineChars="0" w:firstLine="0"/>
        <w:rPr>
          <w:szCs w:val="24"/>
        </w:rPr>
      </w:pPr>
      <w:r w:rsidRPr="008F6B1F">
        <w:rPr>
          <w:rFonts w:hAnsi="宋体"/>
          <w:bCs/>
          <w:szCs w:val="24"/>
        </w:rPr>
        <w:t>（五）</w:t>
      </w:r>
      <w:r w:rsidRPr="008F6B1F">
        <w:rPr>
          <w:rFonts w:hAnsi="宋体"/>
          <w:szCs w:val="24"/>
        </w:rPr>
        <w:t>基金份额持有人的权利</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每份基金份额具有同等的合法权益。</w:t>
      </w:r>
    </w:p>
    <w:p w:rsidR="005E1FCE" w:rsidRPr="008F6B1F" w:rsidRDefault="005E1FCE" w:rsidP="005F64F4">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rsidR="005E1FCE" w:rsidRPr="008F6B1F" w:rsidRDefault="005E1FCE" w:rsidP="005F64F4">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rsidR="005E1FCE" w:rsidRPr="008F6B1F" w:rsidRDefault="005E1FCE" w:rsidP="005F64F4">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rsidR="005E1FCE" w:rsidRPr="008F6B1F" w:rsidRDefault="005E1FCE" w:rsidP="005F64F4">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根据《基金法》、《运作办法》及其他有关规定，基金份额持有人的义务包括但不限于：</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rsidR="005E1FCE" w:rsidRPr="008F6B1F" w:rsidRDefault="005E1FCE" w:rsidP="005F64F4">
      <w:pPr>
        <w:spacing w:line="360" w:lineRule="auto"/>
        <w:ind w:firstLineChars="200" w:firstLine="480"/>
        <w:rPr>
          <w:bCs/>
          <w:sz w:val="24"/>
        </w:rPr>
      </w:pPr>
      <w:r w:rsidRPr="008F6B1F">
        <w:rPr>
          <w:rFonts w:hint="eastAsia"/>
          <w:bCs/>
          <w:sz w:val="24"/>
        </w:rPr>
        <w:lastRenderedPageBreak/>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）关注基金信息披露，及时行使权利和履行义务；</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）缴纳基金认购、申购款项及法律法规和《基金合同》所规定的费用；</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rsidR="005E1FCE" w:rsidRPr="008F6B1F" w:rsidRDefault="005E1FCE" w:rsidP="005F64F4">
      <w:pPr>
        <w:spacing w:line="360" w:lineRule="auto"/>
        <w:ind w:firstLineChars="200" w:firstLine="482"/>
        <w:rPr>
          <w:b/>
          <w:bCs/>
          <w:sz w:val="24"/>
        </w:rPr>
      </w:pPr>
      <w:r w:rsidRPr="008F6B1F">
        <w:rPr>
          <w:rFonts w:hAnsi="宋体"/>
          <w:b/>
          <w:bCs/>
          <w:sz w:val="24"/>
        </w:rPr>
        <w:t>二、基金份额持有人大会召集、议事及表决的程序和规则</w:t>
      </w:r>
    </w:p>
    <w:p w:rsidR="005E1FCE" w:rsidRDefault="005E1FCE" w:rsidP="005F64F4">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5E1FCE" w:rsidRPr="00E45518" w:rsidRDefault="005E1FCE" w:rsidP="005F64F4">
      <w:pPr>
        <w:spacing w:line="360" w:lineRule="auto"/>
        <w:ind w:firstLineChars="200" w:firstLine="480"/>
        <w:rPr>
          <w:bCs/>
          <w:sz w:val="24"/>
        </w:rPr>
      </w:pPr>
      <w:r w:rsidRPr="008F6B1F">
        <w:rPr>
          <w:rFonts w:hint="eastAsia"/>
          <w:bCs/>
          <w:sz w:val="24"/>
        </w:rPr>
        <w:t>本基金份额持有人大会不设日常机构。</w:t>
      </w:r>
    </w:p>
    <w:p w:rsidR="005E1FCE" w:rsidRPr="008F6B1F" w:rsidRDefault="005E1FCE" w:rsidP="005F64F4">
      <w:pPr>
        <w:spacing w:line="360" w:lineRule="auto"/>
        <w:ind w:firstLineChars="200" w:firstLine="480"/>
        <w:rPr>
          <w:bCs/>
          <w:sz w:val="24"/>
        </w:rPr>
      </w:pPr>
      <w:r w:rsidRPr="008F6B1F">
        <w:rPr>
          <w:rFonts w:hAnsi="宋体"/>
          <w:bCs/>
          <w:sz w:val="24"/>
        </w:rPr>
        <w:t>（一）召开事由</w:t>
      </w:r>
    </w:p>
    <w:p w:rsidR="005E1FCE" w:rsidRPr="008F6B1F" w:rsidRDefault="005E1FCE" w:rsidP="005F64F4">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）终止《基金合同》，法律法规和中国证监会另有规定的除外；</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）转换基金运作方式，法律法规和中国证监会另有规定的除外；</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）提高基金管理人、基金托管人的报酬标准，但法律法规要求提高该等报酬标准的除外；</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）本基金与其他基金的合并，法律法规和中国证监会另有规定的除外；</w:t>
      </w:r>
    </w:p>
    <w:p w:rsidR="005E1FCE" w:rsidRPr="008F6B1F" w:rsidRDefault="005E1FCE" w:rsidP="005F64F4">
      <w:pPr>
        <w:spacing w:line="360" w:lineRule="auto"/>
        <w:ind w:firstLineChars="200" w:firstLine="480"/>
        <w:rPr>
          <w:bCs/>
          <w:sz w:val="24"/>
        </w:rPr>
      </w:pPr>
      <w:r w:rsidRPr="008F6B1F">
        <w:rPr>
          <w:rFonts w:hint="eastAsia"/>
          <w:bCs/>
          <w:sz w:val="24"/>
        </w:rPr>
        <w:lastRenderedPageBreak/>
        <w:t>（</w:t>
      </w:r>
      <w:r w:rsidRPr="008F6B1F">
        <w:rPr>
          <w:rFonts w:hint="eastAsia"/>
          <w:bCs/>
          <w:sz w:val="24"/>
        </w:rPr>
        <w:t>8</w:t>
      </w:r>
      <w:r w:rsidRPr="008F6B1F">
        <w:rPr>
          <w:rFonts w:hint="eastAsia"/>
          <w:bCs/>
          <w:sz w:val="24"/>
        </w:rPr>
        <w:t>）变更基金投资目标、范围或策略，法律法规和中国证监会另有规定的除外；</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）变更基金份额持有人大会程序，法律法规和中国证监会另有规定的除外；</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）基金份额的基金份额持有人（以基金管理人收到提议当日的基金份额计算，下同）就同一事项书面要求召开基金份额持有人大会；</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rsidR="005E1FCE" w:rsidRPr="008F6B1F" w:rsidRDefault="005E1FCE" w:rsidP="005F64F4">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）调低基金管理费、基金托管费和其他应由本基金或基金份额持有人承担的费用；</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）因相应的法律法规发生变动而应当对《基金合同》进行修改；</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）按照法律法规和《基金合同》规定不需召开基金份额持有人大会的以外的其他情形。</w:t>
      </w:r>
    </w:p>
    <w:p w:rsidR="005E1FCE" w:rsidRPr="008F6B1F" w:rsidRDefault="005E1FCE" w:rsidP="005F64F4">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rsidR="005E1FCE" w:rsidRPr="008F6B1F" w:rsidRDefault="005E1FCE" w:rsidP="005F64F4">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rsidR="005E1FCE" w:rsidRPr="008F6B1F" w:rsidRDefault="005E1FCE" w:rsidP="005F64F4">
      <w:pPr>
        <w:spacing w:line="360" w:lineRule="auto"/>
        <w:ind w:firstLineChars="200" w:firstLine="480"/>
        <w:rPr>
          <w:bCs/>
          <w:sz w:val="24"/>
        </w:rPr>
      </w:pPr>
      <w:r w:rsidRPr="008F6B1F">
        <w:rPr>
          <w:rFonts w:hint="eastAsia"/>
          <w:bCs/>
          <w:sz w:val="24"/>
        </w:rPr>
        <w:lastRenderedPageBreak/>
        <w:t>2</w:t>
      </w:r>
      <w:r w:rsidRPr="008F6B1F">
        <w:rPr>
          <w:rFonts w:hint="eastAsia"/>
          <w:bCs/>
          <w:sz w:val="24"/>
        </w:rPr>
        <w:t>、基金管理人未按规定召集或不能召集时，由基金托管人召集；</w:t>
      </w:r>
    </w:p>
    <w:p w:rsidR="005E1FCE" w:rsidRPr="008F6B1F" w:rsidRDefault="005E1FCE" w:rsidP="005F64F4">
      <w:pPr>
        <w:spacing w:line="360" w:lineRule="auto"/>
        <w:ind w:firstLineChars="200" w:firstLine="480"/>
        <w:rPr>
          <w:bCs/>
          <w:sz w:val="24"/>
        </w:rPr>
      </w:pPr>
      <w:r w:rsidRPr="008F6B1F">
        <w:rPr>
          <w:rFonts w:hint="eastAsia"/>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rsidR="005E1FCE" w:rsidRPr="008F6B1F" w:rsidRDefault="005E1FCE" w:rsidP="005F64F4">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rsidR="005E1FCE" w:rsidRPr="008F6B1F" w:rsidRDefault="005E1FCE" w:rsidP="005F64F4">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rsidR="005E1FCE" w:rsidRPr="008F6B1F" w:rsidRDefault="005E1FCE" w:rsidP="005F64F4">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rsidR="005E1FCE" w:rsidRPr="008F6B1F" w:rsidRDefault="005E1FCE" w:rsidP="005F64F4">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、基金份额持有人会议的召集人负责选择确定开会时间、地点、方式和权益登记日。</w:t>
      </w:r>
    </w:p>
    <w:p w:rsidR="005E1FCE" w:rsidRPr="008F6B1F" w:rsidRDefault="005E1FCE" w:rsidP="005F64F4">
      <w:pPr>
        <w:spacing w:line="360" w:lineRule="auto"/>
        <w:ind w:firstLineChars="200" w:firstLine="480"/>
        <w:rPr>
          <w:bCs/>
          <w:sz w:val="24"/>
        </w:rPr>
      </w:pPr>
      <w:r w:rsidRPr="008F6B1F">
        <w:rPr>
          <w:rFonts w:hAnsi="宋体"/>
          <w:bCs/>
          <w:sz w:val="24"/>
        </w:rPr>
        <w:t>（三）召开基金份额持有人大会的通知时间、通知内容、通知方式</w:t>
      </w:r>
    </w:p>
    <w:p w:rsidR="005E1FCE" w:rsidRPr="008F6B1F" w:rsidRDefault="005E1FCE" w:rsidP="005F64F4">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）会议拟审议的事项、议事程序和表决方式；</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rsidR="005E1FCE" w:rsidRPr="008F6B1F" w:rsidRDefault="005E1FCE" w:rsidP="005F64F4">
      <w:pPr>
        <w:spacing w:line="360" w:lineRule="auto"/>
        <w:ind w:firstLineChars="200" w:firstLine="480"/>
        <w:rPr>
          <w:bCs/>
          <w:sz w:val="24"/>
        </w:rPr>
      </w:pPr>
      <w:r w:rsidRPr="008F6B1F">
        <w:rPr>
          <w:rFonts w:hint="eastAsia"/>
          <w:bCs/>
          <w:sz w:val="24"/>
        </w:rPr>
        <w:lastRenderedPageBreak/>
        <w:t>（</w:t>
      </w:r>
      <w:r w:rsidRPr="008F6B1F">
        <w:rPr>
          <w:rFonts w:hint="eastAsia"/>
          <w:bCs/>
          <w:sz w:val="24"/>
        </w:rPr>
        <w:t>4</w:t>
      </w:r>
      <w:r w:rsidRPr="008F6B1F">
        <w:rPr>
          <w:rFonts w:hint="eastAsia"/>
          <w:bCs/>
          <w:sz w:val="24"/>
        </w:rPr>
        <w:t>）授权委托证明的内容要求（包括但不限于代理人身份，代理权限和代理有效期限等）、送达时间和地点；</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rsidR="005E1FCE" w:rsidRPr="008F6B1F" w:rsidRDefault="005E1FCE" w:rsidP="005F64F4">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E1FCE" w:rsidRPr="008F6B1F" w:rsidRDefault="005E1FCE" w:rsidP="005F64F4">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E1FCE" w:rsidRPr="008F6B1F" w:rsidRDefault="005E1FCE" w:rsidP="005F64F4">
      <w:pPr>
        <w:spacing w:line="360" w:lineRule="auto"/>
        <w:ind w:firstLineChars="200" w:firstLine="480"/>
        <w:rPr>
          <w:bCs/>
          <w:sz w:val="24"/>
        </w:rPr>
      </w:pPr>
      <w:r w:rsidRPr="008F6B1F">
        <w:rPr>
          <w:rFonts w:hAnsi="宋体"/>
          <w:bCs/>
          <w:sz w:val="24"/>
        </w:rPr>
        <w:t>（四）基金份额持有人出席会议的方式</w:t>
      </w:r>
    </w:p>
    <w:p w:rsidR="005E1FCE" w:rsidRPr="008F6B1F" w:rsidRDefault="005E1FCE" w:rsidP="005F64F4">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rsidR="005E1FCE" w:rsidRPr="008F6B1F" w:rsidRDefault="005E1FCE" w:rsidP="005F64F4">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lastRenderedPageBreak/>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5E1FCE" w:rsidRPr="008F6B1F" w:rsidRDefault="005E1FCE" w:rsidP="005F64F4">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、通讯开会。通讯开会系指基金份额持有人将其对表决事项的投票以书面形式在表决截至日以前送达至召集人指定的地址。通讯开会应以书面方式进行表决。</w:t>
      </w:r>
    </w:p>
    <w:p w:rsidR="005E1FCE" w:rsidRPr="008F6B1F" w:rsidRDefault="005E1FCE" w:rsidP="005F64F4">
      <w:pPr>
        <w:spacing w:line="360" w:lineRule="auto"/>
        <w:ind w:firstLineChars="200" w:firstLine="480"/>
        <w:rPr>
          <w:bCs/>
          <w:sz w:val="24"/>
        </w:rPr>
      </w:pPr>
      <w:r w:rsidRPr="008F6B1F">
        <w:rPr>
          <w:rFonts w:hint="eastAsia"/>
          <w:bCs/>
          <w:sz w:val="24"/>
        </w:rPr>
        <w:t>在同时符合以下条件时，通讯开会的方式视为有效：</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E1FCE" w:rsidRPr="008F6B1F" w:rsidRDefault="005E1FCE" w:rsidP="005F64F4">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8F6B1F">
        <w:rPr>
          <w:rFonts w:hint="eastAsia"/>
          <w:bCs/>
          <w:sz w:val="24"/>
        </w:rPr>
        <w:lastRenderedPageBreak/>
        <w:t>式结合的方式召开基金份额持有人大会并表决，具体方式由会议召集人确定并在会议通知中列明，会议程序比照现场开会和通讯方式开会的程序进行。</w:t>
      </w:r>
    </w:p>
    <w:p w:rsidR="005E1FCE" w:rsidRPr="008F6B1F" w:rsidRDefault="005E1FCE" w:rsidP="005F64F4">
      <w:pPr>
        <w:spacing w:line="360" w:lineRule="auto"/>
        <w:ind w:firstLineChars="200" w:firstLine="480"/>
        <w:rPr>
          <w:bCs/>
          <w:sz w:val="24"/>
        </w:rPr>
      </w:pPr>
      <w:r w:rsidRPr="008F6B1F">
        <w:rPr>
          <w:rFonts w:hAnsi="宋体" w:hint="eastAsia"/>
          <w:bCs/>
          <w:sz w:val="24"/>
        </w:rPr>
        <w:t>（</w:t>
      </w:r>
      <w:r w:rsidRPr="008F6B1F">
        <w:rPr>
          <w:rFonts w:hAnsi="宋体"/>
          <w:bCs/>
          <w:sz w:val="24"/>
        </w:rPr>
        <w:t>五</w:t>
      </w:r>
      <w:r w:rsidRPr="008F6B1F">
        <w:rPr>
          <w:rFonts w:hAnsi="宋体" w:hint="eastAsia"/>
          <w:bCs/>
          <w:sz w:val="24"/>
        </w:rPr>
        <w:t>）</w:t>
      </w:r>
      <w:r w:rsidRPr="008F6B1F">
        <w:rPr>
          <w:rFonts w:hAnsi="宋体"/>
          <w:bCs/>
          <w:sz w:val="24"/>
        </w:rPr>
        <w:t>议事内容与程序</w:t>
      </w:r>
    </w:p>
    <w:p w:rsidR="005E1FCE" w:rsidRPr="008F6B1F" w:rsidRDefault="005E1FCE" w:rsidP="005F64F4">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rsidR="005E1FCE" w:rsidRPr="008F6B1F" w:rsidRDefault="005E1FCE" w:rsidP="005F64F4">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5E1FCE" w:rsidRPr="008F6B1F" w:rsidRDefault="005E1FCE" w:rsidP="005F64F4">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rsidR="005E1FCE" w:rsidRPr="008F6B1F" w:rsidRDefault="005E1FCE" w:rsidP="005F64F4">
      <w:pPr>
        <w:spacing w:line="360" w:lineRule="auto"/>
        <w:ind w:firstLineChars="200" w:firstLine="480"/>
        <w:rPr>
          <w:bCs/>
          <w:sz w:val="24"/>
        </w:rPr>
      </w:pPr>
      <w:r w:rsidRPr="008F6B1F">
        <w:rPr>
          <w:rFonts w:hint="eastAsia"/>
          <w:bCs/>
          <w:sz w:val="24"/>
        </w:rPr>
        <w:t>基金份额持有人大会不得对未事先公告的议事内容进行表决。</w:t>
      </w:r>
    </w:p>
    <w:p w:rsidR="005E1FCE" w:rsidRPr="008F6B1F" w:rsidRDefault="005E1FCE" w:rsidP="005F64F4">
      <w:pPr>
        <w:spacing w:line="360" w:lineRule="auto"/>
        <w:ind w:firstLineChars="200" w:firstLine="480"/>
        <w:rPr>
          <w:bCs/>
          <w:sz w:val="24"/>
        </w:rPr>
      </w:pPr>
      <w:r w:rsidRPr="008F6B1F">
        <w:rPr>
          <w:rFonts w:hint="eastAsia"/>
          <w:bCs/>
          <w:sz w:val="24"/>
        </w:rPr>
        <w:t>2</w:t>
      </w:r>
      <w:r w:rsidRPr="008F6B1F">
        <w:rPr>
          <w:rFonts w:hint="eastAsia"/>
          <w:bCs/>
          <w:sz w:val="24"/>
        </w:rPr>
        <w:t>、议事程序</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rsidR="005E1FCE" w:rsidRPr="008F6B1F" w:rsidRDefault="005E1FCE" w:rsidP="005F64F4">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5E1FCE" w:rsidRPr="008F6B1F" w:rsidRDefault="005E1FCE" w:rsidP="005F64F4">
      <w:pPr>
        <w:spacing w:line="360" w:lineRule="auto"/>
        <w:ind w:firstLineChars="200" w:firstLine="480"/>
        <w:rPr>
          <w:bCs/>
          <w:sz w:val="24"/>
        </w:rPr>
      </w:pPr>
      <w:r w:rsidRPr="008F6B1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rsidR="005E1FCE" w:rsidRPr="008F6B1F" w:rsidRDefault="005E1FCE" w:rsidP="005F64F4">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rsidR="005E1FCE" w:rsidRPr="008F6B1F" w:rsidRDefault="005E1FCE" w:rsidP="005F64F4">
      <w:pPr>
        <w:spacing w:line="360" w:lineRule="auto"/>
        <w:ind w:firstLineChars="200" w:firstLine="480"/>
        <w:rPr>
          <w:rFonts w:hAnsi="宋体"/>
          <w:bCs/>
          <w:sz w:val="24"/>
        </w:rPr>
      </w:pPr>
      <w:r w:rsidRPr="008F6B1F">
        <w:rPr>
          <w:rFonts w:hAnsi="宋体"/>
          <w:bCs/>
          <w:sz w:val="24"/>
        </w:rPr>
        <w:lastRenderedPageBreak/>
        <w:t>（六）</w:t>
      </w:r>
      <w:r w:rsidRPr="008F6B1F">
        <w:rPr>
          <w:rFonts w:hAnsi="宋体" w:hint="eastAsia"/>
          <w:bCs/>
          <w:sz w:val="24"/>
        </w:rPr>
        <w:t>表决</w:t>
      </w:r>
    </w:p>
    <w:p w:rsidR="005E1FCE" w:rsidRPr="008F6B1F" w:rsidRDefault="005E1FCE" w:rsidP="005F64F4">
      <w:pPr>
        <w:spacing w:line="360" w:lineRule="auto"/>
        <w:ind w:firstLineChars="200" w:firstLine="480"/>
        <w:rPr>
          <w:bCs/>
          <w:sz w:val="24"/>
        </w:rPr>
      </w:pPr>
      <w:r w:rsidRPr="008F6B1F">
        <w:rPr>
          <w:rFonts w:hint="eastAsia"/>
          <w:bCs/>
          <w:sz w:val="24"/>
        </w:rPr>
        <w:t>基金份额持有人所持每份基金份额有一票表决权。</w:t>
      </w:r>
    </w:p>
    <w:p w:rsidR="005E1FCE" w:rsidRPr="008F6B1F" w:rsidRDefault="005E1FCE" w:rsidP="005F64F4">
      <w:pPr>
        <w:spacing w:line="360" w:lineRule="auto"/>
        <w:ind w:firstLineChars="200" w:firstLine="480"/>
        <w:rPr>
          <w:bCs/>
          <w:sz w:val="24"/>
        </w:rPr>
      </w:pPr>
      <w:r w:rsidRPr="008F6B1F">
        <w:rPr>
          <w:rFonts w:hint="eastAsia"/>
          <w:bCs/>
          <w:sz w:val="24"/>
        </w:rPr>
        <w:t>基金份额持有人大会决议分为一般决议和特别决议：</w:t>
      </w:r>
    </w:p>
    <w:p w:rsidR="005E1FCE" w:rsidRPr="008F6B1F" w:rsidRDefault="005E1FCE" w:rsidP="005F64F4">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rsidR="005E1FCE" w:rsidRPr="008F6B1F" w:rsidRDefault="005E1FCE" w:rsidP="005F64F4">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5E1FCE" w:rsidRPr="008F6B1F" w:rsidRDefault="005E1FCE" w:rsidP="005F64F4">
      <w:pPr>
        <w:spacing w:line="360" w:lineRule="auto"/>
        <w:ind w:firstLineChars="200" w:firstLine="480"/>
        <w:rPr>
          <w:bCs/>
          <w:sz w:val="24"/>
        </w:rPr>
      </w:pPr>
      <w:r w:rsidRPr="008F6B1F">
        <w:rPr>
          <w:rFonts w:hint="eastAsia"/>
          <w:bCs/>
          <w:sz w:val="24"/>
        </w:rPr>
        <w:t>基金份额持有人大会采取记名方式进行投票表决。</w:t>
      </w:r>
    </w:p>
    <w:p w:rsidR="005E1FCE" w:rsidRPr="008F6B1F" w:rsidRDefault="005E1FCE" w:rsidP="005F64F4">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5E1FCE" w:rsidRPr="008F6B1F" w:rsidRDefault="005E1FCE" w:rsidP="005F64F4">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rsidR="005E1FCE" w:rsidRPr="008F6B1F" w:rsidRDefault="005E1FCE" w:rsidP="005F64F4">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rsidR="005E1FCE" w:rsidRPr="008F6B1F" w:rsidRDefault="005E1FCE" w:rsidP="005F64F4">
      <w:pPr>
        <w:spacing w:line="360" w:lineRule="auto"/>
        <w:ind w:firstLineChars="200" w:firstLine="480"/>
        <w:rPr>
          <w:bCs/>
          <w:sz w:val="24"/>
        </w:rPr>
      </w:pPr>
      <w:r w:rsidRPr="008F6B1F">
        <w:rPr>
          <w:rFonts w:hint="eastAsia"/>
          <w:bCs/>
          <w:sz w:val="24"/>
        </w:rPr>
        <w:t>1</w:t>
      </w:r>
      <w:r w:rsidRPr="008F6B1F">
        <w:rPr>
          <w:rFonts w:hint="eastAsia"/>
          <w:bCs/>
          <w:sz w:val="24"/>
        </w:rPr>
        <w:t>、现场开会</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w:t>
      </w:r>
      <w:r w:rsidRPr="008F6B1F">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rsidR="005E1FCE" w:rsidRPr="008F6B1F" w:rsidRDefault="005E1FCE" w:rsidP="005F64F4">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rsidR="005E1FCE" w:rsidRPr="008F6B1F" w:rsidRDefault="005E1FCE" w:rsidP="005F64F4">
      <w:pPr>
        <w:spacing w:line="360" w:lineRule="auto"/>
        <w:ind w:firstLineChars="200" w:firstLine="480"/>
        <w:rPr>
          <w:bCs/>
          <w:sz w:val="24"/>
        </w:rPr>
      </w:pPr>
      <w:r w:rsidRPr="008F6B1F">
        <w:rPr>
          <w:rFonts w:hint="eastAsia"/>
          <w:bCs/>
          <w:sz w:val="24"/>
        </w:rPr>
        <w:t>2</w:t>
      </w:r>
      <w:r w:rsidRPr="008F6B1F">
        <w:rPr>
          <w:rFonts w:hint="eastAsia"/>
          <w:bCs/>
          <w:sz w:val="24"/>
        </w:rPr>
        <w:t>、通讯开会</w:t>
      </w:r>
    </w:p>
    <w:p w:rsidR="005E1FCE" w:rsidRPr="008F6B1F" w:rsidRDefault="005E1FCE" w:rsidP="005F64F4">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E1FCE" w:rsidRPr="008F6B1F" w:rsidRDefault="005E1FCE" w:rsidP="005F64F4">
      <w:pPr>
        <w:spacing w:line="360" w:lineRule="auto"/>
        <w:ind w:firstLineChars="200" w:firstLine="480"/>
        <w:rPr>
          <w:bCs/>
          <w:sz w:val="24"/>
        </w:rPr>
      </w:pPr>
      <w:r w:rsidRPr="008F6B1F">
        <w:rPr>
          <w:rFonts w:hint="eastAsia"/>
          <w:bCs/>
          <w:sz w:val="24"/>
        </w:rPr>
        <w:t>（八）生效与公告</w:t>
      </w:r>
    </w:p>
    <w:p w:rsidR="005E1FCE" w:rsidRPr="008F6B1F" w:rsidRDefault="005E1FCE" w:rsidP="005F64F4">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rsidR="005E1FCE" w:rsidRPr="008F6B1F" w:rsidRDefault="005E1FCE" w:rsidP="005F64F4">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个工作日内在指定媒介上公告。如果采用通讯方式进行表决，在公告基金份额持有人大会决议时，必须将公证书全文、公证机构、公证员姓名等一同公告。</w:t>
      </w:r>
    </w:p>
    <w:p w:rsidR="005E1FCE" w:rsidRPr="008F6B1F" w:rsidRDefault="005E1FCE" w:rsidP="005F64F4">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5E1FCE" w:rsidRPr="008F6B1F" w:rsidRDefault="005E1FCE" w:rsidP="005F64F4">
      <w:pPr>
        <w:spacing w:line="360" w:lineRule="auto"/>
        <w:ind w:firstLineChars="200" w:firstLine="480"/>
        <w:rPr>
          <w:bCs/>
          <w:sz w:val="24"/>
        </w:rPr>
      </w:pPr>
      <w:r w:rsidRPr="008F6B1F">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E1FCE" w:rsidRPr="00D85E78" w:rsidRDefault="005E1FCE" w:rsidP="005F64F4">
      <w:pPr>
        <w:pStyle w:val="a5"/>
        <w:spacing w:afterLines="0"/>
        <w:ind w:firstLine="482"/>
        <w:rPr>
          <w:rFonts w:ascii="宋体" w:hAnsi="宋体"/>
          <w:b/>
          <w:szCs w:val="24"/>
        </w:rPr>
      </w:pPr>
      <w:r w:rsidRPr="00D85E78">
        <w:rPr>
          <w:rFonts w:ascii="宋体" w:hAnsi="宋体"/>
          <w:b/>
          <w:szCs w:val="24"/>
        </w:rPr>
        <w:t>三、基金收益分配原则、执行方式</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sz w:val="24"/>
          <w:szCs w:val="24"/>
        </w:rPr>
        <w:t>（一）基金收益分配原则</w:t>
      </w:r>
    </w:p>
    <w:p w:rsidR="005E1FCE" w:rsidRPr="00D85E78" w:rsidRDefault="005E1FCE" w:rsidP="005F64F4">
      <w:pPr>
        <w:spacing w:line="360" w:lineRule="auto"/>
        <w:ind w:firstLineChars="225" w:firstLine="540"/>
        <w:rPr>
          <w:rFonts w:ascii="宋体" w:hAnsi="宋体"/>
          <w:bCs/>
          <w:sz w:val="24"/>
          <w:szCs w:val="24"/>
        </w:rPr>
      </w:pPr>
      <w:r w:rsidRPr="00D85E78">
        <w:rPr>
          <w:rFonts w:ascii="宋体" w:hAnsi="宋体" w:hint="eastAsia"/>
          <w:bCs/>
          <w:sz w:val="24"/>
          <w:szCs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rsidR="005E1FCE" w:rsidRPr="00D85E78" w:rsidRDefault="005E1FCE" w:rsidP="005F64F4">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w:t>
      </w:r>
      <w:r w:rsidRPr="00D85E78">
        <w:rPr>
          <w:rFonts w:ascii="宋体" w:hAnsi="宋体" w:hint="eastAsia"/>
          <w:bCs/>
          <w:sz w:val="24"/>
          <w:szCs w:val="24"/>
        </w:rPr>
        <w:lastRenderedPageBreak/>
        <w:t>金红利或将现金红利自动转为基金份额进行再投资；若投资者不选择，本基金默认的收益分配方式是现金分红；</w:t>
      </w:r>
    </w:p>
    <w:p w:rsidR="005E1FCE" w:rsidRPr="00D85E78" w:rsidRDefault="005E1FCE" w:rsidP="005F64F4">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3、基金收益分配后基金份额净值不能低于面值，即基金收益分配基准日的基金份额净值减去每单位基金份额收益分配金额后不能低于面值；</w:t>
      </w:r>
    </w:p>
    <w:p w:rsidR="005E1FCE" w:rsidRPr="00D85E78" w:rsidRDefault="005E1FCE" w:rsidP="005F64F4">
      <w:pPr>
        <w:spacing w:line="360" w:lineRule="auto"/>
        <w:ind w:firstLineChars="225" w:firstLine="540"/>
        <w:rPr>
          <w:rFonts w:ascii="宋体" w:hAnsi="宋体"/>
          <w:bCs/>
          <w:sz w:val="24"/>
          <w:szCs w:val="24"/>
        </w:rPr>
      </w:pPr>
      <w:r w:rsidRPr="00D85E78">
        <w:rPr>
          <w:rFonts w:ascii="宋体" w:hAnsi="宋体" w:hint="eastAsia"/>
          <w:bCs/>
          <w:sz w:val="24"/>
          <w:szCs w:val="24"/>
        </w:rPr>
        <w:t xml:space="preserve">4、每一基金份额享有同等分配权； </w:t>
      </w:r>
    </w:p>
    <w:p w:rsidR="005E1FCE" w:rsidRPr="00D85E78" w:rsidRDefault="005E1FCE" w:rsidP="005F64F4">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rsidR="005E1FCE" w:rsidRPr="00D85E78" w:rsidRDefault="005E1FCE" w:rsidP="005F64F4">
      <w:pPr>
        <w:pStyle w:val="a5"/>
        <w:spacing w:afterLines="0"/>
        <w:ind w:firstLine="480"/>
        <w:rPr>
          <w:rFonts w:ascii="宋体" w:hAnsi="宋体"/>
          <w:szCs w:val="24"/>
        </w:rPr>
      </w:pPr>
      <w:r w:rsidRPr="00D85E78">
        <w:rPr>
          <w:rFonts w:ascii="宋体" w:hAnsi="宋体"/>
          <w:szCs w:val="24"/>
        </w:rPr>
        <w:t>（二）收益分配方案</w:t>
      </w:r>
    </w:p>
    <w:p w:rsidR="005E1FCE" w:rsidRPr="00D85E78" w:rsidRDefault="005E1FCE" w:rsidP="005F64F4">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rsidR="005E1FCE" w:rsidRPr="00D85E78" w:rsidRDefault="005E1FCE" w:rsidP="005F64F4">
      <w:pPr>
        <w:pStyle w:val="a5"/>
        <w:spacing w:afterLines="0"/>
        <w:ind w:firstLine="480"/>
        <w:rPr>
          <w:rFonts w:ascii="宋体" w:hAnsi="宋体"/>
          <w:szCs w:val="24"/>
        </w:rPr>
      </w:pPr>
      <w:r w:rsidRPr="00D85E78">
        <w:rPr>
          <w:rFonts w:ascii="宋体" w:hAnsi="宋体"/>
          <w:szCs w:val="24"/>
        </w:rPr>
        <w:t>（三）收益分配方案的确定、公告与实施</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本基金收益分配方案由基金管理人拟定，并由基金托管人复核，在2日内在指定媒介公告并报中国证监会备案。</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基金红利发放日距离收益分配基准日（即可供分配利润计算截止日）的时间不得超过15个工作日。</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法律法规或监管机关另有规定的，从其规定。</w:t>
      </w:r>
    </w:p>
    <w:p w:rsidR="005E1FCE" w:rsidRPr="00D85E78" w:rsidRDefault="005E1FCE" w:rsidP="005F64F4">
      <w:pPr>
        <w:pStyle w:val="a5"/>
        <w:spacing w:afterLines="0"/>
        <w:ind w:firstLine="482"/>
        <w:rPr>
          <w:rFonts w:ascii="宋体" w:hAnsi="宋体"/>
          <w:b/>
          <w:szCs w:val="24"/>
        </w:rPr>
      </w:pPr>
      <w:r w:rsidRPr="00D85E78">
        <w:rPr>
          <w:rFonts w:ascii="宋体" w:hAnsi="宋体"/>
          <w:b/>
          <w:szCs w:val="24"/>
        </w:rPr>
        <w:t>四、与基金财产管理、运用有关费用的提取、支付方式与比例</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（一）基金费用的种类</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1、基金管理人的管理费；</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2、基金托管人的托管费；</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3、《基金合同》生效后与基金相关的信息披露费用；</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4、《基金合同》生效后与基金相关的会计师费、律师费和诉讼费；</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5、基金份额持有人大会费用；</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6、基金的证券、期货交易费用；</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7、基金的银行汇划费用；</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8、基金的开户费用、账户维护费用；</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9、按照国家有关规定和《基金合同》约定，可以在基金财产中列支的其他费用。</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（二）基金费用计提方法、计提标准和支付方式</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 xml:space="preserve">1、基金管理人的管理费 </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lastRenderedPageBreak/>
        <w:t>本基金的管理费按前一日基金资产净值的1.5%年费率计提。管理费的计算方法如下：</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H＝E×1.5%÷当年天数</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H为每日应计提的基金管理费</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E为前一日的基金资产净值</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2、基金托管人的托管费</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本基金的托管费按前一日基金资产净值的0.25%的年费率计提。托管费的计算方法如下：</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H＝E×0.25%÷当年天数</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H为每日应计提的基金托管费</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E为前一日的基金资产净值</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3、上述“（一）基金费用的种类”中第3－9项费用，根据有关法规及相应协议规定，按费用实际支出金额列入当期费用，由基金托管人从基金财产中支付。</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（三）不列入基金费用的项目</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4、其他根据相关法律法规及中国证监会的有关规定不得列入基金费用的项目。</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5E1FCE" w:rsidRPr="00D85E78" w:rsidRDefault="005E1FCE" w:rsidP="005F64F4">
      <w:pPr>
        <w:pStyle w:val="a5"/>
        <w:spacing w:afterLines="0"/>
        <w:ind w:firstLine="480"/>
        <w:rPr>
          <w:rFonts w:ascii="宋体" w:hAnsi="宋体"/>
          <w:bCs/>
          <w:szCs w:val="24"/>
        </w:rPr>
      </w:pPr>
      <w:r w:rsidRPr="00D85E78">
        <w:rPr>
          <w:rFonts w:ascii="宋体" w:hAnsi="宋体" w:hint="eastAsia"/>
          <w:bCs/>
          <w:szCs w:val="24"/>
        </w:rPr>
        <w:t>（五）基金税收</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rsidR="005E1FCE" w:rsidRPr="00D85E78" w:rsidRDefault="005E1FCE" w:rsidP="005F64F4">
      <w:pPr>
        <w:pStyle w:val="a5"/>
        <w:spacing w:afterLines="0"/>
        <w:ind w:firstLine="482"/>
        <w:rPr>
          <w:rFonts w:ascii="宋体" w:hAnsi="宋体"/>
          <w:b/>
          <w:szCs w:val="24"/>
        </w:rPr>
      </w:pPr>
      <w:r w:rsidRPr="00D85E78">
        <w:rPr>
          <w:rFonts w:ascii="宋体" w:hAnsi="宋体"/>
          <w:b/>
          <w:szCs w:val="24"/>
        </w:rPr>
        <w:t>五、基金财产的投资方向和投资限制</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本基金主要投资受益于国企改革红利的上市公司股票，通过积极主动的投资管理，在合理控制投资风险的基础上，力争实现基金资产的长期稳定增值。</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rsidR="005E1FCE" w:rsidRPr="00D85E78" w:rsidRDefault="005E1FCE" w:rsidP="005F64F4">
      <w:pPr>
        <w:spacing w:line="360" w:lineRule="auto"/>
        <w:ind w:firstLine="480"/>
        <w:rPr>
          <w:rFonts w:ascii="宋体" w:hAnsi="宋体"/>
          <w:bCs/>
          <w:sz w:val="24"/>
          <w:szCs w:val="24"/>
        </w:rPr>
      </w:pPr>
      <w:r w:rsidRPr="00D85E78">
        <w:rPr>
          <w:rFonts w:ascii="宋体" w:hAnsi="宋体" w:hint="eastAsia"/>
          <w:bCs/>
          <w:sz w:val="24"/>
          <w:szCs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5E1FCE" w:rsidRPr="00D85E78" w:rsidRDefault="005E1FCE" w:rsidP="005F64F4">
      <w:pPr>
        <w:spacing w:line="360" w:lineRule="auto"/>
        <w:ind w:firstLine="480"/>
        <w:rPr>
          <w:rFonts w:ascii="宋体" w:hAnsi="宋体"/>
          <w:bCs/>
          <w:sz w:val="24"/>
          <w:szCs w:val="24"/>
        </w:rPr>
      </w:pPr>
      <w:r w:rsidRPr="00D85E78">
        <w:rPr>
          <w:rFonts w:ascii="宋体" w:hAnsi="宋体" w:hint="eastAsia"/>
          <w:bCs/>
          <w:sz w:val="24"/>
          <w:szCs w:val="24"/>
        </w:rPr>
        <w:t>如法律法规或监管机构以后允许基金投资其他品种，基金管理人在履行适当程序后，可以将其纳入投资范围。</w:t>
      </w:r>
    </w:p>
    <w:p w:rsidR="005E1FCE" w:rsidRPr="00D85E78" w:rsidRDefault="005E1FCE" w:rsidP="005F64F4">
      <w:pPr>
        <w:spacing w:line="360" w:lineRule="auto"/>
        <w:ind w:firstLine="480"/>
        <w:rPr>
          <w:rFonts w:ascii="宋体" w:hAnsi="宋体"/>
          <w:bCs/>
          <w:sz w:val="24"/>
          <w:szCs w:val="24"/>
        </w:rPr>
      </w:pPr>
      <w:r w:rsidRPr="00D85E78">
        <w:rPr>
          <w:rFonts w:ascii="宋体" w:hAnsi="宋体" w:hint="eastAsia"/>
          <w:bCs/>
          <w:sz w:val="24"/>
          <w:szCs w:val="24"/>
        </w:rPr>
        <w:t>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rsidR="005E1FCE" w:rsidRPr="00D85E78" w:rsidRDefault="005E1FCE" w:rsidP="005F64F4">
      <w:pPr>
        <w:spacing w:line="360" w:lineRule="auto"/>
        <w:ind w:firstLine="480"/>
        <w:rPr>
          <w:rFonts w:ascii="宋体" w:hAnsi="宋体"/>
          <w:bCs/>
          <w:sz w:val="24"/>
          <w:szCs w:val="24"/>
        </w:rPr>
      </w:pPr>
      <w:r w:rsidRPr="00D85E78">
        <w:rPr>
          <w:rFonts w:ascii="宋体" w:hAnsi="宋体" w:hint="eastAsia"/>
          <w:bCs/>
          <w:sz w:val="24"/>
          <w:szCs w:val="24"/>
        </w:rPr>
        <w:t>如果法律法规或中国证监会变更投资品种的投资比例限制，基金管理人在履行适当程序后，可以调整上述投资品种的投资比例。</w:t>
      </w:r>
    </w:p>
    <w:p w:rsidR="005E1FCE" w:rsidRPr="00D85E78" w:rsidRDefault="005E1FCE" w:rsidP="005F64F4">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本基金充分发挥基金管理人的研究优势，在分析和判断宏观经济周期和金融</w:t>
      </w:r>
      <w:r w:rsidRPr="00D85E78">
        <w:rPr>
          <w:rFonts w:ascii="宋体" w:hAnsi="宋体" w:hint="eastAsia"/>
          <w:bCs/>
          <w:sz w:val="24"/>
          <w:szCs w:val="24"/>
        </w:rPr>
        <w:lastRenderedPageBreak/>
        <w:t xml:space="preserve">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 </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1、资产配置</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2、行业配置</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3、股票投资</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本基金将充分发挥研究团队自下而上的选股能力，基于对个股深入的基本面研究和细致的实地调研，精选股票构建股票投资组合。本基金管理人的股票投资具体分以下几个层次进行：</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（1）品质筛选</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筛选出在公司治理、财务及管理品质上符合基本品质要求的公司，构建备选股票池。主要筛选指标包括：</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bCs/>
          <w:sz w:val="24"/>
          <w:szCs w:val="24"/>
        </w:rPr>
        <w:tab/>
      </w:r>
      <w:r w:rsidRPr="00D85E78">
        <w:rPr>
          <w:rFonts w:ascii="宋体" w:hAnsi="宋体" w:hint="eastAsia"/>
          <w:bCs/>
          <w:sz w:val="24"/>
          <w:szCs w:val="24"/>
        </w:rPr>
        <w:t>盈利能力指标（如</w:t>
      </w:r>
      <w:r w:rsidRPr="00D85E78">
        <w:rPr>
          <w:rFonts w:ascii="宋体" w:hAnsi="宋体"/>
          <w:bCs/>
          <w:sz w:val="24"/>
          <w:szCs w:val="24"/>
        </w:rPr>
        <w:t>P/E</w:t>
      </w:r>
      <w:r w:rsidRPr="00D85E78">
        <w:rPr>
          <w:rFonts w:ascii="宋体" w:hAnsi="宋体" w:hint="eastAsia"/>
          <w:bCs/>
          <w:sz w:val="24"/>
          <w:szCs w:val="24"/>
        </w:rPr>
        <w:t>、</w:t>
      </w:r>
      <w:r w:rsidRPr="00D85E78">
        <w:rPr>
          <w:rFonts w:ascii="宋体" w:hAnsi="宋体"/>
          <w:bCs/>
          <w:sz w:val="24"/>
          <w:szCs w:val="24"/>
        </w:rPr>
        <w:t>P/Cash Flow</w:t>
      </w:r>
      <w:r w:rsidRPr="00D85E78">
        <w:rPr>
          <w:rFonts w:ascii="宋体" w:hAnsi="宋体" w:hint="eastAsia"/>
          <w:bCs/>
          <w:sz w:val="24"/>
          <w:szCs w:val="24"/>
        </w:rPr>
        <w:t>、</w:t>
      </w:r>
      <w:r w:rsidRPr="00D85E78">
        <w:rPr>
          <w:rFonts w:ascii="宋体" w:hAnsi="宋体"/>
          <w:bCs/>
          <w:sz w:val="24"/>
          <w:szCs w:val="24"/>
        </w:rPr>
        <w:t>P/FCF</w:t>
      </w:r>
      <w:r w:rsidRPr="00D85E78">
        <w:rPr>
          <w:rFonts w:ascii="宋体" w:hAnsi="宋体" w:hint="eastAsia"/>
          <w:bCs/>
          <w:sz w:val="24"/>
          <w:szCs w:val="24"/>
        </w:rPr>
        <w:t>、</w:t>
      </w:r>
      <w:r w:rsidRPr="00D85E78">
        <w:rPr>
          <w:rFonts w:ascii="宋体" w:hAnsi="宋体"/>
          <w:bCs/>
          <w:sz w:val="24"/>
          <w:szCs w:val="24"/>
        </w:rPr>
        <w:t>P/S</w:t>
      </w:r>
      <w:r w:rsidRPr="00D85E78">
        <w:rPr>
          <w:rFonts w:ascii="宋体" w:hAnsi="宋体" w:hint="eastAsia"/>
          <w:bCs/>
          <w:sz w:val="24"/>
          <w:szCs w:val="24"/>
        </w:rPr>
        <w:t>、</w:t>
      </w:r>
      <w:r w:rsidRPr="00D85E78">
        <w:rPr>
          <w:rFonts w:ascii="宋体" w:hAnsi="宋体"/>
          <w:bCs/>
          <w:sz w:val="24"/>
          <w:szCs w:val="24"/>
        </w:rPr>
        <w:t>P/EBIT</w:t>
      </w:r>
      <w:r w:rsidRPr="00D85E78">
        <w:rPr>
          <w:rFonts w:ascii="宋体" w:hAnsi="宋体" w:hint="eastAsia"/>
          <w:bCs/>
          <w:sz w:val="24"/>
          <w:szCs w:val="24"/>
        </w:rPr>
        <w:t>等）</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bCs/>
          <w:sz w:val="24"/>
          <w:szCs w:val="24"/>
        </w:rPr>
        <w:tab/>
      </w:r>
      <w:r w:rsidRPr="00D85E78">
        <w:rPr>
          <w:rFonts w:ascii="宋体" w:hAnsi="宋体" w:hint="eastAsia"/>
          <w:bCs/>
          <w:sz w:val="24"/>
          <w:szCs w:val="24"/>
        </w:rPr>
        <w:t>经营效率指标（如</w:t>
      </w:r>
      <w:r w:rsidRPr="00D85E78">
        <w:rPr>
          <w:rFonts w:ascii="宋体" w:hAnsi="宋体"/>
          <w:bCs/>
          <w:sz w:val="24"/>
          <w:szCs w:val="24"/>
        </w:rPr>
        <w:t>ROE</w:t>
      </w:r>
      <w:r w:rsidRPr="00D85E78">
        <w:rPr>
          <w:rFonts w:ascii="宋体" w:hAnsi="宋体" w:hint="eastAsia"/>
          <w:bCs/>
          <w:sz w:val="24"/>
          <w:szCs w:val="24"/>
        </w:rPr>
        <w:t>、</w:t>
      </w:r>
      <w:r w:rsidRPr="00D85E78">
        <w:rPr>
          <w:rFonts w:ascii="宋体" w:hAnsi="宋体"/>
          <w:bCs/>
          <w:sz w:val="24"/>
          <w:szCs w:val="24"/>
        </w:rPr>
        <w:t>ROA</w:t>
      </w:r>
      <w:r w:rsidRPr="00D85E78">
        <w:rPr>
          <w:rFonts w:ascii="宋体" w:hAnsi="宋体" w:hint="eastAsia"/>
          <w:bCs/>
          <w:sz w:val="24"/>
          <w:szCs w:val="24"/>
        </w:rPr>
        <w:t>、</w:t>
      </w:r>
      <w:r w:rsidRPr="00D85E78">
        <w:rPr>
          <w:rFonts w:ascii="宋体" w:hAnsi="宋体"/>
          <w:bCs/>
          <w:sz w:val="24"/>
          <w:szCs w:val="24"/>
        </w:rPr>
        <w:t>Return on operating assets</w:t>
      </w:r>
      <w:r w:rsidRPr="00D85E78">
        <w:rPr>
          <w:rFonts w:ascii="宋体" w:hAnsi="宋体" w:hint="eastAsia"/>
          <w:bCs/>
          <w:sz w:val="24"/>
          <w:szCs w:val="24"/>
        </w:rPr>
        <w:t>等）</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bCs/>
          <w:sz w:val="24"/>
          <w:szCs w:val="24"/>
        </w:rPr>
        <w:tab/>
      </w:r>
      <w:r w:rsidRPr="00D85E78">
        <w:rPr>
          <w:rFonts w:ascii="宋体" w:hAnsi="宋体" w:hint="eastAsia"/>
          <w:bCs/>
          <w:sz w:val="24"/>
          <w:szCs w:val="24"/>
        </w:rPr>
        <w:t>财务状况指标（如</w:t>
      </w:r>
      <w:r w:rsidRPr="00D85E78">
        <w:rPr>
          <w:rFonts w:ascii="宋体" w:hAnsi="宋体"/>
          <w:bCs/>
          <w:sz w:val="24"/>
          <w:szCs w:val="24"/>
        </w:rPr>
        <w:t>D/A</w:t>
      </w:r>
      <w:r w:rsidRPr="00D85E78">
        <w:rPr>
          <w:rFonts w:ascii="宋体" w:hAnsi="宋体" w:hint="eastAsia"/>
          <w:bCs/>
          <w:sz w:val="24"/>
          <w:szCs w:val="24"/>
        </w:rPr>
        <w:t>、流动比率等）</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（2）价值评估</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在公司备选股票池基础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受益于混合所有制改革、垄断领域对民营资本开放等制度红利获得发展机遇或盈利水平显著提升的非国企上市公司。</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本基金管理人将对所关注的重点上市公司进行内在价值的评估和成长性跟踪研究，在明确的价值评估基础上精选优秀质地的投资标的构建股票组合。</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4、债券投资</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5、权证投资</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6、资产支持证券投资</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本基金投资资产支持证券将综合运用久期管理、收益率曲线、个券选择和把</w:t>
      </w:r>
      <w:r w:rsidRPr="00D85E78">
        <w:rPr>
          <w:rFonts w:ascii="宋体" w:hAnsi="宋体" w:hint="eastAsia"/>
          <w:bCs/>
          <w:sz w:val="24"/>
          <w:szCs w:val="24"/>
        </w:rPr>
        <w:lastRenderedPageBreak/>
        <w:t>握市场交易机会等积极策略，在严格控制风险的情况下，通过信用研究和流动性管理，选择风险调整后的收益高的品种进行投资，以期获得长期稳定收益。</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7、股指期货投资</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bCs/>
          <w:sz w:val="24"/>
          <w:szCs w:val="24"/>
        </w:rPr>
        <w:t>1</w:t>
      </w:r>
      <w:r w:rsidRPr="00D85E78">
        <w:rPr>
          <w:rFonts w:ascii="宋体" w:hAnsi="宋体" w:hint="eastAsia"/>
          <w:bCs/>
          <w:sz w:val="24"/>
          <w:szCs w:val="24"/>
        </w:rPr>
        <w:t>、组合限制</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基金的投资组合应遵循以下限制：</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（2）保持不低于基金资产净值5％的现金或者到期日在一年以内的政府债券；</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（3）本基金持有一家公司发行的证券，其市值不超过基金资产净值的10%；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（4）本基金管理人管理的全部基金持有一家公司发行的证券，不超过该证券的10%；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（5）本基金持有的全部权证，其市值不得超过基金资产净值的3%；</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（6）本基金管理人管理的全部基金持有的同一权证，不得超过该权证的10%；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（7）本基金在任何交易日买入权证的总金额，不得超过上一交易日基金资产净值的0.5%；</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（8）本基金投资于同一原始权益人的各类资产支持证券的比例，不得超过</w:t>
      </w:r>
      <w:r w:rsidRPr="00D85E78">
        <w:rPr>
          <w:rFonts w:ascii="宋体" w:hAnsi="宋体" w:hint="eastAsia"/>
          <w:bCs/>
          <w:sz w:val="24"/>
          <w:szCs w:val="24"/>
        </w:rPr>
        <w:lastRenderedPageBreak/>
        <w:t>基金资产净值的10%；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（9）本基金持有的全部资产支持证券，其市值不得超过基金资产净值的20%；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（10）本基金持有的同一(指同一信用级别)资产支持证券的比例，不得超过该资产支持证券规模的10%；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（11）本基金管理人管理的全部基金投资于同一原始权益人的各类资产支持证券，不得超过其各类资产支持证券合计规模的10%；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（13）基金财产参与股票发行申购，本基金所申报的金额不超过本基金的总资产，本基金所申报的股票数量不超过拟发行股票公司本次发行股票的总量；</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（14）本基金进入全国银行间同业市场进行债券回购的资金余额不得超过基金资产净值的40%，本基金在全国银行间同业市场中的债券回购最长期限为1年，债券回购到期后不得展期；</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（15）本基金若投资股指期货，则：</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1）本基金在任何交易日日终，持有的买入股指期货合约价值，不得超过基金资产净值的10%；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3）本基金在任何交易日日终，持有的卖出期货合约价值不得超过基金持有的股票总市值的20%；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4）本基金所持有的股票市值和买入、卖出股指期货合约价值，合计（轧差计算）应当符合基金合同关于股票投资比例的有关约定；</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5）本基金在任何交易日内交易（不包括平仓）的股指期货合约的成交金额不得超过上一交易日基金资产净值的20%；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6）本基金每个交易日日终在扣除股指期货合约需缴纳的交易保证金后，应当保持不低于基金资产净值5%的现金或到期日在一年以内的政府债券。</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（16）本基金持有其他证券投资基金（不含货币市场基金），其市值不得超过基金资产净值的10%；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（17）本基金的基金资产总值不得超过基金资产净值的140%；</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 xml:space="preserve">（19）本基金持有的同一中期票据，其市值不得超过基金资产净值的10%； </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（20）本基金的存款银行为具有证券投资基金托管人资格、证券投资基金销售业务资格或合格境外机构投资者托管人资格的商业银行；</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（21）本基金投资于定期存款的比例不得超过基金资产净值的30%，根据协议可提前支取且没有利息损失的银行存款，不受此限制；</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（22）法律法规及中国证监会规定的和《基金合同》约定的其他投资限制。</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bCs/>
          <w:sz w:val="24"/>
          <w:szCs w:val="24"/>
        </w:rPr>
        <w:t>2</w:t>
      </w:r>
      <w:r w:rsidRPr="00D85E78">
        <w:rPr>
          <w:rFonts w:ascii="宋体" w:hAnsi="宋体" w:hint="eastAsia"/>
          <w:bCs/>
          <w:sz w:val="24"/>
          <w:szCs w:val="24"/>
        </w:rPr>
        <w:t>、禁止行为</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（2）违反规定向他人贷款或者提供担保；</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（4）买卖其他基金份额，但是中国证监会另有规定的除外；</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（5）向其基金管理人、基金托管人出资；</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hint="eastAsia"/>
          <w:sz w:val="24"/>
          <w:szCs w:val="24"/>
        </w:rPr>
        <w:t>60%×沪深300指数+40%×中信标普全债指数</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hint="eastAsia"/>
          <w:sz w:val="24"/>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hint="eastAsia"/>
          <w:sz w:val="24"/>
          <w:szCs w:val="24"/>
        </w:rPr>
        <w:t>中信标普全债指数涵盖了在上海证券交易所、深圳证券交易所和银行间债券市场交易、剩余期限在一年以上、面值余额在一亿元以上、信用评级在投资级以上的国债、企业债、可转债和金融债，具有一定的投资代表性。基于指数的权威性和代表性以及本基金的投资范围和投资理念，选用该业绩比较基准能够真实、客观的反映本基金的风险收益特征。</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hint="eastAsia"/>
          <w:sz w:val="24"/>
          <w:szCs w:val="24"/>
        </w:rPr>
        <w:t>根据本基金的投资范围和投资比例，选用上述业绩比较基准能够客观、合理地反映本基金的风险收益特征。</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sz w:val="24"/>
          <w:szCs w:val="24"/>
        </w:rPr>
        <w:lastRenderedPageBreak/>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5E1FCE" w:rsidRPr="00D85E78" w:rsidRDefault="005E1FCE" w:rsidP="005F64F4">
      <w:pPr>
        <w:pStyle w:val="a5"/>
        <w:spacing w:afterLines="0"/>
        <w:ind w:firstLine="482"/>
        <w:rPr>
          <w:rFonts w:ascii="宋体" w:hAnsi="宋体"/>
          <w:b/>
          <w:szCs w:val="24"/>
        </w:rPr>
      </w:pPr>
      <w:r w:rsidRPr="00D85E78">
        <w:rPr>
          <w:rFonts w:ascii="宋体" w:hAnsi="宋体"/>
          <w:b/>
          <w:szCs w:val="24"/>
        </w:rPr>
        <w:t>六、基金资产净值的计算方法和公告方式</w:t>
      </w:r>
    </w:p>
    <w:p w:rsidR="005E1FCE" w:rsidRPr="00D85E78" w:rsidRDefault="005E1FCE" w:rsidP="005F64F4">
      <w:pPr>
        <w:pStyle w:val="a5"/>
        <w:spacing w:afterLines="0"/>
        <w:ind w:firstLine="480"/>
        <w:rPr>
          <w:rFonts w:ascii="宋体" w:hAnsi="宋体"/>
          <w:szCs w:val="24"/>
        </w:rPr>
      </w:pPr>
      <w:r w:rsidRPr="00D85E78">
        <w:rPr>
          <w:rFonts w:ascii="宋体" w:hAnsi="宋体"/>
          <w:bCs/>
          <w:szCs w:val="24"/>
        </w:rPr>
        <w:t>（一）估值方法</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1、证券交易所上市的有价证券的估值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（2）交易所市场上市交易或挂牌转让的固定收益品种（另有规定的除外），选取第三方估值机构提供的相应品种当日的估值净价进行估值；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 xml:space="preserve">（3）交易所市场上市交易的可转换债券，按估值日收盘价减去可转换债券收盘价中所含债券应收利息后得到的净价进行估值； </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（4）交易所市场挂牌转让的资产支持证券和私募债券，采用估值技术确定公允价值。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2、证券交易所发行未上市期间的有价证券应区分如下情况处理：</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（1）送股、转增股、配股和公开增发的新股，按估值日在证券交易所挂牌的同一股票的估值方法估值；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（2）首次公开发行未上市的股票和权证，采用估值技术确定公允价值；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（3）首次公开发行有明确锁定期的股票，同一股票在交易所上市后，按交易所上市的同一股票的估值方法估值；非公开发行有明确锁定期的股票，按监管</w:t>
      </w:r>
      <w:r w:rsidRPr="00D85E78">
        <w:rPr>
          <w:rFonts w:ascii="宋体" w:hAnsi="宋体" w:hint="eastAsia"/>
          <w:bCs/>
          <w:sz w:val="24"/>
          <w:szCs w:val="24"/>
        </w:rPr>
        <w:lastRenderedPageBreak/>
        <w:t>机构或行业协会有关规定确定公允价值。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（4）交易所市场发行未上市或未挂牌转让的债券，采用估值技术确定公允价值。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6、相关法律法规以及监管部门有强制规定的，从其规定。如有新增事项，按法律法规以及监管部门最新规定估值。</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sz w:val="24"/>
          <w:szCs w:val="24"/>
        </w:rPr>
        <w:t>（二）估值程序</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1、基金份额净值是按照每个工作日闭市后，基金资产净值除以当日基金份额的余额数量计算，精确到0.001元，小数点后第四位四舍五入。国家另有规定的，从其规定。</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基金管理人于每个工作日计算基金资产净值及基金份额净值，并按规定公告。如遇特殊情况，经中国证监会同意，可以适当延迟计算或公告。</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D85E78">
        <w:rPr>
          <w:rFonts w:ascii="宋体" w:hAnsi="宋体" w:hint="eastAsia"/>
          <w:bCs/>
          <w:sz w:val="24"/>
          <w:szCs w:val="24"/>
        </w:rPr>
        <w:lastRenderedPageBreak/>
        <w:t>依据基金合同和相关法律法规的规定对外公布。</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sz w:val="24"/>
          <w:szCs w:val="24"/>
        </w:rPr>
        <w:t>（三）暂停估值的情形</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1、基金投资所涉及的证券、期货交易市场遇法定节假日或因其他原因暂停营业时；</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2、因不可抗力致使基金管理人、基金托管人无法准确评估基金资产价值时；</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3、中国证监会和基金合同认定的其它情形。</w:t>
      </w:r>
    </w:p>
    <w:p w:rsidR="005E1FCE" w:rsidRPr="00D85E78" w:rsidRDefault="005E1FCE" w:rsidP="005F64F4">
      <w:pPr>
        <w:pStyle w:val="a5"/>
        <w:spacing w:afterLines="0"/>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2、关于《基金合同》变更的基金份额持有人大会决议生效后方可执行，并自决议生效后依照《信息披露办法》的规定在指定媒介公告。</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hint="eastAsia"/>
          <w:sz w:val="24"/>
          <w:szCs w:val="24"/>
        </w:rPr>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3、《基金合同》约定的其他情形；</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4、相关法律法规和中国证监会规定的其他情况。</w:t>
      </w:r>
    </w:p>
    <w:p w:rsidR="005E1FCE" w:rsidRPr="00D85E78" w:rsidRDefault="005E1FCE" w:rsidP="005F64F4">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3、基金财产清算小组职责：基金财产清算小组负责基金财产的保管、清理、</w:t>
      </w:r>
      <w:r w:rsidRPr="00D85E78">
        <w:rPr>
          <w:rFonts w:ascii="宋体" w:hAnsi="宋体" w:hint="eastAsia"/>
          <w:szCs w:val="24"/>
        </w:rPr>
        <w:lastRenderedPageBreak/>
        <w:t>估价、变现和分配。基金财产清算小组可以依法进行必要的民事活动。</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4、基金财产清算程序：</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（1）《基金合同》终止情形出现时，由基金财产清算小组统一接管基金财产；</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（2）对基金财产和债权债务进行清理和确认；</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（3）对基金财产进行估值和变现；</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（4）制作清算报告；</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（6）将清算报告报中国证监会备案并公告；</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（7）对基金剩余财产进行分配。</w:t>
      </w:r>
    </w:p>
    <w:p w:rsidR="005E1FCE" w:rsidRPr="00D85E78" w:rsidRDefault="005E1FCE" w:rsidP="005F64F4">
      <w:pPr>
        <w:pStyle w:val="a5"/>
        <w:spacing w:afterLines="0"/>
        <w:ind w:firstLine="480"/>
        <w:rPr>
          <w:rFonts w:ascii="宋体" w:hAnsi="宋体"/>
          <w:szCs w:val="24"/>
        </w:rPr>
      </w:pPr>
      <w:r w:rsidRPr="00D85E78">
        <w:rPr>
          <w:rFonts w:ascii="宋体" w:hAnsi="宋体" w:hint="eastAsia"/>
          <w:szCs w:val="24"/>
        </w:rPr>
        <w:t>5、基金财产清算的期限为6个月。</w:t>
      </w:r>
    </w:p>
    <w:p w:rsidR="005E1FCE" w:rsidRPr="00D85E78" w:rsidRDefault="005E1FCE" w:rsidP="005F64F4">
      <w:pPr>
        <w:pStyle w:val="a5"/>
        <w:spacing w:afterLines="0"/>
        <w:ind w:firstLine="482"/>
        <w:rPr>
          <w:rFonts w:ascii="宋体" w:hAnsi="宋体"/>
          <w:b/>
          <w:szCs w:val="24"/>
        </w:rPr>
      </w:pPr>
      <w:r w:rsidRPr="00D85E78">
        <w:rPr>
          <w:rFonts w:ascii="宋体" w:hAnsi="宋体"/>
          <w:b/>
          <w:szCs w:val="24"/>
        </w:rPr>
        <w:t>八、</w:t>
      </w:r>
      <w:r w:rsidRPr="00D85E78">
        <w:rPr>
          <w:rFonts w:ascii="宋体" w:hAnsi="宋体" w:hint="eastAsia"/>
          <w:b/>
          <w:szCs w:val="24"/>
        </w:rPr>
        <w:t>争议解决方式</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5E1FCE" w:rsidRPr="00D85E78" w:rsidRDefault="005E1FCE" w:rsidP="005F64F4">
      <w:pPr>
        <w:spacing w:line="360" w:lineRule="auto"/>
        <w:ind w:firstLineChars="200" w:firstLine="480"/>
        <w:rPr>
          <w:rFonts w:ascii="宋体" w:hAnsi="宋体"/>
          <w:bCs/>
          <w:sz w:val="24"/>
          <w:szCs w:val="24"/>
        </w:rPr>
      </w:pPr>
      <w:r w:rsidRPr="00D85E78">
        <w:rPr>
          <w:rFonts w:ascii="宋体" w:hAnsi="宋体" w:hint="eastAsia"/>
          <w:bCs/>
          <w:sz w:val="24"/>
          <w:szCs w:val="24"/>
        </w:rPr>
        <w:t>《基金合同》受中国法律管辖。</w:t>
      </w:r>
    </w:p>
    <w:p w:rsidR="005E1FCE" w:rsidRPr="00D85E78" w:rsidRDefault="005E1FCE" w:rsidP="005F64F4">
      <w:pPr>
        <w:pStyle w:val="a5"/>
        <w:spacing w:afterLines="0"/>
        <w:ind w:firstLine="482"/>
        <w:rPr>
          <w:rFonts w:ascii="宋体" w:hAnsi="宋体"/>
          <w:szCs w:val="24"/>
        </w:rPr>
      </w:pPr>
      <w:r w:rsidRPr="00D85E78">
        <w:rPr>
          <w:rFonts w:ascii="宋体" w:hAnsi="宋体"/>
          <w:b/>
          <w:szCs w:val="24"/>
        </w:rPr>
        <w:t>九、基金合同存放地和投资者取得基金合同的方式</w:t>
      </w:r>
    </w:p>
    <w:p w:rsidR="005E1FCE" w:rsidRPr="008F6B1F" w:rsidRDefault="005E1FCE" w:rsidP="005F64F4">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rsidR="005E1FCE" w:rsidRPr="008F6B1F" w:rsidRDefault="005E1FCE" w:rsidP="005F64F4">
      <w:pPr>
        <w:spacing w:line="360" w:lineRule="auto"/>
        <w:ind w:firstLineChars="200" w:firstLine="480"/>
        <w:rPr>
          <w:bCs/>
          <w:sz w:val="24"/>
        </w:rPr>
      </w:pPr>
      <w:r w:rsidRPr="008F6B1F">
        <w:rPr>
          <w:rFonts w:hint="eastAsia"/>
          <w:bCs/>
          <w:sz w:val="24"/>
        </w:rPr>
        <w:t>《基金合同》可印制成册，供投资者在基金管理人、基金托管人、销售机构的办公场所和营业场所查阅。</w:t>
      </w:r>
    </w:p>
    <w:p w:rsidR="005E1FCE" w:rsidRPr="008F6B1F" w:rsidRDefault="005E1FCE" w:rsidP="005F64F4">
      <w:pPr>
        <w:spacing w:line="360" w:lineRule="auto"/>
        <w:ind w:firstLineChars="200" w:firstLine="420"/>
      </w:pPr>
    </w:p>
    <w:p w:rsidR="00CC24AB" w:rsidRPr="005E1FCE" w:rsidRDefault="00CC24AB" w:rsidP="005F64F4">
      <w:pPr>
        <w:spacing w:line="360" w:lineRule="auto"/>
        <w:ind w:firstLineChars="200" w:firstLine="420"/>
      </w:pPr>
    </w:p>
    <w:p w:rsidR="00CC24AB" w:rsidRPr="00CC24AB" w:rsidRDefault="00CC24AB" w:rsidP="005F64F4">
      <w:pPr>
        <w:spacing w:line="360" w:lineRule="auto"/>
        <w:ind w:firstLineChars="200" w:firstLine="643"/>
        <w:jc w:val="center"/>
        <w:rPr>
          <w:rFonts w:ascii="Times New Roman" w:eastAsia="宋体" w:hAnsi="Times New Roman" w:cs="Times New Roman"/>
          <w:b/>
          <w:sz w:val="32"/>
          <w:szCs w:val="32"/>
        </w:rPr>
      </w:pPr>
      <w:bookmarkStart w:id="0" w:name="_GoBack"/>
      <w:bookmarkEnd w:id="0"/>
    </w:p>
    <w:sectPr w:rsidR="00CC24AB" w:rsidRPr="00CC24AB" w:rsidSect="00012670">
      <w:headerReference w:type="default" r:id="rId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F3870" w15:done="0"/>
  <w15:commentEx w15:paraId="77151B3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1E8" w:rsidRDefault="00A611E8" w:rsidP="00CC24AB">
      <w:r>
        <w:separator/>
      </w:r>
    </w:p>
  </w:endnote>
  <w:endnote w:type="continuationSeparator" w:id="0">
    <w:p w:rsidR="00A611E8" w:rsidRDefault="00A611E8" w:rsidP="00CC2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1E8" w:rsidRDefault="00A611E8" w:rsidP="00CC24AB">
      <w:r>
        <w:separator/>
      </w:r>
    </w:p>
  </w:footnote>
  <w:footnote w:type="continuationSeparator" w:id="0">
    <w:p w:rsidR="00A611E8" w:rsidRDefault="00A611E8" w:rsidP="00CC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AB" w:rsidRPr="00CC24AB" w:rsidRDefault="00CC24AB" w:rsidP="00CC24AB">
    <w:pPr>
      <w:pStyle w:val="a3"/>
      <w:jc w:val="right"/>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276225"/>
                  </a:xfrm>
                  <a:prstGeom prst="rect">
                    <a:avLst/>
                  </a:prstGeom>
                  <a:noFill/>
                  <a:ln>
                    <a:noFill/>
                  </a:ln>
                </pic:spPr>
              </pic:pic>
            </a:graphicData>
          </a:graphic>
        </wp:anchor>
      </w:drawing>
    </w:r>
    <w:r w:rsidRPr="006141D9">
      <w:rPr>
        <w:rFonts w:hint="eastAsia"/>
      </w:rPr>
      <w:t xml:space="preserve">                             </w:t>
    </w:r>
    <w:r>
      <w:rPr>
        <w:rFonts w:hint="eastAsia"/>
      </w:rPr>
      <w:t xml:space="preserve">       </w:t>
    </w:r>
    <w:r>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276225"/>
                  </a:xfrm>
                  <a:prstGeom prst="rect">
                    <a:avLst/>
                  </a:prstGeom>
                  <a:noFill/>
                  <a:ln>
                    <a:noFill/>
                  </a:ln>
                </pic:spPr>
              </pic:pic>
            </a:graphicData>
          </a:graphic>
        </wp:anchor>
      </w:drawing>
    </w:r>
    <w:r w:rsidR="003C3CBB" w:rsidRPr="003C3CBB">
      <w:rPr>
        <w:rFonts w:hint="eastAsia"/>
      </w:rPr>
      <w:t>交银施罗德国企改革灵活配置混合型证券投资基金</w:t>
    </w:r>
    <w:r w:rsidR="003C3CBB">
      <w:rPr>
        <w:rFonts w:hint="eastAsia"/>
      </w:rPr>
      <w:t>基金</w:t>
    </w:r>
    <w:r w:rsidR="003C3CBB">
      <w:t>合同</w:t>
    </w:r>
    <w:r w:rsidRPr="00BD5755">
      <w:rPr>
        <w:rFonts w:hint="eastAsia"/>
      </w:rPr>
      <w:t>摘要</w:t>
    </w:r>
  </w:p>
  <w:p w:rsidR="00CC24AB" w:rsidRDefault="00CC24A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5FAB"/>
    <w:rsid w:val="00012670"/>
    <w:rsid w:val="000A2BC4"/>
    <w:rsid w:val="002B353F"/>
    <w:rsid w:val="003C3CBB"/>
    <w:rsid w:val="004079BA"/>
    <w:rsid w:val="004A1738"/>
    <w:rsid w:val="0055164A"/>
    <w:rsid w:val="005E1FCE"/>
    <w:rsid w:val="005E537B"/>
    <w:rsid w:val="005F64F4"/>
    <w:rsid w:val="00655FAB"/>
    <w:rsid w:val="006B28F3"/>
    <w:rsid w:val="007A387B"/>
    <w:rsid w:val="008D5E45"/>
    <w:rsid w:val="00A611E8"/>
    <w:rsid w:val="00CC24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4AB"/>
    <w:rPr>
      <w:sz w:val="18"/>
      <w:szCs w:val="18"/>
    </w:rPr>
  </w:style>
  <w:style w:type="paragraph" w:styleId="a4">
    <w:name w:val="footer"/>
    <w:basedOn w:val="a"/>
    <w:link w:val="Char0"/>
    <w:uiPriority w:val="99"/>
    <w:unhideWhenUsed/>
    <w:rsid w:val="00CC24AB"/>
    <w:pPr>
      <w:tabs>
        <w:tab w:val="center" w:pos="4153"/>
        <w:tab w:val="right" w:pos="8306"/>
      </w:tabs>
      <w:snapToGrid w:val="0"/>
      <w:jc w:val="left"/>
    </w:pPr>
    <w:rPr>
      <w:sz w:val="18"/>
      <w:szCs w:val="18"/>
    </w:rPr>
  </w:style>
  <w:style w:type="character" w:customStyle="1" w:styleId="Char0">
    <w:name w:val="页脚 Char"/>
    <w:basedOn w:val="a0"/>
    <w:link w:val="a4"/>
    <w:uiPriority w:val="99"/>
    <w:rsid w:val="00CC24AB"/>
    <w:rPr>
      <w:sz w:val="18"/>
      <w:szCs w:val="18"/>
    </w:rPr>
  </w:style>
  <w:style w:type="character" w:customStyle="1" w:styleId="read">
    <w:name w:val="read"/>
    <w:basedOn w:val="a0"/>
    <w:rsid w:val="00CC24AB"/>
  </w:style>
  <w:style w:type="paragraph" w:customStyle="1" w:styleId="a5">
    <w:name w:val="正文正文"/>
    <w:basedOn w:val="a"/>
    <w:rsid w:val="00CC24AB"/>
    <w:pPr>
      <w:spacing w:afterLines="25" w:line="360" w:lineRule="auto"/>
      <w:ind w:firstLineChars="200" w:firstLine="200"/>
    </w:pPr>
    <w:rPr>
      <w:rFonts w:ascii="Times New Roman" w:eastAsia="宋体" w:hAnsi="Times New Roman" w:cs="Times New Roman"/>
      <w:sz w:val="24"/>
      <w:szCs w:val="20"/>
    </w:rPr>
  </w:style>
  <w:style w:type="character" w:styleId="a6">
    <w:name w:val="annotation reference"/>
    <w:rsid w:val="005E1FCE"/>
    <w:rPr>
      <w:sz w:val="21"/>
      <w:szCs w:val="21"/>
    </w:rPr>
  </w:style>
  <w:style w:type="character" w:customStyle="1" w:styleId="Char1">
    <w:name w:val="批注文字 Char"/>
    <w:link w:val="a7"/>
    <w:rsid w:val="005E1FCE"/>
  </w:style>
  <w:style w:type="paragraph" w:styleId="a7">
    <w:name w:val="annotation text"/>
    <w:basedOn w:val="a"/>
    <w:link w:val="Char1"/>
    <w:rsid w:val="005E1FCE"/>
    <w:pPr>
      <w:jc w:val="left"/>
    </w:pPr>
  </w:style>
  <w:style w:type="character" w:customStyle="1" w:styleId="Char10">
    <w:name w:val="批注文字 Char1"/>
    <w:basedOn w:val="a0"/>
    <w:uiPriority w:val="99"/>
    <w:semiHidden/>
    <w:rsid w:val="005E1FCE"/>
  </w:style>
  <w:style w:type="paragraph" w:styleId="a8">
    <w:name w:val="Balloon Text"/>
    <w:basedOn w:val="a"/>
    <w:link w:val="Char2"/>
    <w:uiPriority w:val="99"/>
    <w:semiHidden/>
    <w:unhideWhenUsed/>
    <w:rsid w:val="004A1738"/>
    <w:rPr>
      <w:sz w:val="18"/>
      <w:szCs w:val="18"/>
    </w:rPr>
  </w:style>
  <w:style w:type="character" w:customStyle="1" w:styleId="Char2">
    <w:name w:val="批注框文本 Char"/>
    <w:basedOn w:val="a0"/>
    <w:link w:val="a8"/>
    <w:uiPriority w:val="99"/>
    <w:semiHidden/>
    <w:rsid w:val="004A173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commentsExtended" Target="commentsExtended.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3036</Words>
  <Characters>17309</Characters>
  <Application>Microsoft Office Word</Application>
  <DocSecurity>0</DocSecurity>
  <Lines>144</Lines>
  <Paragraphs>40</Paragraphs>
  <ScaleCrop>false</ScaleCrop>
  <Company>Microsoft</Company>
  <LinksUpToDate>false</LinksUpToDate>
  <CharactersWithSpaces>20305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王晚婷</dc:creator>
  <cp:lastModifiedBy>吴文斐</cp:lastModifiedBy>
  <cp:revision>4</cp:revision>
  <dcterms:created xsi:type="dcterms:W3CDTF">2015-06-08T05:56:00Z</dcterms:created>
  <dcterms:modified xsi:type="dcterms:W3CDTF">2015-06-08T06:20:00Z</dcterms:modified>
</cp:coreProperties>
</file>