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2015</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2015</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二〇一五年四月二十一日</w:t>
      </w:r>
    </w:p>
    <w:p w:rsidR="00902E3F" w:rsidRPr="000E4C40" w:rsidRDefault="00902E3F" w:rsidP="0002297B">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8A42B7" w:rsidRDefault="0002297B">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A42B7" w:rsidRDefault="0002297B">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A42B7" w:rsidRDefault="0002297B">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A42B7" w:rsidRDefault="0002297B">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8A42B7" w:rsidRDefault="0002297B">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2015</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2297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485,174,536.45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11,200,009.53</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473,974,526.92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2297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(2015</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-2015</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128,911.03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5,432,773.43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128,911.03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5,432,773.43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11,200,009.53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473,974,526.92</w:t>
            </w:r>
          </w:p>
        </w:tc>
      </w:tr>
    </w:tbl>
    <w:p w:rsidR="008A42B7" w:rsidRDefault="000229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8A42B7">
        <w:trPr>
          <w:jc w:val="center"/>
        </w:trPr>
        <w:tc>
          <w:tcPr>
            <w:tcW w:w="1266" w:type="dxa"/>
            <w:vAlign w:val="center"/>
          </w:tcPr>
          <w:p w:rsidR="008A42B7" w:rsidRDefault="0002297B">
            <w:pPr>
              <w:jc w:val="left"/>
            </w:pPr>
            <w:r>
              <w:rPr>
                <w:color w:val="000000"/>
              </w:rPr>
              <w:lastRenderedPageBreak/>
              <w:t>过去三个月</w:t>
            </w:r>
          </w:p>
        </w:tc>
        <w:tc>
          <w:tcPr>
            <w:tcW w:w="1267" w:type="dxa"/>
            <w:vAlign w:val="center"/>
          </w:tcPr>
          <w:p w:rsidR="008A42B7" w:rsidRDefault="0002297B">
            <w:pPr>
              <w:jc w:val="center"/>
            </w:pPr>
            <w:r>
              <w:rPr>
                <w:color w:val="000000"/>
              </w:rPr>
              <w:t>1.0957%</w:t>
            </w:r>
          </w:p>
        </w:tc>
        <w:tc>
          <w:tcPr>
            <w:tcW w:w="1267" w:type="dxa"/>
            <w:vAlign w:val="center"/>
          </w:tcPr>
          <w:p w:rsidR="008A42B7" w:rsidRDefault="0002297B">
            <w:pPr>
              <w:jc w:val="center"/>
            </w:pPr>
            <w:r>
              <w:rPr>
                <w:color w:val="000000"/>
              </w:rPr>
              <w:t>0.0076%</w:t>
            </w:r>
          </w:p>
        </w:tc>
        <w:tc>
          <w:tcPr>
            <w:tcW w:w="1267" w:type="dxa"/>
            <w:vAlign w:val="center"/>
          </w:tcPr>
          <w:p w:rsidR="008A42B7" w:rsidRDefault="0002297B">
            <w:pPr>
              <w:jc w:val="center"/>
            </w:pPr>
            <w:r>
              <w:rPr>
                <w:color w:val="000000"/>
              </w:rPr>
              <w:t>0.3329%</w:t>
            </w:r>
          </w:p>
        </w:tc>
        <w:tc>
          <w:tcPr>
            <w:tcW w:w="1267" w:type="dxa"/>
            <w:vAlign w:val="center"/>
          </w:tcPr>
          <w:p w:rsidR="008A42B7" w:rsidRDefault="0002297B">
            <w:pPr>
              <w:jc w:val="center"/>
            </w:pPr>
            <w:r>
              <w:rPr>
                <w:color w:val="000000"/>
              </w:rPr>
              <w:t>0.0000%</w:t>
            </w:r>
          </w:p>
        </w:tc>
        <w:tc>
          <w:tcPr>
            <w:tcW w:w="1267" w:type="dxa"/>
            <w:vAlign w:val="center"/>
          </w:tcPr>
          <w:p w:rsidR="008A42B7" w:rsidRDefault="0002297B">
            <w:pPr>
              <w:jc w:val="center"/>
            </w:pPr>
            <w:r>
              <w:rPr>
                <w:color w:val="000000"/>
              </w:rPr>
              <w:t>0.7628%</w:t>
            </w:r>
          </w:p>
        </w:tc>
        <w:tc>
          <w:tcPr>
            <w:tcW w:w="1267" w:type="dxa"/>
            <w:vAlign w:val="center"/>
          </w:tcPr>
          <w:p w:rsidR="008A42B7" w:rsidRDefault="0002297B">
            <w:pPr>
              <w:jc w:val="center"/>
            </w:pPr>
            <w:r>
              <w:rPr>
                <w:color w:val="000000"/>
              </w:rPr>
              <w:t>0.0076%</w:t>
            </w:r>
          </w:p>
        </w:tc>
      </w:tr>
    </w:tbl>
    <w:p w:rsidR="008A42B7" w:rsidRDefault="000229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8A42B7">
        <w:trPr>
          <w:jc w:val="center"/>
        </w:trPr>
        <w:tc>
          <w:tcPr>
            <w:tcW w:w="1266" w:type="dxa"/>
            <w:vAlign w:val="center"/>
          </w:tcPr>
          <w:p w:rsidR="008A42B7" w:rsidRDefault="0002297B">
            <w:pPr>
              <w:jc w:val="left"/>
            </w:pPr>
            <w:r>
              <w:rPr>
                <w:color w:val="000000"/>
              </w:rPr>
              <w:t>过去三个月</w:t>
            </w:r>
          </w:p>
        </w:tc>
        <w:tc>
          <w:tcPr>
            <w:tcW w:w="1267" w:type="dxa"/>
            <w:vAlign w:val="center"/>
          </w:tcPr>
          <w:p w:rsidR="008A42B7" w:rsidRDefault="0002297B">
            <w:pPr>
              <w:jc w:val="center"/>
            </w:pPr>
            <w:r>
              <w:rPr>
                <w:color w:val="000000"/>
              </w:rPr>
              <w:t>1.1678%</w:t>
            </w:r>
          </w:p>
        </w:tc>
        <w:tc>
          <w:tcPr>
            <w:tcW w:w="1267" w:type="dxa"/>
            <w:vAlign w:val="center"/>
          </w:tcPr>
          <w:p w:rsidR="008A42B7" w:rsidRDefault="0002297B">
            <w:pPr>
              <w:jc w:val="center"/>
            </w:pPr>
            <w:r>
              <w:rPr>
                <w:color w:val="000000"/>
              </w:rPr>
              <w:t>0.0076%</w:t>
            </w:r>
          </w:p>
        </w:tc>
        <w:tc>
          <w:tcPr>
            <w:tcW w:w="1267" w:type="dxa"/>
            <w:vAlign w:val="center"/>
          </w:tcPr>
          <w:p w:rsidR="008A42B7" w:rsidRDefault="0002297B">
            <w:pPr>
              <w:jc w:val="center"/>
            </w:pPr>
            <w:r>
              <w:rPr>
                <w:color w:val="000000"/>
              </w:rPr>
              <w:t>0.3329%</w:t>
            </w:r>
          </w:p>
        </w:tc>
        <w:tc>
          <w:tcPr>
            <w:tcW w:w="1267" w:type="dxa"/>
            <w:vAlign w:val="center"/>
          </w:tcPr>
          <w:p w:rsidR="008A42B7" w:rsidRDefault="0002297B">
            <w:pPr>
              <w:jc w:val="center"/>
            </w:pPr>
            <w:r>
              <w:rPr>
                <w:color w:val="000000"/>
              </w:rPr>
              <w:t>0.0000%</w:t>
            </w:r>
          </w:p>
        </w:tc>
        <w:tc>
          <w:tcPr>
            <w:tcW w:w="1267" w:type="dxa"/>
            <w:vAlign w:val="center"/>
          </w:tcPr>
          <w:p w:rsidR="008A42B7" w:rsidRDefault="0002297B">
            <w:pPr>
              <w:jc w:val="center"/>
            </w:pPr>
            <w:r>
              <w:rPr>
                <w:color w:val="000000"/>
              </w:rPr>
              <w:t>0.8349%</w:t>
            </w:r>
          </w:p>
        </w:tc>
        <w:tc>
          <w:tcPr>
            <w:tcW w:w="1267" w:type="dxa"/>
            <w:vAlign w:val="center"/>
          </w:tcPr>
          <w:p w:rsidR="008A42B7" w:rsidRDefault="0002297B">
            <w:pPr>
              <w:jc w:val="center"/>
            </w:pPr>
            <w:r>
              <w:rPr>
                <w:color w:val="000000"/>
              </w:rPr>
              <w:t>0.0076%</w:t>
            </w:r>
          </w:p>
        </w:tc>
      </w:tr>
    </w:tbl>
    <w:p w:rsidR="008A42B7" w:rsidRDefault="000229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2015</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02297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8A42B7">
        <w:trPr>
          <w:jc w:val="center"/>
        </w:trPr>
        <w:tc>
          <w:tcPr>
            <w:tcW w:w="945" w:type="dxa"/>
            <w:vAlign w:val="center"/>
          </w:tcPr>
          <w:p w:rsidR="008A42B7" w:rsidRDefault="0002297B">
            <w:pPr>
              <w:jc w:val="center"/>
            </w:pPr>
            <w:r>
              <w:rPr>
                <w:color w:val="000000"/>
                <w:sz w:val="24"/>
              </w:rPr>
              <w:t>赵凌琦</w:t>
            </w:r>
          </w:p>
        </w:tc>
        <w:tc>
          <w:tcPr>
            <w:tcW w:w="1589" w:type="dxa"/>
            <w:vAlign w:val="center"/>
          </w:tcPr>
          <w:p w:rsidR="008A42B7" w:rsidRDefault="0002297B">
            <w:pPr>
              <w:jc w:val="center"/>
            </w:pPr>
            <w:r>
              <w:rPr>
                <w:color w:val="000000"/>
                <w:sz w:val="24"/>
              </w:rPr>
              <w:t>本基金、交银双轮动债券、交银定期支付月月丰债券、交银强化回报债券、交银丰盈收益债券的基金经理，公司固定收益部副总经理</w:t>
            </w:r>
          </w:p>
        </w:tc>
        <w:tc>
          <w:tcPr>
            <w:tcW w:w="1478" w:type="dxa"/>
            <w:vAlign w:val="center"/>
          </w:tcPr>
          <w:p w:rsidR="008A42B7" w:rsidRDefault="0002297B">
            <w:pPr>
              <w:jc w:val="center"/>
            </w:pPr>
            <w:r>
              <w:rPr>
                <w:color w:val="000000"/>
                <w:sz w:val="24"/>
              </w:rPr>
              <w:t>2014-03-31</w:t>
            </w:r>
          </w:p>
        </w:tc>
        <w:tc>
          <w:tcPr>
            <w:tcW w:w="1478" w:type="dxa"/>
            <w:vAlign w:val="center"/>
          </w:tcPr>
          <w:p w:rsidR="008A42B7" w:rsidRDefault="0002297B">
            <w:pPr>
              <w:jc w:val="center"/>
            </w:pPr>
            <w:r>
              <w:rPr>
                <w:color w:val="000000"/>
                <w:sz w:val="24"/>
              </w:rPr>
              <w:t>-</w:t>
            </w:r>
          </w:p>
        </w:tc>
        <w:tc>
          <w:tcPr>
            <w:tcW w:w="986" w:type="dxa"/>
            <w:vAlign w:val="center"/>
          </w:tcPr>
          <w:p w:rsidR="008A42B7" w:rsidRDefault="0002297B">
            <w:pPr>
              <w:jc w:val="center"/>
            </w:pPr>
            <w:r>
              <w:rPr>
                <w:color w:val="000000"/>
                <w:sz w:val="24"/>
              </w:rPr>
              <w:t>2</w:t>
            </w:r>
            <w:r>
              <w:rPr>
                <w:color w:val="000000"/>
                <w:sz w:val="24"/>
              </w:rPr>
              <w:t>年</w:t>
            </w:r>
          </w:p>
        </w:tc>
        <w:tc>
          <w:tcPr>
            <w:tcW w:w="2392" w:type="dxa"/>
            <w:vAlign w:val="center"/>
          </w:tcPr>
          <w:p w:rsidR="008A42B7" w:rsidRDefault="0002297B">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8A42B7">
        <w:trPr>
          <w:jc w:val="center"/>
        </w:trPr>
        <w:tc>
          <w:tcPr>
            <w:tcW w:w="945" w:type="dxa"/>
            <w:vAlign w:val="center"/>
          </w:tcPr>
          <w:p w:rsidR="008A42B7" w:rsidRDefault="0002297B">
            <w:pPr>
              <w:jc w:val="center"/>
            </w:pPr>
            <w:r>
              <w:rPr>
                <w:color w:val="000000"/>
                <w:sz w:val="24"/>
              </w:rPr>
              <w:t>孙超</w:t>
            </w:r>
          </w:p>
        </w:tc>
        <w:tc>
          <w:tcPr>
            <w:tcW w:w="1589" w:type="dxa"/>
            <w:vAlign w:val="center"/>
          </w:tcPr>
          <w:p w:rsidR="008A42B7" w:rsidRDefault="0002297B">
            <w:pPr>
              <w:jc w:val="center"/>
            </w:pPr>
            <w:r>
              <w:rPr>
                <w:color w:val="000000"/>
                <w:sz w:val="24"/>
              </w:rPr>
              <w:t>本基金、交银双轮动债券、交银定期支付月月丰债券、交银强化回报债券、交银丰润收益债券、交银丰享收益债券、交银丰泽收益债券的基金经理</w:t>
            </w:r>
          </w:p>
        </w:tc>
        <w:tc>
          <w:tcPr>
            <w:tcW w:w="1478" w:type="dxa"/>
            <w:vAlign w:val="center"/>
          </w:tcPr>
          <w:p w:rsidR="008A42B7" w:rsidRDefault="0002297B">
            <w:pPr>
              <w:jc w:val="center"/>
            </w:pPr>
            <w:r>
              <w:rPr>
                <w:color w:val="000000"/>
                <w:sz w:val="24"/>
              </w:rPr>
              <w:t>2014-08-26</w:t>
            </w:r>
          </w:p>
        </w:tc>
        <w:tc>
          <w:tcPr>
            <w:tcW w:w="1478" w:type="dxa"/>
            <w:vAlign w:val="center"/>
          </w:tcPr>
          <w:p w:rsidR="008A42B7" w:rsidRDefault="0002297B">
            <w:pPr>
              <w:jc w:val="center"/>
            </w:pPr>
            <w:r>
              <w:rPr>
                <w:color w:val="000000"/>
                <w:sz w:val="24"/>
              </w:rPr>
              <w:t>-</w:t>
            </w:r>
          </w:p>
        </w:tc>
        <w:tc>
          <w:tcPr>
            <w:tcW w:w="986" w:type="dxa"/>
            <w:vAlign w:val="center"/>
          </w:tcPr>
          <w:p w:rsidR="008A42B7" w:rsidRDefault="0002297B">
            <w:pPr>
              <w:jc w:val="center"/>
            </w:pPr>
            <w:r>
              <w:rPr>
                <w:color w:val="000000"/>
                <w:sz w:val="24"/>
              </w:rPr>
              <w:t>4</w:t>
            </w:r>
            <w:r>
              <w:rPr>
                <w:color w:val="000000"/>
                <w:sz w:val="24"/>
              </w:rPr>
              <w:t>年</w:t>
            </w:r>
          </w:p>
        </w:tc>
        <w:tc>
          <w:tcPr>
            <w:tcW w:w="2392" w:type="dxa"/>
            <w:vAlign w:val="center"/>
          </w:tcPr>
          <w:p w:rsidR="008A42B7" w:rsidRDefault="0002297B">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8A42B7" w:rsidRDefault="0002297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A42B7" w:rsidRDefault="0002297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A42B7" w:rsidRDefault="0002297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w:t>
      </w:r>
      <w:r w:rsidRPr="000E4C40">
        <w:rPr>
          <w:color w:val="000000"/>
          <w:sz w:val="24"/>
        </w:rPr>
        <w:t>,</w:t>
      </w:r>
      <w:r w:rsidRPr="000E4C40">
        <w:rPr>
          <w:color w:val="000000"/>
          <w:sz w:val="24"/>
        </w:rPr>
        <w:t>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8A42B7" w:rsidRDefault="0002297B">
      <w:pPr>
        <w:spacing w:before="29" w:line="288" w:lineRule="auto"/>
        <w:ind w:firstLineChars="200" w:firstLine="480"/>
        <w:rPr>
          <w:color w:val="000000"/>
          <w:sz w:val="24"/>
        </w:rPr>
      </w:pPr>
      <w:r>
        <w:rPr>
          <w:color w:val="000000"/>
          <w:sz w:val="24"/>
        </w:rPr>
        <w:t>一季度，市场在强烈的货币宽松预期中迎来全面降准和降息，春节前债市乐观情绪达到顶峰。春节后由于稳增长政策进一步推出、资金面宽松不达预期以及《</w:t>
      </w:r>
      <w:r>
        <w:rPr>
          <w:color w:val="000000"/>
          <w:sz w:val="24"/>
        </w:rPr>
        <w:t>2015</w:t>
      </w:r>
      <w:r>
        <w:rPr>
          <w:color w:val="000000"/>
          <w:sz w:val="24"/>
        </w:rPr>
        <w:t>年地方政府专项债券预算管理办法》颁布后引起市场对利率债供给的担忧，债券市场出现较大幅度的调整。</w:t>
      </w:r>
    </w:p>
    <w:p w:rsidR="008A42B7" w:rsidRDefault="0002297B">
      <w:pPr>
        <w:spacing w:before="29" w:line="288" w:lineRule="auto"/>
        <w:ind w:firstLineChars="200" w:firstLine="480"/>
        <w:rPr>
          <w:color w:val="000000"/>
          <w:sz w:val="24"/>
        </w:rPr>
      </w:pPr>
      <w:r>
        <w:rPr>
          <w:color w:val="000000"/>
          <w:sz w:val="24"/>
        </w:rPr>
        <w:t>中债总全价（总值）指数在</w:t>
      </w:r>
      <w:r>
        <w:rPr>
          <w:color w:val="000000"/>
          <w:sz w:val="24"/>
        </w:rPr>
        <w:t>1</w:t>
      </w:r>
      <w:r>
        <w:rPr>
          <w:color w:val="000000"/>
          <w:sz w:val="24"/>
        </w:rPr>
        <w:t>月上涨</w:t>
      </w:r>
      <w:r>
        <w:rPr>
          <w:color w:val="000000"/>
          <w:sz w:val="24"/>
        </w:rPr>
        <w:t>0.78%</w:t>
      </w:r>
      <w:r>
        <w:rPr>
          <w:color w:val="000000"/>
          <w:sz w:val="24"/>
        </w:rPr>
        <w:t>，</w:t>
      </w:r>
      <w:r>
        <w:rPr>
          <w:color w:val="000000"/>
          <w:sz w:val="24"/>
        </w:rPr>
        <w:t>2</w:t>
      </w:r>
      <w:r>
        <w:rPr>
          <w:color w:val="000000"/>
          <w:sz w:val="24"/>
        </w:rPr>
        <w:t>月上涨</w:t>
      </w:r>
      <w:r>
        <w:rPr>
          <w:color w:val="000000"/>
          <w:sz w:val="24"/>
        </w:rPr>
        <w:t>0.67%</w:t>
      </w:r>
      <w:r>
        <w:rPr>
          <w:color w:val="000000"/>
          <w:sz w:val="24"/>
        </w:rPr>
        <w:t>，</w:t>
      </w:r>
      <w:r>
        <w:rPr>
          <w:color w:val="000000"/>
          <w:sz w:val="24"/>
        </w:rPr>
        <w:t>3</w:t>
      </w:r>
      <w:r>
        <w:rPr>
          <w:color w:val="000000"/>
          <w:sz w:val="24"/>
        </w:rPr>
        <w:t>月下跌</w:t>
      </w:r>
      <w:r>
        <w:rPr>
          <w:color w:val="000000"/>
          <w:sz w:val="24"/>
        </w:rPr>
        <w:t>1.99%</w:t>
      </w:r>
      <w:r>
        <w:rPr>
          <w:color w:val="000000"/>
          <w:sz w:val="24"/>
        </w:rPr>
        <w:t>。本基金在资金紧张的时点配置了较多存款资产，保证了报告期内稳定的收益来源。</w:t>
      </w:r>
    </w:p>
    <w:p w:rsidR="00C4627A" w:rsidRPr="000E4C40" w:rsidRDefault="00C4627A" w:rsidP="00281564">
      <w:pPr>
        <w:spacing w:before="29" w:line="288" w:lineRule="auto"/>
        <w:ind w:firstLineChars="200" w:firstLine="480"/>
        <w:rPr>
          <w:color w:val="000000"/>
          <w:sz w:val="24"/>
        </w:rPr>
      </w:pPr>
      <w:r w:rsidRPr="000E4C40">
        <w:rPr>
          <w:color w:val="000000"/>
          <w:sz w:val="24"/>
        </w:rPr>
        <w:t>债券市场投资机会正在逐渐显现，预计资金宽松、短端利率下行是大概率事件，长端走势则应密切关注地方债推出对利率债供给的影响以及经济基本面企稳的可靠性。存款保险制度推出后，打破信用债刚性兑付的预期进一步上升，我们保持对低等级信用债的警惕。预计二季度</w:t>
      </w:r>
      <w:r w:rsidRPr="000E4C40">
        <w:rPr>
          <w:color w:val="000000"/>
          <w:sz w:val="24"/>
        </w:rPr>
        <w:t>IPO</w:t>
      </w:r>
      <w:r w:rsidRPr="000E4C40">
        <w:rPr>
          <w:color w:val="000000"/>
          <w:sz w:val="24"/>
        </w:rPr>
        <w:t>仍将持续进行，对货币市场资金面的扰动也将成为常态。本基金二季度将保持灵活仓位，力求在资金紧张的时点配置高收益的现券资产和存款资产。</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1.0957%</w:t>
      </w:r>
      <w:r w:rsidRPr="000E4C40">
        <w:rPr>
          <w:color w:val="000000"/>
          <w:sz w:val="24"/>
        </w:rPr>
        <w:t>，同期业绩比较基准增长率为</w:t>
      </w:r>
      <w:r w:rsidRPr="000E4C40">
        <w:rPr>
          <w:color w:val="000000"/>
          <w:sz w:val="24"/>
        </w:rPr>
        <w:t>0.3329%</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1.1678%</w:t>
      </w:r>
      <w:r w:rsidRPr="000E4C40">
        <w:rPr>
          <w:color w:val="000000"/>
          <w:sz w:val="24"/>
        </w:rPr>
        <w:t>，同期业绩比较基准增长率为</w:t>
      </w:r>
      <w:r w:rsidRPr="000E4C40">
        <w:rPr>
          <w:color w:val="000000"/>
          <w:sz w:val="24"/>
        </w:rPr>
        <w:t>0.3329%</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02297B">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02297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25,005,567.75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25,005,567.75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455,430,374.41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93.78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5,221,816.06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485,657,758.22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8.55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150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6.27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65.96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26.79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99.02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25,005,567.75</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5.15</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25,005,567.75</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5.15</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25,005,567.75</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5.15</w:t>
            </w:r>
          </w:p>
        </w:tc>
      </w:tr>
      <w:tr w:rsidR="00813897" w:rsidRPr="000E4C40" w:rsidTr="002C1941">
        <w:trPr>
          <w:jc w:val="center"/>
        </w:trPr>
        <w:tc>
          <w:tcPr>
            <w:tcW w:w="817" w:type="dxa"/>
            <w:vAlign w:val="center"/>
          </w:tcPr>
          <w:p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984"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1110"/>
        <w:gridCol w:w="1237"/>
        <w:gridCol w:w="1440"/>
        <w:gridCol w:w="1209"/>
        <w:gridCol w:w="2277"/>
        <w:gridCol w:w="1595"/>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8A42B7">
        <w:trPr>
          <w:jc w:val="center"/>
        </w:trPr>
        <w:tc>
          <w:tcPr>
            <w:tcW w:w="0" w:type="auto"/>
            <w:vAlign w:val="center"/>
          </w:tcPr>
          <w:p w:rsidR="008A42B7" w:rsidRDefault="0002297B">
            <w:pPr>
              <w:jc w:val="center"/>
            </w:pPr>
            <w:r>
              <w:rPr>
                <w:color w:val="000000"/>
                <w:sz w:val="24"/>
              </w:rPr>
              <w:t>1</w:t>
            </w:r>
          </w:p>
        </w:tc>
        <w:tc>
          <w:tcPr>
            <w:tcW w:w="0" w:type="auto"/>
            <w:vAlign w:val="center"/>
          </w:tcPr>
          <w:p w:rsidR="008A42B7" w:rsidRDefault="0002297B">
            <w:pPr>
              <w:jc w:val="center"/>
            </w:pPr>
            <w:r>
              <w:rPr>
                <w:color w:val="000000"/>
                <w:sz w:val="24"/>
              </w:rPr>
              <w:t>140429</w:t>
            </w:r>
          </w:p>
        </w:tc>
        <w:tc>
          <w:tcPr>
            <w:tcW w:w="0" w:type="auto"/>
            <w:vAlign w:val="center"/>
          </w:tcPr>
          <w:p w:rsidR="008A42B7" w:rsidRDefault="0002297B">
            <w:pPr>
              <w:jc w:val="center"/>
            </w:pPr>
            <w:r>
              <w:rPr>
                <w:color w:val="000000"/>
                <w:sz w:val="24"/>
              </w:rPr>
              <w:t>14</w:t>
            </w:r>
            <w:r>
              <w:rPr>
                <w:color w:val="000000"/>
                <w:sz w:val="24"/>
              </w:rPr>
              <w:t>农发</w:t>
            </w:r>
            <w:r>
              <w:rPr>
                <w:color w:val="000000"/>
                <w:sz w:val="24"/>
              </w:rPr>
              <w:t>29</w:t>
            </w:r>
          </w:p>
        </w:tc>
        <w:tc>
          <w:tcPr>
            <w:tcW w:w="0" w:type="auto"/>
            <w:vAlign w:val="center"/>
          </w:tcPr>
          <w:p w:rsidR="008A42B7" w:rsidRDefault="0002297B">
            <w:pPr>
              <w:jc w:val="right"/>
            </w:pPr>
            <w:r>
              <w:rPr>
                <w:color w:val="000000"/>
                <w:sz w:val="24"/>
              </w:rPr>
              <w:t>250,000</w:t>
            </w:r>
          </w:p>
        </w:tc>
        <w:tc>
          <w:tcPr>
            <w:tcW w:w="0" w:type="auto"/>
            <w:vAlign w:val="center"/>
          </w:tcPr>
          <w:p w:rsidR="008A42B7" w:rsidRDefault="0002297B">
            <w:pPr>
              <w:jc w:val="right"/>
            </w:pPr>
            <w:r>
              <w:rPr>
                <w:color w:val="000000"/>
                <w:sz w:val="24"/>
              </w:rPr>
              <w:t>25,005,567.75</w:t>
            </w:r>
          </w:p>
        </w:tc>
        <w:tc>
          <w:tcPr>
            <w:tcW w:w="0" w:type="auto"/>
            <w:vAlign w:val="center"/>
          </w:tcPr>
          <w:p w:rsidR="008A42B7" w:rsidRDefault="0002297B">
            <w:pPr>
              <w:jc w:val="right"/>
            </w:pPr>
            <w:r>
              <w:rPr>
                <w:color w:val="000000"/>
                <w:sz w:val="24"/>
              </w:rPr>
              <w:t>5.15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0.0573%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-0.1061%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0.0157%</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5,220,816.06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5,221,816.06</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2297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14,928,628.72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221,373,273.42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1,448,488.90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454,050,722.50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5,177,108.09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201,449,469.00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11,200,009.53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473,974,526.92</w:t>
            </w:r>
          </w:p>
        </w:tc>
      </w:tr>
    </w:tbl>
    <w:p w:rsidR="008A42B7" w:rsidRDefault="000229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2297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9D74FC" w:rsidRPr="000E4C40" w:rsidRDefault="009D74FC" w:rsidP="0002297B">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AF3D19"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影响投资者决策的其他重要信息</w:t>
      </w:r>
    </w:p>
    <w:p w:rsidR="008A42B7" w:rsidRDefault="0002297B">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AB373C" w:rsidRPr="000E4C40" w:rsidRDefault="00AB373C" w:rsidP="00281564">
      <w:pPr>
        <w:spacing w:before="29" w:line="288" w:lineRule="auto"/>
        <w:ind w:firstLineChars="200" w:firstLine="480"/>
        <w:rPr>
          <w:color w:val="000000"/>
          <w:sz w:val="24"/>
        </w:rPr>
      </w:pPr>
      <w:r w:rsidRPr="000E4C40">
        <w:rPr>
          <w:color w:val="000000"/>
          <w:sz w:val="24"/>
        </w:rPr>
        <w:t>2015</w:t>
      </w:r>
      <w:r w:rsidRPr="000E4C40">
        <w:rPr>
          <w:color w:val="000000"/>
          <w:sz w:val="24"/>
        </w:rPr>
        <w:t>年</w:t>
      </w:r>
      <w:r w:rsidRPr="000E4C40">
        <w:rPr>
          <w:color w:val="000000"/>
          <w:sz w:val="24"/>
        </w:rPr>
        <w:t>3</w:t>
      </w:r>
      <w:r w:rsidRPr="000E4C40">
        <w:rPr>
          <w:color w:val="000000"/>
          <w:sz w:val="24"/>
        </w:rPr>
        <w:t>月</w:t>
      </w:r>
      <w:r w:rsidRPr="000E4C40">
        <w:rPr>
          <w:color w:val="000000"/>
          <w:sz w:val="24"/>
        </w:rPr>
        <w:t>19</w:t>
      </w:r>
      <w:r w:rsidRPr="000E4C40">
        <w:rPr>
          <w:color w:val="000000"/>
          <w:sz w:val="24"/>
        </w:rPr>
        <w:t>日当日进行的上述相关调整对前一估值日各基金资产净值的影响不超过</w:t>
      </w:r>
      <w:r w:rsidRPr="000E4C40">
        <w:rPr>
          <w:color w:val="000000"/>
          <w:sz w:val="24"/>
        </w:rPr>
        <w:t>0.50%</w:t>
      </w:r>
      <w:r w:rsidRPr="000E4C40">
        <w:rPr>
          <w:color w:val="000000"/>
          <w:sz w:val="24"/>
        </w:rPr>
        <w:t>。</w:t>
      </w:r>
    </w:p>
    <w:p w:rsidR="001B3FBF" w:rsidRPr="000E4C40" w:rsidRDefault="001B3FBF" w:rsidP="00281564">
      <w:pPr>
        <w:spacing w:before="29" w:line="288" w:lineRule="auto"/>
        <w:ind w:firstLineChars="200" w:firstLine="480"/>
        <w:rPr>
          <w:color w:val="000000"/>
          <w:sz w:val="24"/>
        </w:rPr>
      </w:pPr>
    </w:p>
    <w:p w:rsidR="00C03EF8" w:rsidRPr="009268A2" w:rsidRDefault="009D74FC" w:rsidP="0002297B">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8A42B7" w:rsidRDefault="0002297B">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8A42B7" w:rsidRDefault="0002297B">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8A42B7" w:rsidRDefault="0002297B">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8A42B7" w:rsidRDefault="0002297B">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8A42B7" w:rsidRDefault="0002297B">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8A42B7" w:rsidRDefault="0002297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A42B7" w:rsidRDefault="0002297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8A42B7" w:rsidRDefault="0002297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CBF" w:rsidRDefault="00F85CBF">
      <w:r>
        <w:separator/>
      </w:r>
    </w:p>
  </w:endnote>
  <w:endnote w:type="continuationSeparator" w:id="0">
    <w:p w:rsidR="00F85CBF" w:rsidRDefault="00F8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8A42B7">
      <w:rPr>
        <w:kern w:val="0"/>
        <w:szCs w:val="21"/>
      </w:rPr>
      <w:fldChar w:fldCharType="begin"/>
    </w:r>
    <w:r>
      <w:rPr>
        <w:kern w:val="0"/>
        <w:szCs w:val="21"/>
      </w:rPr>
      <w:instrText xml:space="preserve"> PAGE </w:instrText>
    </w:r>
    <w:r w:rsidR="008A42B7">
      <w:rPr>
        <w:kern w:val="0"/>
        <w:szCs w:val="21"/>
      </w:rPr>
      <w:fldChar w:fldCharType="separate"/>
    </w:r>
    <w:r w:rsidR="008D6144">
      <w:rPr>
        <w:noProof/>
        <w:kern w:val="0"/>
        <w:szCs w:val="21"/>
      </w:rPr>
      <w:t>1</w:t>
    </w:r>
    <w:r w:rsidR="008A42B7">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8A42B7">
      <w:rPr>
        <w:rFonts w:hint="eastAsia"/>
        <w:kern w:val="0"/>
        <w:szCs w:val="21"/>
      </w:rPr>
      <w:fldChar w:fldCharType="begin"/>
    </w:r>
    <w:r>
      <w:rPr>
        <w:kern w:val="0"/>
        <w:szCs w:val="21"/>
      </w:rPr>
      <w:instrText xml:space="preserve"> NUMPAGES </w:instrText>
    </w:r>
    <w:r w:rsidR="008A42B7">
      <w:rPr>
        <w:rFonts w:hint="eastAsia"/>
        <w:kern w:val="0"/>
        <w:szCs w:val="21"/>
      </w:rPr>
      <w:fldChar w:fldCharType="separate"/>
    </w:r>
    <w:r w:rsidR="008D6144">
      <w:rPr>
        <w:noProof/>
        <w:kern w:val="0"/>
        <w:szCs w:val="21"/>
      </w:rPr>
      <w:t>13</w:t>
    </w:r>
    <w:r w:rsidR="008A42B7">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CBF" w:rsidRDefault="00F85CBF">
      <w:r>
        <w:separator/>
      </w:r>
    </w:p>
  </w:footnote>
  <w:footnote w:type="continuationSeparator" w:id="0">
    <w:p w:rsidR="00F85CBF" w:rsidRDefault="00F85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7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2297B"/>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87643"/>
    <w:rsid w:val="0089287A"/>
    <w:rsid w:val="00893021"/>
    <w:rsid w:val="008955D4"/>
    <w:rsid w:val="008A1980"/>
    <w:rsid w:val="008A42B7"/>
    <w:rsid w:val="008B17AE"/>
    <w:rsid w:val="008B23BD"/>
    <w:rsid w:val="008D0A39"/>
    <w:rsid w:val="008D2405"/>
    <w:rsid w:val="008D6144"/>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oNotEmbedSmartTags/>
  <w:decimalSymbol w:val="."/>
  <w:listSeparator w:val=","/>
  <w15:docId w15:val="{C6F6850D-CB70-4752-9A53-76546985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B3C321-7333-489F-BFD6-B427B352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13</Pages>
  <Words>1067</Words>
  <Characters>6087</Characters>
  <Application>Microsoft Office Word</Application>
  <DocSecurity>0</DocSecurity>
  <Lines>50</Lines>
  <Paragraphs>14</Paragraphs>
  <ScaleCrop>false</ScaleCrop>
  <Company>jysld</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305</cp:revision>
  <cp:lastPrinted>2009-01-22T10:11:00Z</cp:lastPrinted>
  <dcterms:created xsi:type="dcterms:W3CDTF">2012-11-21T05:49:00Z</dcterms:created>
  <dcterms:modified xsi:type="dcterms:W3CDTF">2015-04-16T03:26:00Z</dcterms:modified>
</cp:coreProperties>
</file>