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交银施罗德主题优选灵活配置混合型证券投资基金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CA5AD3">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F694D" w:rsidRDefault="00090C0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F694D" w:rsidRDefault="00090C04">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F694D" w:rsidRDefault="00090C0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F694D" w:rsidRDefault="00090C0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F694D" w:rsidRDefault="00090C0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CA5AD3">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交银主题优选混合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867,572,271.67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中信标普全债指数收益率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CA5AD3">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090C04" w:rsidRPr="00414345" w:rsidTr="00090C0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90C04" w:rsidRPr="00414345" w:rsidTr="00090C0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94,783,026.62</w:t>
            </w:r>
          </w:p>
        </w:tc>
      </w:tr>
      <w:tr w:rsidR="00090C04" w:rsidRPr="00414345" w:rsidTr="00090C0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183,825,842.33</w:t>
            </w:r>
          </w:p>
        </w:tc>
      </w:tr>
      <w:tr w:rsidR="00090C04" w:rsidRPr="00414345" w:rsidTr="00090C0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0.1687</w:t>
            </w:r>
          </w:p>
        </w:tc>
      </w:tr>
      <w:tr w:rsidR="00090C04" w:rsidRPr="00414345" w:rsidTr="00090C0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1,253,518,092.63</w:t>
            </w:r>
          </w:p>
        </w:tc>
      </w:tr>
      <w:tr w:rsidR="00090C04" w:rsidRPr="00414345" w:rsidTr="00090C0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1.445</w:t>
            </w:r>
          </w:p>
        </w:tc>
      </w:tr>
    </w:tbl>
    <w:p w:rsidR="00BF694D" w:rsidRDefault="00090C0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F694D">
        <w:trPr>
          <w:jc w:val="center"/>
        </w:trPr>
        <w:tc>
          <w:tcPr>
            <w:tcW w:w="1701" w:type="dxa"/>
            <w:vAlign w:val="center"/>
          </w:tcPr>
          <w:p w:rsidR="00BF694D" w:rsidRDefault="00090C04">
            <w:pPr>
              <w:jc w:val="left"/>
            </w:pPr>
            <w:r>
              <w:rPr>
                <w:color w:val="000000"/>
                <w:sz w:val="24"/>
                <w:szCs w:val="24"/>
              </w:rPr>
              <w:t>过去三个月</w:t>
            </w:r>
          </w:p>
        </w:tc>
        <w:tc>
          <w:tcPr>
            <w:tcW w:w="1045" w:type="dxa"/>
            <w:vAlign w:val="center"/>
          </w:tcPr>
          <w:p w:rsidR="00BF694D" w:rsidRDefault="00090C04">
            <w:pPr>
              <w:jc w:val="center"/>
            </w:pPr>
            <w:r>
              <w:rPr>
                <w:color w:val="000000"/>
                <w:sz w:val="24"/>
                <w:szCs w:val="24"/>
              </w:rPr>
              <w:t>16.16%</w:t>
            </w:r>
          </w:p>
        </w:tc>
        <w:tc>
          <w:tcPr>
            <w:tcW w:w="1344" w:type="dxa"/>
            <w:vAlign w:val="center"/>
          </w:tcPr>
          <w:p w:rsidR="00BF694D" w:rsidRDefault="00090C04">
            <w:pPr>
              <w:jc w:val="center"/>
            </w:pPr>
            <w:r>
              <w:rPr>
                <w:color w:val="000000"/>
                <w:sz w:val="24"/>
                <w:szCs w:val="24"/>
              </w:rPr>
              <w:t>1.67%</w:t>
            </w:r>
          </w:p>
        </w:tc>
        <w:tc>
          <w:tcPr>
            <w:tcW w:w="1194" w:type="dxa"/>
            <w:vAlign w:val="center"/>
          </w:tcPr>
          <w:p w:rsidR="00BF694D" w:rsidRDefault="00090C04">
            <w:pPr>
              <w:jc w:val="center"/>
            </w:pPr>
            <w:r>
              <w:rPr>
                <w:color w:val="000000"/>
                <w:sz w:val="24"/>
                <w:szCs w:val="24"/>
              </w:rPr>
              <w:t>9.05%</w:t>
            </w:r>
          </w:p>
        </w:tc>
        <w:tc>
          <w:tcPr>
            <w:tcW w:w="1492" w:type="dxa"/>
            <w:vAlign w:val="center"/>
          </w:tcPr>
          <w:p w:rsidR="00BF694D" w:rsidRDefault="00090C04">
            <w:pPr>
              <w:jc w:val="center"/>
            </w:pPr>
            <w:r>
              <w:rPr>
                <w:color w:val="000000"/>
                <w:sz w:val="24"/>
                <w:szCs w:val="24"/>
              </w:rPr>
              <w:t>1.13%</w:t>
            </w:r>
          </w:p>
        </w:tc>
        <w:tc>
          <w:tcPr>
            <w:tcW w:w="1194" w:type="dxa"/>
            <w:vAlign w:val="center"/>
          </w:tcPr>
          <w:p w:rsidR="00BF694D" w:rsidRDefault="00090C04">
            <w:pPr>
              <w:jc w:val="center"/>
            </w:pPr>
            <w:r>
              <w:rPr>
                <w:color w:val="000000"/>
                <w:sz w:val="24"/>
                <w:szCs w:val="24"/>
              </w:rPr>
              <w:t>7.11%</w:t>
            </w:r>
          </w:p>
        </w:tc>
        <w:tc>
          <w:tcPr>
            <w:tcW w:w="898" w:type="dxa"/>
            <w:vAlign w:val="center"/>
          </w:tcPr>
          <w:p w:rsidR="00BF694D" w:rsidRDefault="00090C04">
            <w:pPr>
              <w:jc w:val="center"/>
            </w:pPr>
            <w:r>
              <w:rPr>
                <w:color w:val="000000"/>
                <w:sz w:val="24"/>
                <w:szCs w:val="24"/>
              </w:rPr>
              <w:t>0.54%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交银施罗德主题优选灵活配置混合型证券投资基金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A97A03" w:rsidP="00C15CAC">
      <w:pPr>
        <w:pStyle w:val="a5"/>
        <w:snapToGrid w:val="0"/>
        <w:spacing w:before="29" w:line="288"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5274310" cy="3088855"/>
            <wp:effectExtent l="0" t="0" r="254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274310" cy="3088855"/>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CA5AD3">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F694D">
        <w:trPr>
          <w:jc w:val="center"/>
        </w:trPr>
        <w:tc>
          <w:tcPr>
            <w:tcW w:w="846" w:type="dxa"/>
            <w:vAlign w:val="center"/>
          </w:tcPr>
          <w:p w:rsidR="00BF694D" w:rsidRDefault="00090C04">
            <w:pPr>
              <w:jc w:val="center"/>
            </w:pPr>
            <w:r>
              <w:rPr>
                <w:color w:val="000000"/>
                <w:sz w:val="24"/>
                <w:szCs w:val="24"/>
              </w:rPr>
              <w:t>李永兴</w:t>
            </w:r>
          </w:p>
        </w:tc>
        <w:tc>
          <w:tcPr>
            <w:tcW w:w="845" w:type="dxa"/>
            <w:vAlign w:val="center"/>
          </w:tcPr>
          <w:p w:rsidR="00BF694D" w:rsidRDefault="00090C04">
            <w:pPr>
              <w:jc w:val="center"/>
            </w:pPr>
            <w:r>
              <w:rPr>
                <w:color w:val="000000"/>
                <w:sz w:val="24"/>
                <w:szCs w:val="24"/>
              </w:rPr>
              <w:t>本基金、交银施罗德周期回报灵活配置混合型证券投资基金的基金经理</w:t>
            </w:r>
          </w:p>
        </w:tc>
        <w:tc>
          <w:tcPr>
            <w:tcW w:w="1549" w:type="dxa"/>
            <w:vAlign w:val="center"/>
          </w:tcPr>
          <w:p w:rsidR="00BF694D" w:rsidRDefault="00090C04">
            <w:pPr>
              <w:jc w:val="center"/>
            </w:pPr>
            <w:r>
              <w:rPr>
                <w:color w:val="000000"/>
                <w:sz w:val="24"/>
                <w:szCs w:val="24"/>
              </w:rPr>
              <w:t>2012-03-20</w:t>
            </w:r>
          </w:p>
        </w:tc>
        <w:tc>
          <w:tcPr>
            <w:tcW w:w="1548" w:type="dxa"/>
            <w:vAlign w:val="center"/>
          </w:tcPr>
          <w:p w:rsidR="00BF694D" w:rsidRDefault="00090C04">
            <w:pPr>
              <w:jc w:val="center"/>
            </w:pPr>
            <w:r>
              <w:rPr>
                <w:color w:val="000000"/>
                <w:sz w:val="24"/>
                <w:szCs w:val="24"/>
              </w:rPr>
              <w:t>-</w:t>
            </w:r>
          </w:p>
        </w:tc>
        <w:tc>
          <w:tcPr>
            <w:tcW w:w="1407" w:type="dxa"/>
            <w:vAlign w:val="center"/>
          </w:tcPr>
          <w:p w:rsidR="00BF694D" w:rsidRDefault="00090C04">
            <w:pPr>
              <w:jc w:val="center"/>
            </w:pPr>
            <w:r>
              <w:rPr>
                <w:color w:val="000000"/>
                <w:sz w:val="24"/>
                <w:szCs w:val="24"/>
              </w:rPr>
              <w:t>9</w:t>
            </w:r>
            <w:r>
              <w:rPr>
                <w:color w:val="000000"/>
                <w:sz w:val="24"/>
                <w:szCs w:val="24"/>
              </w:rPr>
              <w:t>年</w:t>
            </w:r>
          </w:p>
        </w:tc>
        <w:tc>
          <w:tcPr>
            <w:tcW w:w="2673" w:type="dxa"/>
            <w:vAlign w:val="center"/>
          </w:tcPr>
          <w:p w:rsidR="00BF694D" w:rsidRDefault="00090C04">
            <w:r>
              <w:rPr>
                <w:color w:val="000000"/>
                <w:sz w:val="24"/>
                <w:szCs w:val="24"/>
              </w:rPr>
              <w:t>李永兴先生，经济学硕士。</w:t>
            </w:r>
            <w:r>
              <w:rPr>
                <w:color w:val="000000"/>
                <w:sz w:val="24"/>
                <w:szCs w:val="24"/>
              </w:rPr>
              <w:t>2006</w:t>
            </w:r>
            <w:r>
              <w:rPr>
                <w:color w:val="000000"/>
                <w:sz w:val="24"/>
                <w:szCs w:val="24"/>
              </w:rPr>
              <w:t>年加入交银施罗德基金管理有限公司，历任投资研究部研究员、基金经理助理。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F694D" w:rsidRDefault="00090C0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F694D" w:rsidRDefault="00090C0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F694D" w:rsidRDefault="00090C0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F694D" w:rsidRDefault="00090C04">
      <w:pPr>
        <w:spacing w:before="29" w:line="288" w:lineRule="auto"/>
        <w:ind w:firstLineChars="200" w:firstLine="480"/>
        <w:rPr>
          <w:color w:val="000000"/>
          <w:sz w:val="24"/>
          <w:szCs w:val="24"/>
        </w:rPr>
      </w:pPr>
      <w:r>
        <w:rPr>
          <w:color w:val="000000"/>
          <w:sz w:val="24"/>
          <w:szCs w:val="24"/>
        </w:rPr>
        <w:t>一季度股票市场大幅上涨，中小板和创业板更是涨幅巨大。在实体经济不景气的环境下，大量资金持续涌入股市，以互联网为代表的新兴产业成为市场追逐的焦点，传统行业由于景气度较差表现相对平淡。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展望二季度，政府已经出台了一系列刺激经济的政策，预计后续政府还会继续刺激</w:t>
      </w:r>
      <w:r w:rsidRPr="00414345">
        <w:rPr>
          <w:color w:val="000000"/>
          <w:sz w:val="24"/>
          <w:szCs w:val="24"/>
        </w:rPr>
        <w:lastRenderedPageBreak/>
        <w:t>经济，直到经济企稳回升。因此，预计股票市场可能还会持续一段时间牛市，本基金将根据政府出台刺激政策的力度及效果对仓位及持仓结构做出相应调整。</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1.445</w:t>
      </w:r>
      <w:r w:rsidRPr="00414345">
        <w:rPr>
          <w:color w:val="000000"/>
          <w:sz w:val="24"/>
          <w:szCs w:val="24"/>
        </w:rPr>
        <w:t>元，本报告期份额净值增长率为</w:t>
      </w:r>
      <w:r w:rsidRPr="00414345">
        <w:rPr>
          <w:color w:val="000000"/>
          <w:sz w:val="24"/>
          <w:szCs w:val="24"/>
        </w:rPr>
        <w:t>16.16%</w:t>
      </w:r>
      <w:r w:rsidRPr="00414345">
        <w:rPr>
          <w:color w:val="000000"/>
          <w:sz w:val="24"/>
          <w:szCs w:val="24"/>
        </w:rPr>
        <w:t>，同期业绩比较基准增长率为</w:t>
      </w:r>
      <w:r w:rsidRPr="00414345">
        <w:rPr>
          <w:color w:val="000000"/>
          <w:sz w:val="24"/>
          <w:szCs w:val="24"/>
        </w:rPr>
        <w:t>9.05%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CA5AD3">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801,118,603.95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62.74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801,118,603.95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62.74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55,254,775.40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55,254,775.40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206,200,713.10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206,406,970.63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16.16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7,954,559.49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0.62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1,276,935,622.57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331,008,141.29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107,992,680.30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32,333,031.00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102,589,301.10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47,568,537.02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179,626,913.24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801,118,603.95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63.91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F694D">
        <w:trPr>
          <w:jc w:val="center"/>
        </w:trPr>
        <w:tc>
          <w:tcPr>
            <w:tcW w:w="855" w:type="dxa"/>
            <w:vAlign w:val="center"/>
          </w:tcPr>
          <w:p w:rsidR="00BF694D" w:rsidRDefault="00090C04">
            <w:pPr>
              <w:jc w:val="center"/>
            </w:pPr>
            <w:r>
              <w:rPr>
                <w:color w:val="000000"/>
                <w:sz w:val="24"/>
                <w:szCs w:val="24"/>
              </w:rPr>
              <w:t>1</w:t>
            </w:r>
          </w:p>
        </w:tc>
        <w:tc>
          <w:tcPr>
            <w:tcW w:w="1334" w:type="dxa"/>
            <w:vAlign w:val="center"/>
          </w:tcPr>
          <w:p w:rsidR="00BF694D" w:rsidRDefault="00090C04">
            <w:pPr>
              <w:jc w:val="center"/>
            </w:pPr>
            <w:r>
              <w:rPr>
                <w:color w:val="000000"/>
                <w:sz w:val="24"/>
                <w:szCs w:val="24"/>
              </w:rPr>
              <w:t>002280</w:t>
            </w:r>
          </w:p>
        </w:tc>
        <w:tc>
          <w:tcPr>
            <w:tcW w:w="1777" w:type="dxa"/>
            <w:vAlign w:val="center"/>
          </w:tcPr>
          <w:p w:rsidR="00BF694D" w:rsidRDefault="00090C04">
            <w:pPr>
              <w:jc w:val="center"/>
            </w:pPr>
            <w:r>
              <w:rPr>
                <w:color w:val="000000"/>
                <w:sz w:val="24"/>
                <w:szCs w:val="24"/>
              </w:rPr>
              <w:t>联络互动</w:t>
            </w:r>
          </w:p>
        </w:tc>
        <w:tc>
          <w:tcPr>
            <w:tcW w:w="1334" w:type="dxa"/>
            <w:vAlign w:val="center"/>
          </w:tcPr>
          <w:p w:rsidR="00BF694D" w:rsidRDefault="00090C04">
            <w:pPr>
              <w:jc w:val="right"/>
            </w:pPr>
            <w:r>
              <w:rPr>
                <w:color w:val="000000"/>
                <w:sz w:val="24"/>
                <w:szCs w:val="24"/>
              </w:rPr>
              <w:t>722,969</w:t>
            </w:r>
          </w:p>
        </w:tc>
        <w:tc>
          <w:tcPr>
            <w:tcW w:w="1924" w:type="dxa"/>
            <w:vAlign w:val="center"/>
          </w:tcPr>
          <w:p w:rsidR="00BF694D" w:rsidRDefault="00090C04">
            <w:pPr>
              <w:jc w:val="right"/>
            </w:pPr>
            <w:r>
              <w:rPr>
                <w:color w:val="000000"/>
                <w:sz w:val="24"/>
                <w:szCs w:val="24"/>
              </w:rPr>
              <w:t>102,589,301.10</w:t>
            </w:r>
          </w:p>
        </w:tc>
        <w:tc>
          <w:tcPr>
            <w:tcW w:w="1644" w:type="dxa"/>
            <w:vAlign w:val="center"/>
          </w:tcPr>
          <w:p w:rsidR="00BF694D" w:rsidRDefault="00090C04">
            <w:pPr>
              <w:jc w:val="right"/>
            </w:pPr>
            <w:r>
              <w:rPr>
                <w:color w:val="000000"/>
                <w:sz w:val="24"/>
                <w:szCs w:val="24"/>
              </w:rPr>
              <w:t>8.18</w:t>
            </w:r>
          </w:p>
        </w:tc>
      </w:tr>
      <w:tr w:rsidR="00BF694D">
        <w:trPr>
          <w:jc w:val="center"/>
        </w:trPr>
        <w:tc>
          <w:tcPr>
            <w:tcW w:w="855" w:type="dxa"/>
            <w:vAlign w:val="center"/>
          </w:tcPr>
          <w:p w:rsidR="00BF694D" w:rsidRDefault="00090C04">
            <w:pPr>
              <w:jc w:val="center"/>
            </w:pPr>
            <w:r>
              <w:rPr>
                <w:color w:val="000000"/>
                <w:sz w:val="24"/>
                <w:szCs w:val="24"/>
              </w:rPr>
              <w:t>2</w:t>
            </w:r>
          </w:p>
        </w:tc>
        <w:tc>
          <w:tcPr>
            <w:tcW w:w="1334" w:type="dxa"/>
            <w:vAlign w:val="center"/>
          </w:tcPr>
          <w:p w:rsidR="00BF694D" w:rsidRDefault="00090C04">
            <w:pPr>
              <w:jc w:val="center"/>
            </w:pPr>
            <w:r>
              <w:rPr>
                <w:color w:val="000000"/>
                <w:sz w:val="24"/>
                <w:szCs w:val="24"/>
              </w:rPr>
              <w:t>000024</w:t>
            </w:r>
          </w:p>
        </w:tc>
        <w:tc>
          <w:tcPr>
            <w:tcW w:w="1777" w:type="dxa"/>
            <w:vAlign w:val="center"/>
          </w:tcPr>
          <w:p w:rsidR="00BF694D" w:rsidRDefault="00090C04">
            <w:pPr>
              <w:jc w:val="center"/>
            </w:pPr>
            <w:r>
              <w:rPr>
                <w:color w:val="000000"/>
                <w:sz w:val="24"/>
                <w:szCs w:val="24"/>
              </w:rPr>
              <w:t>招商地产</w:t>
            </w:r>
          </w:p>
        </w:tc>
        <w:tc>
          <w:tcPr>
            <w:tcW w:w="1334" w:type="dxa"/>
            <w:vAlign w:val="center"/>
          </w:tcPr>
          <w:p w:rsidR="00BF694D" w:rsidRDefault="00090C04">
            <w:pPr>
              <w:jc w:val="right"/>
            </w:pPr>
            <w:r>
              <w:rPr>
                <w:color w:val="000000"/>
                <w:sz w:val="24"/>
                <w:szCs w:val="24"/>
              </w:rPr>
              <w:t>2,475,067</w:t>
            </w:r>
          </w:p>
        </w:tc>
        <w:tc>
          <w:tcPr>
            <w:tcW w:w="1924" w:type="dxa"/>
            <w:vAlign w:val="center"/>
          </w:tcPr>
          <w:p w:rsidR="00BF694D" w:rsidRDefault="00090C04">
            <w:pPr>
              <w:jc w:val="right"/>
            </w:pPr>
            <w:r>
              <w:rPr>
                <w:color w:val="000000"/>
                <w:sz w:val="24"/>
                <w:szCs w:val="24"/>
              </w:rPr>
              <w:t>81,528,706.98</w:t>
            </w:r>
          </w:p>
        </w:tc>
        <w:tc>
          <w:tcPr>
            <w:tcW w:w="1644" w:type="dxa"/>
            <w:vAlign w:val="center"/>
          </w:tcPr>
          <w:p w:rsidR="00BF694D" w:rsidRDefault="00090C04">
            <w:pPr>
              <w:jc w:val="right"/>
            </w:pPr>
            <w:r>
              <w:rPr>
                <w:color w:val="000000"/>
                <w:sz w:val="24"/>
                <w:szCs w:val="24"/>
              </w:rPr>
              <w:t>6.50</w:t>
            </w:r>
          </w:p>
        </w:tc>
      </w:tr>
      <w:tr w:rsidR="00BF694D">
        <w:trPr>
          <w:jc w:val="center"/>
        </w:trPr>
        <w:tc>
          <w:tcPr>
            <w:tcW w:w="855" w:type="dxa"/>
            <w:vAlign w:val="center"/>
          </w:tcPr>
          <w:p w:rsidR="00BF694D" w:rsidRDefault="00090C04">
            <w:pPr>
              <w:jc w:val="center"/>
            </w:pPr>
            <w:r>
              <w:rPr>
                <w:color w:val="000000"/>
                <w:sz w:val="24"/>
                <w:szCs w:val="24"/>
              </w:rPr>
              <w:t>3</w:t>
            </w:r>
          </w:p>
        </w:tc>
        <w:tc>
          <w:tcPr>
            <w:tcW w:w="1334" w:type="dxa"/>
            <w:vAlign w:val="center"/>
          </w:tcPr>
          <w:p w:rsidR="00BF694D" w:rsidRDefault="00090C04">
            <w:pPr>
              <w:jc w:val="center"/>
            </w:pPr>
            <w:r>
              <w:rPr>
                <w:color w:val="000000"/>
                <w:sz w:val="24"/>
                <w:szCs w:val="24"/>
              </w:rPr>
              <w:t>600158</w:t>
            </w:r>
          </w:p>
        </w:tc>
        <w:tc>
          <w:tcPr>
            <w:tcW w:w="1777" w:type="dxa"/>
            <w:vAlign w:val="center"/>
          </w:tcPr>
          <w:p w:rsidR="00BF694D" w:rsidRDefault="00090C04">
            <w:pPr>
              <w:jc w:val="center"/>
            </w:pPr>
            <w:r>
              <w:rPr>
                <w:color w:val="000000"/>
                <w:sz w:val="24"/>
                <w:szCs w:val="24"/>
              </w:rPr>
              <w:t>中体产业</w:t>
            </w:r>
          </w:p>
        </w:tc>
        <w:tc>
          <w:tcPr>
            <w:tcW w:w="1334" w:type="dxa"/>
            <w:vAlign w:val="center"/>
          </w:tcPr>
          <w:p w:rsidR="00BF694D" w:rsidRDefault="00090C04">
            <w:pPr>
              <w:jc w:val="right"/>
            </w:pPr>
            <w:r>
              <w:rPr>
                <w:color w:val="000000"/>
                <w:sz w:val="24"/>
                <w:szCs w:val="24"/>
              </w:rPr>
              <w:t>2,658,000</w:t>
            </w:r>
          </w:p>
        </w:tc>
        <w:tc>
          <w:tcPr>
            <w:tcW w:w="1924" w:type="dxa"/>
            <w:vAlign w:val="center"/>
          </w:tcPr>
          <w:p w:rsidR="00BF694D" w:rsidRDefault="00090C04">
            <w:pPr>
              <w:jc w:val="right"/>
            </w:pPr>
            <w:r>
              <w:rPr>
                <w:color w:val="000000"/>
                <w:sz w:val="24"/>
                <w:szCs w:val="24"/>
              </w:rPr>
              <w:t>64,828,620.00</w:t>
            </w:r>
          </w:p>
        </w:tc>
        <w:tc>
          <w:tcPr>
            <w:tcW w:w="1644" w:type="dxa"/>
            <w:vAlign w:val="center"/>
          </w:tcPr>
          <w:p w:rsidR="00BF694D" w:rsidRDefault="00090C04">
            <w:pPr>
              <w:jc w:val="right"/>
            </w:pPr>
            <w:r>
              <w:rPr>
                <w:color w:val="000000"/>
                <w:sz w:val="24"/>
                <w:szCs w:val="24"/>
              </w:rPr>
              <w:t>5.17</w:t>
            </w:r>
          </w:p>
        </w:tc>
      </w:tr>
      <w:tr w:rsidR="00BF694D">
        <w:trPr>
          <w:jc w:val="center"/>
        </w:trPr>
        <w:tc>
          <w:tcPr>
            <w:tcW w:w="855" w:type="dxa"/>
            <w:vAlign w:val="center"/>
          </w:tcPr>
          <w:p w:rsidR="00BF694D" w:rsidRDefault="00090C04">
            <w:pPr>
              <w:jc w:val="center"/>
            </w:pPr>
            <w:r>
              <w:rPr>
                <w:color w:val="000000"/>
                <w:sz w:val="24"/>
                <w:szCs w:val="24"/>
              </w:rPr>
              <w:t>4</w:t>
            </w:r>
          </w:p>
        </w:tc>
        <w:tc>
          <w:tcPr>
            <w:tcW w:w="1334" w:type="dxa"/>
            <w:vAlign w:val="center"/>
          </w:tcPr>
          <w:p w:rsidR="00BF694D" w:rsidRDefault="00090C04">
            <w:pPr>
              <w:jc w:val="center"/>
            </w:pPr>
            <w:r>
              <w:rPr>
                <w:color w:val="000000"/>
                <w:sz w:val="24"/>
                <w:szCs w:val="24"/>
              </w:rPr>
              <w:t>002324</w:t>
            </w:r>
          </w:p>
        </w:tc>
        <w:tc>
          <w:tcPr>
            <w:tcW w:w="1777" w:type="dxa"/>
            <w:vAlign w:val="center"/>
          </w:tcPr>
          <w:p w:rsidR="00BF694D" w:rsidRDefault="00090C04">
            <w:pPr>
              <w:jc w:val="center"/>
            </w:pPr>
            <w:r>
              <w:rPr>
                <w:color w:val="000000"/>
                <w:sz w:val="24"/>
                <w:szCs w:val="24"/>
              </w:rPr>
              <w:t>普利特</w:t>
            </w:r>
          </w:p>
        </w:tc>
        <w:tc>
          <w:tcPr>
            <w:tcW w:w="1334" w:type="dxa"/>
            <w:vAlign w:val="center"/>
          </w:tcPr>
          <w:p w:rsidR="00BF694D" w:rsidRDefault="00090C04">
            <w:pPr>
              <w:jc w:val="right"/>
            </w:pPr>
            <w:r>
              <w:rPr>
                <w:color w:val="000000"/>
                <w:sz w:val="24"/>
                <w:szCs w:val="24"/>
              </w:rPr>
              <w:t>1,870,390</w:t>
            </w:r>
          </w:p>
        </w:tc>
        <w:tc>
          <w:tcPr>
            <w:tcW w:w="1924" w:type="dxa"/>
            <w:vAlign w:val="center"/>
          </w:tcPr>
          <w:p w:rsidR="00BF694D" w:rsidRDefault="00090C04">
            <w:pPr>
              <w:jc w:val="right"/>
            </w:pPr>
            <w:r>
              <w:rPr>
                <w:color w:val="000000"/>
                <w:sz w:val="24"/>
                <w:szCs w:val="24"/>
              </w:rPr>
              <w:t>62,583,249.40</w:t>
            </w:r>
          </w:p>
        </w:tc>
        <w:tc>
          <w:tcPr>
            <w:tcW w:w="1644" w:type="dxa"/>
            <w:vAlign w:val="center"/>
          </w:tcPr>
          <w:p w:rsidR="00BF694D" w:rsidRDefault="00090C04">
            <w:pPr>
              <w:jc w:val="right"/>
            </w:pPr>
            <w:r>
              <w:rPr>
                <w:color w:val="000000"/>
                <w:sz w:val="24"/>
                <w:szCs w:val="24"/>
              </w:rPr>
              <w:t>4.99</w:t>
            </w:r>
          </w:p>
        </w:tc>
      </w:tr>
      <w:tr w:rsidR="00BF694D">
        <w:trPr>
          <w:jc w:val="center"/>
        </w:trPr>
        <w:tc>
          <w:tcPr>
            <w:tcW w:w="855" w:type="dxa"/>
            <w:vAlign w:val="center"/>
          </w:tcPr>
          <w:p w:rsidR="00BF694D" w:rsidRDefault="00090C04">
            <w:pPr>
              <w:jc w:val="center"/>
            </w:pPr>
            <w:r>
              <w:rPr>
                <w:color w:val="000000"/>
                <w:sz w:val="24"/>
                <w:szCs w:val="24"/>
              </w:rPr>
              <w:t>5</w:t>
            </w:r>
          </w:p>
        </w:tc>
        <w:tc>
          <w:tcPr>
            <w:tcW w:w="1334" w:type="dxa"/>
            <w:vAlign w:val="center"/>
          </w:tcPr>
          <w:p w:rsidR="00BF694D" w:rsidRDefault="00090C04">
            <w:pPr>
              <w:jc w:val="center"/>
            </w:pPr>
            <w:r>
              <w:rPr>
                <w:color w:val="000000"/>
                <w:sz w:val="24"/>
                <w:szCs w:val="24"/>
              </w:rPr>
              <w:t>603555</w:t>
            </w:r>
          </w:p>
        </w:tc>
        <w:tc>
          <w:tcPr>
            <w:tcW w:w="1777" w:type="dxa"/>
            <w:vAlign w:val="center"/>
          </w:tcPr>
          <w:p w:rsidR="00BF694D" w:rsidRDefault="00090C04">
            <w:pPr>
              <w:jc w:val="center"/>
            </w:pPr>
            <w:r>
              <w:rPr>
                <w:color w:val="000000"/>
                <w:sz w:val="24"/>
                <w:szCs w:val="24"/>
              </w:rPr>
              <w:t>贵人鸟</w:t>
            </w:r>
          </w:p>
        </w:tc>
        <w:tc>
          <w:tcPr>
            <w:tcW w:w="1334" w:type="dxa"/>
            <w:vAlign w:val="center"/>
          </w:tcPr>
          <w:p w:rsidR="00BF694D" w:rsidRDefault="00090C04">
            <w:pPr>
              <w:jc w:val="right"/>
            </w:pPr>
            <w:r>
              <w:rPr>
                <w:color w:val="000000"/>
                <w:sz w:val="24"/>
                <w:szCs w:val="24"/>
              </w:rPr>
              <w:t>1,637,200</w:t>
            </w:r>
          </w:p>
        </w:tc>
        <w:tc>
          <w:tcPr>
            <w:tcW w:w="1924" w:type="dxa"/>
            <w:vAlign w:val="center"/>
          </w:tcPr>
          <w:p w:rsidR="00BF694D" w:rsidRDefault="00090C04">
            <w:pPr>
              <w:jc w:val="right"/>
            </w:pPr>
            <w:r>
              <w:rPr>
                <w:color w:val="000000"/>
                <w:sz w:val="24"/>
                <w:szCs w:val="24"/>
              </w:rPr>
              <w:t>55,943,124.00</w:t>
            </w:r>
          </w:p>
        </w:tc>
        <w:tc>
          <w:tcPr>
            <w:tcW w:w="1644" w:type="dxa"/>
            <w:vAlign w:val="center"/>
          </w:tcPr>
          <w:p w:rsidR="00BF694D" w:rsidRDefault="00090C04">
            <w:pPr>
              <w:jc w:val="right"/>
            </w:pPr>
            <w:r>
              <w:rPr>
                <w:color w:val="000000"/>
                <w:sz w:val="24"/>
                <w:szCs w:val="24"/>
              </w:rPr>
              <w:t>4.46</w:t>
            </w:r>
          </w:p>
        </w:tc>
      </w:tr>
      <w:tr w:rsidR="00BF694D">
        <w:trPr>
          <w:jc w:val="center"/>
        </w:trPr>
        <w:tc>
          <w:tcPr>
            <w:tcW w:w="855" w:type="dxa"/>
            <w:vAlign w:val="center"/>
          </w:tcPr>
          <w:p w:rsidR="00BF694D" w:rsidRDefault="00090C04">
            <w:pPr>
              <w:jc w:val="center"/>
            </w:pPr>
            <w:r>
              <w:rPr>
                <w:color w:val="000000"/>
                <w:sz w:val="24"/>
                <w:szCs w:val="24"/>
              </w:rPr>
              <w:t>6</w:t>
            </w:r>
          </w:p>
        </w:tc>
        <w:tc>
          <w:tcPr>
            <w:tcW w:w="1334" w:type="dxa"/>
            <w:vAlign w:val="center"/>
          </w:tcPr>
          <w:p w:rsidR="00BF694D" w:rsidRDefault="00090C04">
            <w:pPr>
              <w:jc w:val="center"/>
            </w:pPr>
            <w:r>
              <w:rPr>
                <w:color w:val="000000"/>
                <w:sz w:val="24"/>
                <w:szCs w:val="24"/>
              </w:rPr>
              <w:t>000961</w:t>
            </w:r>
          </w:p>
        </w:tc>
        <w:tc>
          <w:tcPr>
            <w:tcW w:w="1777" w:type="dxa"/>
            <w:vAlign w:val="center"/>
          </w:tcPr>
          <w:p w:rsidR="00BF694D" w:rsidRDefault="00090C04">
            <w:pPr>
              <w:jc w:val="center"/>
            </w:pPr>
            <w:r>
              <w:rPr>
                <w:color w:val="000000"/>
                <w:sz w:val="24"/>
                <w:szCs w:val="24"/>
              </w:rPr>
              <w:t>中南建设</w:t>
            </w:r>
          </w:p>
        </w:tc>
        <w:tc>
          <w:tcPr>
            <w:tcW w:w="1334" w:type="dxa"/>
            <w:vAlign w:val="center"/>
          </w:tcPr>
          <w:p w:rsidR="00BF694D" w:rsidRDefault="00090C04">
            <w:pPr>
              <w:jc w:val="right"/>
            </w:pPr>
            <w:r>
              <w:rPr>
                <w:color w:val="000000"/>
                <w:sz w:val="24"/>
                <w:szCs w:val="24"/>
              </w:rPr>
              <w:t>3,219,191</w:t>
            </w:r>
          </w:p>
        </w:tc>
        <w:tc>
          <w:tcPr>
            <w:tcW w:w="1924" w:type="dxa"/>
            <w:vAlign w:val="center"/>
          </w:tcPr>
          <w:p w:rsidR="00BF694D" w:rsidRDefault="00090C04">
            <w:pPr>
              <w:jc w:val="right"/>
            </w:pPr>
            <w:r>
              <w:rPr>
                <w:color w:val="000000"/>
                <w:sz w:val="24"/>
                <w:szCs w:val="24"/>
              </w:rPr>
              <w:t>54,404,327.90</w:t>
            </w:r>
          </w:p>
        </w:tc>
        <w:tc>
          <w:tcPr>
            <w:tcW w:w="1644" w:type="dxa"/>
            <w:vAlign w:val="center"/>
          </w:tcPr>
          <w:p w:rsidR="00BF694D" w:rsidRDefault="00090C04">
            <w:pPr>
              <w:jc w:val="right"/>
            </w:pPr>
            <w:r>
              <w:rPr>
                <w:color w:val="000000"/>
                <w:sz w:val="24"/>
                <w:szCs w:val="24"/>
              </w:rPr>
              <w:t>4.34</w:t>
            </w:r>
          </w:p>
        </w:tc>
      </w:tr>
      <w:tr w:rsidR="00BF694D">
        <w:trPr>
          <w:jc w:val="center"/>
        </w:trPr>
        <w:tc>
          <w:tcPr>
            <w:tcW w:w="855" w:type="dxa"/>
            <w:vAlign w:val="center"/>
          </w:tcPr>
          <w:p w:rsidR="00BF694D" w:rsidRDefault="00090C04">
            <w:pPr>
              <w:jc w:val="center"/>
            </w:pPr>
            <w:r>
              <w:rPr>
                <w:color w:val="000000"/>
                <w:sz w:val="24"/>
                <w:szCs w:val="24"/>
              </w:rPr>
              <w:t>7</w:t>
            </w:r>
          </w:p>
        </w:tc>
        <w:tc>
          <w:tcPr>
            <w:tcW w:w="1334" w:type="dxa"/>
            <w:vAlign w:val="center"/>
          </w:tcPr>
          <w:p w:rsidR="00BF694D" w:rsidRDefault="00090C04">
            <w:pPr>
              <w:jc w:val="center"/>
            </w:pPr>
            <w:r>
              <w:rPr>
                <w:color w:val="000000"/>
                <w:sz w:val="24"/>
                <w:szCs w:val="24"/>
              </w:rPr>
              <w:t>002051</w:t>
            </w:r>
          </w:p>
        </w:tc>
        <w:tc>
          <w:tcPr>
            <w:tcW w:w="1777" w:type="dxa"/>
            <w:vAlign w:val="center"/>
          </w:tcPr>
          <w:p w:rsidR="00BF694D" w:rsidRDefault="00090C04">
            <w:pPr>
              <w:jc w:val="center"/>
            </w:pPr>
            <w:r>
              <w:rPr>
                <w:color w:val="000000"/>
                <w:sz w:val="24"/>
                <w:szCs w:val="24"/>
              </w:rPr>
              <w:t>中工国际</w:t>
            </w:r>
          </w:p>
        </w:tc>
        <w:tc>
          <w:tcPr>
            <w:tcW w:w="1334" w:type="dxa"/>
            <w:vAlign w:val="center"/>
          </w:tcPr>
          <w:p w:rsidR="00BF694D" w:rsidRDefault="00090C04">
            <w:pPr>
              <w:jc w:val="right"/>
            </w:pPr>
            <w:r>
              <w:rPr>
                <w:color w:val="000000"/>
                <w:sz w:val="24"/>
                <w:szCs w:val="24"/>
              </w:rPr>
              <w:t>1,614,107</w:t>
            </w:r>
          </w:p>
        </w:tc>
        <w:tc>
          <w:tcPr>
            <w:tcW w:w="1924" w:type="dxa"/>
            <w:vAlign w:val="center"/>
          </w:tcPr>
          <w:p w:rsidR="00BF694D" w:rsidRDefault="00090C04">
            <w:pPr>
              <w:jc w:val="right"/>
            </w:pPr>
            <w:r>
              <w:rPr>
                <w:color w:val="000000"/>
                <w:sz w:val="24"/>
                <w:szCs w:val="24"/>
              </w:rPr>
              <w:t>53,588,352.40</w:t>
            </w:r>
          </w:p>
        </w:tc>
        <w:tc>
          <w:tcPr>
            <w:tcW w:w="1644" w:type="dxa"/>
            <w:vAlign w:val="center"/>
          </w:tcPr>
          <w:p w:rsidR="00BF694D" w:rsidRDefault="00090C04">
            <w:pPr>
              <w:jc w:val="right"/>
            </w:pPr>
            <w:r>
              <w:rPr>
                <w:color w:val="000000"/>
                <w:sz w:val="24"/>
                <w:szCs w:val="24"/>
              </w:rPr>
              <w:t>4.28</w:t>
            </w:r>
          </w:p>
        </w:tc>
      </w:tr>
      <w:tr w:rsidR="00BF694D">
        <w:trPr>
          <w:jc w:val="center"/>
        </w:trPr>
        <w:tc>
          <w:tcPr>
            <w:tcW w:w="855" w:type="dxa"/>
            <w:vAlign w:val="center"/>
          </w:tcPr>
          <w:p w:rsidR="00BF694D" w:rsidRDefault="00090C04">
            <w:pPr>
              <w:jc w:val="center"/>
            </w:pPr>
            <w:r>
              <w:rPr>
                <w:color w:val="000000"/>
                <w:sz w:val="24"/>
                <w:szCs w:val="24"/>
              </w:rPr>
              <w:lastRenderedPageBreak/>
              <w:t>8</w:t>
            </w:r>
          </w:p>
        </w:tc>
        <w:tc>
          <w:tcPr>
            <w:tcW w:w="1334" w:type="dxa"/>
            <w:vAlign w:val="center"/>
          </w:tcPr>
          <w:p w:rsidR="00BF694D" w:rsidRDefault="00090C04">
            <w:pPr>
              <w:jc w:val="center"/>
            </w:pPr>
            <w:r>
              <w:rPr>
                <w:color w:val="000000"/>
                <w:sz w:val="24"/>
                <w:szCs w:val="24"/>
              </w:rPr>
              <w:t>002078</w:t>
            </w:r>
          </w:p>
        </w:tc>
        <w:tc>
          <w:tcPr>
            <w:tcW w:w="1777" w:type="dxa"/>
            <w:vAlign w:val="center"/>
          </w:tcPr>
          <w:p w:rsidR="00BF694D" w:rsidRDefault="00090C04">
            <w:pPr>
              <w:jc w:val="center"/>
            </w:pPr>
            <w:r>
              <w:rPr>
                <w:color w:val="000000"/>
                <w:sz w:val="24"/>
                <w:szCs w:val="24"/>
              </w:rPr>
              <w:t>太阳纸业</w:t>
            </w:r>
          </w:p>
        </w:tc>
        <w:tc>
          <w:tcPr>
            <w:tcW w:w="1334" w:type="dxa"/>
            <w:vAlign w:val="center"/>
          </w:tcPr>
          <w:p w:rsidR="00BF694D" w:rsidRDefault="00090C04">
            <w:pPr>
              <w:jc w:val="right"/>
            </w:pPr>
            <w:r>
              <w:rPr>
                <w:color w:val="000000"/>
                <w:sz w:val="24"/>
                <w:szCs w:val="24"/>
              </w:rPr>
              <w:t>8,854,900</w:t>
            </w:r>
          </w:p>
        </w:tc>
        <w:tc>
          <w:tcPr>
            <w:tcW w:w="1924" w:type="dxa"/>
            <w:vAlign w:val="center"/>
          </w:tcPr>
          <w:p w:rsidR="00BF694D" w:rsidRDefault="00090C04">
            <w:pPr>
              <w:jc w:val="right"/>
            </w:pPr>
            <w:r>
              <w:rPr>
                <w:color w:val="000000"/>
                <w:sz w:val="24"/>
                <w:szCs w:val="24"/>
              </w:rPr>
              <w:t>46,488,225.00</w:t>
            </w:r>
          </w:p>
        </w:tc>
        <w:tc>
          <w:tcPr>
            <w:tcW w:w="1644" w:type="dxa"/>
            <w:vAlign w:val="center"/>
          </w:tcPr>
          <w:p w:rsidR="00BF694D" w:rsidRDefault="00090C04">
            <w:pPr>
              <w:jc w:val="right"/>
            </w:pPr>
            <w:r>
              <w:rPr>
                <w:color w:val="000000"/>
                <w:sz w:val="24"/>
                <w:szCs w:val="24"/>
              </w:rPr>
              <w:t>3.71</w:t>
            </w:r>
          </w:p>
        </w:tc>
      </w:tr>
      <w:tr w:rsidR="00BF694D">
        <w:trPr>
          <w:jc w:val="center"/>
        </w:trPr>
        <w:tc>
          <w:tcPr>
            <w:tcW w:w="855" w:type="dxa"/>
            <w:vAlign w:val="center"/>
          </w:tcPr>
          <w:p w:rsidR="00BF694D" w:rsidRDefault="00090C04">
            <w:pPr>
              <w:jc w:val="center"/>
            </w:pPr>
            <w:r>
              <w:rPr>
                <w:color w:val="000000"/>
                <w:sz w:val="24"/>
                <w:szCs w:val="24"/>
              </w:rPr>
              <w:t>9</w:t>
            </w:r>
          </w:p>
        </w:tc>
        <w:tc>
          <w:tcPr>
            <w:tcW w:w="1334" w:type="dxa"/>
            <w:vAlign w:val="center"/>
          </w:tcPr>
          <w:p w:rsidR="00BF694D" w:rsidRDefault="00090C04">
            <w:pPr>
              <w:jc w:val="center"/>
            </w:pPr>
            <w:r>
              <w:rPr>
                <w:color w:val="000000"/>
                <w:sz w:val="24"/>
                <w:szCs w:val="24"/>
              </w:rPr>
              <w:t>000488</w:t>
            </w:r>
          </w:p>
        </w:tc>
        <w:tc>
          <w:tcPr>
            <w:tcW w:w="1777" w:type="dxa"/>
            <w:vAlign w:val="center"/>
          </w:tcPr>
          <w:p w:rsidR="00BF694D" w:rsidRDefault="00090C04">
            <w:pPr>
              <w:jc w:val="center"/>
            </w:pPr>
            <w:r>
              <w:rPr>
                <w:color w:val="000000"/>
                <w:sz w:val="24"/>
                <w:szCs w:val="24"/>
              </w:rPr>
              <w:t>晨鸣纸业</w:t>
            </w:r>
          </w:p>
        </w:tc>
        <w:tc>
          <w:tcPr>
            <w:tcW w:w="1334" w:type="dxa"/>
            <w:vAlign w:val="center"/>
          </w:tcPr>
          <w:p w:rsidR="00BF694D" w:rsidRDefault="00090C04">
            <w:pPr>
              <w:jc w:val="right"/>
            </w:pPr>
            <w:r>
              <w:rPr>
                <w:color w:val="000000"/>
                <w:sz w:val="24"/>
                <w:szCs w:val="24"/>
              </w:rPr>
              <w:t>6,447,300</w:t>
            </w:r>
          </w:p>
        </w:tc>
        <w:tc>
          <w:tcPr>
            <w:tcW w:w="1924" w:type="dxa"/>
            <w:vAlign w:val="center"/>
          </w:tcPr>
          <w:p w:rsidR="00BF694D" w:rsidRDefault="00090C04">
            <w:pPr>
              <w:jc w:val="right"/>
            </w:pPr>
            <w:r>
              <w:rPr>
                <w:color w:val="000000"/>
                <w:sz w:val="24"/>
                <w:szCs w:val="24"/>
              </w:rPr>
              <w:t>46,356,087.00</w:t>
            </w:r>
          </w:p>
        </w:tc>
        <w:tc>
          <w:tcPr>
            <w:tcW w:w="1644" w:type="dxa"/>
            <w:vAlign w:val="center"/>
          </w:tcPr>
          <w:p w:rsidR="00BF694D" w:rsidRDefault="00090C04">
            <w:pPr>
              <w:jc w:val="right"/>
            </w:pPr>
            <w:r>
              <w:rPr>
                <w:color w:val="000000"/>
                <w:sz w:val="24"/>
                <w:szCs w:val="24"/>
              </w:rPr>
              <w:t>3.70</w:t>
            </w:r>
          </w:p>
        </w:tc>
      </w:tr>
      <w:tr w:rsidR="00BF694D">
        <w:trPr>
          <w:jc w:val="center"/>
        </w:trPr>
        <w:tc>
          <w:tcPr>
            <w:tcW w:w="855" w:type="dxa"/>
            <w:vAlign w:val="center"/>
          </w:tcPr>
          <w:p w:rsidR="00BF694D" w:rsidRDefault="00090C04">
            <w:pPr>
              <w:jc w:val="center"/>
            </w:pPr>
            <w:r>
              <w:rPr>
                <w:color w:val="000000"/>
                <w:sz w:val="24"/>
                <w:szCs w:val="24"/>
              </w:rPr>
              <w:t>10</w:t>
            </w:r>
          </w:p>
        </w:tc>
        <w:tc>
          <w:tcPr>
            <w:tcW w:w="1334" w:type="dxa"/>
            <w:vAlign w:val="center"/>
          </w:tcPr>
          <w:p w:rsidR="00BF694D" w:rsidRDefault="00090C04">
            <w:pPr>
              <w:jc w:val="center"/>
            </w:pPr>
            <w:r>
              <w:rPr>
                <w:color w:val="000000"/>
                <w:sz w:val="24"/>
                <w:szCs w:val="24"/>
              </w:rPr>
              <w:t>600055</w:t>
            </w:r>
          </w:p>
        </w:tc>
        <w:tc>
          <w:tcPr>
            <w:tcW w:w="1777" w:type="dxa"/>
            <w:vAlign w:val="center"/>
          </w:tcPr>
          <w:p w:rsidR="00BF694D" w:rsidRDefault="00090C04">
            <w:pPr>
              <w:jc w:val="center"/>
            </w:pPr>
            <w:r>
              <w:rPr>
                <w:color w:val="000000"/>
                <w:sz w:val="24"/>
                <w:szCs w:val="24"/>
              </w:rPr>
              <w:t>华润万东</w:t>
            </w:r>
          </w:p>
        </w:tc>
        <w:tc>
          <w:tcPr>
            <w:tcW w:w="1334" w:type="dxa"/>
            <w:vAlign w:val="center"/>
          </w:tcPr>
          <w:p w:rsidR="00BF694D" w:rsidRDefault="00090C04">
            <w:pPr>
              <w:jc w:val="right"/>
            </w:pPr>
            <w:r>
              <w:rPr>
                <w:color w:val="000000"/>
                <w:sz w:val="24"/>
                <w:szCs w:val="24"/>
              </w:rPr>
              <w:t>1,750,018</w:t>
            </w:r>
          </w:p>
        </w:tc>
        <w:tc>
          <w:tcPr>
            <w:tcW w:w="1924" w:type="dxa"/>
            <w:vAlign w:val="center"/>
          </w:tcPr>
          <w:p w:rsidR="00BF694D" w:rsidRDefault="00090C04">
            <w:pPr>
              <w:jc w:val="right"/>
            </w:pPr>
            <w:r>
              <w:rPr>
                <w:color w:val="000000"/>
                <w:sz w:val="24"/>
                <w:szCs w:val="24"/>
              </w:rPr>
              <w:t>44,205,454.68</w:t>
            </w:r>
          </w:p>
        </w:tc>
        <w:tc>
          <w:tcPr>
            <w:tcW w:w="1644" w:type="dxa"/>
            <w:vAlign w:val="center"/>
          </w:tcPr>
          <w:p w:rsidR="00BF694D" w:rsidRDefault="00090C04">
            <w:pPr>
              <w:jc w:val="right"/>
            </w:pPr>
            <w:r>
              <w:rPr>
                <w:color w:val="000000"/>
                <w:sz w:val="24"/>
                <w:szCs w:val="24"/>
              </w:rPr>
              <w:t>3.53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55,254,775.40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4.41</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55,254,775.40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F694D">
        <w:trPr>
          <w:jc w:val="center"/>
        </w:trPr>
        <w:tc>
          <w:tcPr>
            <w:tcW w:w="850" w:type="dxa"/>
            <w:vAlign w:val="center"/>
          </w:tcPr>
          <w:p w:rsidR="00BF694D" w:rsidRDefault="00090C04">
            <w:pPr>
              <w:jc w:val="center"/>
            </w:pPr>
            <w:r>
              <w:rPr>
                <w:color w:val="000000"/>
                <w:sz w:val="24"/>
                <w:szCs w:val="24"/>
              </w:rPr>
              <w:t>1</w:t>
            </w:r>
          </w:p>
        </w:tc>
        <w:tc>
          <w:tcPr>
            <w:tcW w:w="1475" w:type="dxa"/>
            <w:vAlign w:val="center"/>
          </w:tcPr>
          <w:p w:rsidR="00BF694D" w:rsidRDefault="00090C04">
            <w:pPr>
              <w:jc w:val="center"/>
            </w:pPr>
            <w:r>
              <w:rPr>
                <w:color w:val="000000"/>
                <w:sz w:val="24"/>
                <w:szCs w:val="24"/>
              </w:rPr>
              <w:t>110019</w:t>
            </w:r>
          </w:p>
        </w:tc>
        <w:tc>
          <w:tcPr>
            <w:tcW w:w="1769" w:type="dxa"/>
            <w:vAlign w:val="center"/>
          </w:tcPr>
          <w:p w:rsidR="00BF694D" w:rsidRDefault="00090C04">
            <w:pPr>
              <w:jc w:val="center"/>
            </w:pPr>
            <w:r>
              <w:rPr>
                <w:color w:val="000000"/>
                <w:sz w:val="24"/>
                <w:szCs w:val="24"/>
              </w:rPr>
              <w:t>恒丰转债</w:t>
            </w:r>
          </w:p>
        </w:tc>
        <w:tc>
          <w:tcPr>
            <w:tcW w:w="1387" w:type="dxa"/>
            <w:vAlign w:val="center"/>
          </w:tcPr>
          <w:p w:rsidR="00BF694D" w:rsidRDefault="00090C04">
            <w:pPr>
              <w:jc w:val="right"/>
            </w:pPr>
            <w:r>
              <w:rPr>
                <w:color w:val="000000"/>
                <w:sz w:val="24"/>
                <w:szCs w:val="24"/>
              </w:rPr>
              <w:t>217,130</w:t>
            </w:r>
          </w:p>
        </w:tc>
        <w:tc>
          <w:tcPr>
            <w:tcW w:w="2150" w:type="dxa"/>
            <w:vAlign w:val="center"/>
          </w:tcPr>
          <w:p w:rsidR="00BF694D" w:rsidRDefault="00090C04">
            <w:pPr>
              <w:jc w:val="right"/>
            </w:pPr>
            <w:r>
              <w:rPr>
                <w:color w:val="000000"/>
                <w:sz w:val="24"/>
                <w:szCs w:val="24"/>
              </w:rPr>
              <w:t>32,562,986.10</w:t>
            </w:r>
          </w:p>
        </w:tc>
        <w:tc>
          <w:tcPr>
            <w:tcW w:w="1237" w:type="dxa"/>
            <w:vAlign w:val="center"/>
          </w:tcPr>
          <w:p w:rsidR="00BF694D" w:rsidRDefault="00090C04">
            <w:pPr>
              <w:jc w:val="right"/>
            </w:pPr>
            <w:r>
              <w:rPr>
                <w:color w:val="000000"/>
                <w:sz w:val="24"/>
                <w:szCs w:val="24"/>
              </w:rPr>
              <w:t>2.60</w:t>
            </w:r>
          </w:p>
        </w:tc>
      </w:tr>
      <w:tr w:rsidR="00BF694D">
        <w:trPr>
          <w:jc w:val="center"/>
        </w:trPr>
        <w:tc>
          <w:tcPr>
            <w:tcW w:w="850" w:type="dxa"/>
            <w:vAlign w:val="center"/>
          </w:tcPr>
          <w:p w:rsidR="00BF694D" w:rsidRDefault="00090C04">
            <w:pPr>
              <w:jc w:val="center"/>
            </w:pPr>
            <w:r>
              <w:rPr>
                <w:color w:val="000000"/>
                <w:sz w:val="24"/>
                <w:szCs w:val="24"/>
              </w:rPr>
              <w:t>2</w:t>
            </w:r>
          </w:p>
        </w:tc>
        <w:tc>
          <w:tcPr>
            <w:tcW w:w="1475" w:type="dxa"/>
            <w:vAlign w:val="center"/>
          </w:tcPr>
          <w:p w:rsidR="00BF694D" w:rsidRDefault="00090C04">
            <w:pPr>
              <w:jc w:val="center"/>
            </w:pPr>
            <w:r>
              <w:rPr>
                <w:color w:val="000000"/>
                <w:sz w:val="24"/>
                <w:szCs w:val="24"/>
              </w:rPr>
              <w:t>110028</w:t>
            </w:r>
          </w:p>
        </w:tc>
        <w:tc>
          <w:tcPr>
            <w:tcW w:w="1769" w:type="dxa"/>
            <w:vAlign w:val="center"/>
          </w:tcPr>
          <w:p w:rsidR="00BF694D" w:rsidRDefault="00090C04">
            <w:pPr>
              <w:jc w:val="center"/>
            </w:pPr>
            <w:r>
              <w:rPr>
                <w:color w:val="000000"/>
                <w:sz w:val="24"/>
                <w:szCs w:val="24"/>
              </w:rPr>
              <w:t>冠城转债</w:t>
            </w:r>
          </w:p>
        </w:tc>
        <w:tc>
          <w:tcPr>
            <w:tcW w:w="1387" w:type="dxa"/>
            <w:vAlign w:val="center"/>
          </w:tcPr>
          <w:p w:rsidR="00BF694D" w:rsidRDefault="00090C04">
            <w:pPr>
              <w:jc w:val="right"/>
            </w:pPr>
            <w:r>
              <w:rPr>
                <w:color w:val="000000"/>
                <w:sz w:val="24"/>
                <w:szCs w:val="24"/>
              </w:rPr>
              <w:t>116,660</w:t>
            </w:r>
          </w:p>
        </w:tc>
        <w:tc>
          <w:tcPr>
            <w:tcW w:w="2150" w:type="dxa"/>
            <w:vAlign w:val="center"/>
          </w:tcPr>
          <w:p w:rsidR="00BF694D" w:rsidRDefault="00090C04">
            <w:pPr>
              <w:jc w:val="right"/>
            </w:pPr>
            <w:r>
              <w:rPr>
                <w:color w:val="000000"/>
                <w:sz w:val="24"/>
                <w:szCs w:val="24"/>
              </w:rPr>
              <w:t>18,923,418.60</w:t>
            </w:r>
          </w:p>
        </w:tc>
        <w:tc>
          <w:tcPr>
            <w:tcW w:w="1237" w:type="dxa"/>
            <w:vAlign w:val="center"/>
          </w:tcPr>
          <w:p w:rsidR="00BF694D" w:rsidRDefault="00090C04">
            <w:pPr>
              <w:jc w:val="right"/>
            </w:pPr>
            <w:r>
              <w:rPr>
                <w:color w:val="000000"/>
                <w:sz w:val="24"/>
                <w:szCs w:val="24"/>
              </w:rPr>
              <w:t>1.51</w:t>
            </w:r>
          </w:p>
        </w:tc>
      </w:tr>
      <w:tr w:rsidR="00BF694D">
        <w:trPr>
          <w:jc w:val="center"/>
        </w:trPr>
        <w:tc>
          <w:tcPr>
            <w:tcW w:w="850" w:type="dxa"/>
            <w:vAlign w:val="center"/>
          </w:tcPr>
          <w:p w:rsidR="00BF694D" w:rsidRDefault="00090C04">
            <w:pPr>
              <w:jc w:val="center"/>
            </w:pPr>
            <w:r>
              <w:rPr>
                <w:color w:val="000000"/>
                <w:sz w:val="24"/>
                <w:szCs w:val="24"/>
              </w:rPr>
              <w:t>3</w:t>
            </w:r>
          </w:p>
        </w:tc>
        <w:tc>
          <w:tcPr>
            <w:tcW w:w="1475" w:type="dxa"/>
            <w:vAlign w:val="center"/>
          </w:tcPr>
          <w:p w:rsidR="00BF694D" w:rsidRDefault="00090C04">
            <w:pPr>
              <w:jc w:val="center"/>
            </w:pPr>
            <w:r>
              <w:rPr>
                <w:color w:val="000000"/>
                <w:sz w:val="24"/>
                <w:szCs w:val="24"/>
              </w:rPr>
              <w:t>110030</w:t>
            </w:r>
          </w:p>
        </w:tc>
        <w:tc>
          <w:tcPr>
            <w:tcW w:w="1769" w:type="dxa"/>
            <w:vAlign w:val="center"/>
          </w:tcPr>
          <w:p w:rsidR="00BF694D" w:rsidRDefault="00090C04">
            <w:pPr>
              <w:jc w:val="center"/>
            </w:pPr>
            <w:r>
              <w:rPr>
                <w:color w:val="000000"/>
                <w:sz w:val="24"/>
                <w:szCs w:val="24"/>
              </w:rPr>
              <w:t>格力转债</w:t>
            </w:r>
          </w:p>
        </w:tc>
        <w:tc>
          <w:tcPr>
            <w:tcW w:w="1387" w:type="dxa"/>
            <w:vAlign w:val="center"/>
          </w:tcPr>
          <w:p w:rsidR="00BF694D" w:rsidRDefault="00090C04">
            <w:pPr>
              <w:jc w:val="right"/>
            </w:pPr>
            <w:r>
              <w:rPr>
                <w:color w:val="000000"/>
                <w:sz w:val="24"/>
                <w:szCs w:val="24"/>
              </w:rPr>
              <w:t>22,210</w:t>
            </w:r>
          </w:p>
        </w:tc>
        <w:tc>
          <w:tcPr>
            <w:tcW w:w="2150" w:type="dxa"/>
            <w:vAlign w:val="center"/>
          </w:tcPr>
          <w:p w:rsidR="00BF694D" w:rsidRDefault="00090C04">
            <w:pPr>
              <w:jc w:val="right"/>
            </w:pPr>
            <w:r>
              <w:rPr>
                <w:color w:val="000000"/>
                <w:sz w:val="24"/>
                <w:szCs w:val="24"/>
              </w:rPr>
              <w:t>3,768,370.70</w:t>
            </w:r>
          </w:p>
        </w:tc>
        <w:tc>
          <w:tcPr>
            <w:tcW w:w="1237" w:type="dxa"/>
            <w:vAlign w:val="center"/>
          </w:tcPr>
          <w:p w:rsidR="00BF694D" w:rsidRDefault="00090C04">
            <w:pPr>
              <w:jc w:val="right"/>
            </w:pPr>
            <w:r>
              <w:rPr>
                <w:color w:val="000000"/>
                <w:sz w:val="24"/>
                <w:szCs w:val="24"/>
              </w:rPr>
              <w:t>0.30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792,215.25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209,245.21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6,953,099.03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7,954,559.49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BF694D">
        <w:trPr>
          <w:jc w:val="center"/>
        </w:trPr>
        <w:tc>
          <w:tcPr>
            <w:tcW w:w="1883" w:type="dxa"/>
            <w:vAlign w:val="center"/>
          </w:tcPr>
          <w:p w:rsidR="00BF694D" w:rsidRDefault="00090C04">
            <w:pPr>
              <w:jc w:val="center"/>
            </w:pPr>
            <w:r>
              <w:rPr>
                <w:color w:val="000000"/>
                <w:sz w:val="24"/>
                <w:szCs w:val="24"/>
              </w:rPr>
              <w:t>1</w:t>
            </w:r>
          </w:p>
        </w:tc>
        <w:tc>
          <w:tcPr>
            <w:tcW w:w="1801" w:type="dxa"/>
            <w:vAlign w:val="center"/>
          </w:tcPr>
          <w:p w:rsidR="00BF694D" w:rsidRDefault="00090C04">
            <w:pPr>
              <w:jc w:val="center"/>
            </w:pPr>
            <w:r>
              <w:rPr>
                <w:color w:val="000000"/>
                <w:sz w:val="24"/>
                <w:szCs w:val="24"/>
              </w:rPr>
              <w:t>110019</w:t>
            </w:r>
          </w:p>
        </w:tc>
        <w:tc>
          <w:tcPr>
            <w:tcW w:w="1727" w:type="dxa"/>
            <w:vAlign w:val="center"/>
          </w:tcPr>
          <w:p w:rsidR="00BF694D" w:rsidRDefault="00090C04">
            <w:pPr>
              <w:jc w:val="center"/>
            </w:pPr>
            <w:r>
              <w:rPr>
                <w:color w:val="000000"/>
                <w:sz w:val="24"/>
                <w:szCs w:val="24"/>
              </w:rPr>
              <w:t>恒丰转债</w:t>
            </w:r>
          </w:p>
        </w:tc>
        <w:tc>
          <w:tcPr>
            <w:tcW w:w="1768" w:type="dxa"/>
            <w:vAlign w:val="center"/>
          </w:tcPr>
          <w:p w:rsidR="00BF694D" w:rsidRDefault="00090C04">
            <w:pPr>
              <w:jc w:val="right"/>
            </w:pPr>
            <w:r>
              <w:rPr>
                <w:color w:val="000000"/>
                <w:sz w:val="24"/>
                <w:szCs w:val="24"/>
              </w:rPr>
              <w:t>32,562,986.10</w:t>
            </w:r>
          </w:p>
        </w:tc>
        <w:tc>
          <w:tcPr>
            <w:tcW w:w="1689" w:type="dxa"/>
            <w:vAlign w:val="center"/>
          </w:tcPr>
          <w:p w:rsidR="00BF694D" w:rsidRDefault="00090C04">
            <w:pPr>
              <w:jc w:val="right"/>
            </w:pPr>
            <w:r>
              <w:rPr>
                <w:color w:val="000000"/>
                <w:sz w:val="24"/>
                <w:szCs w:val="24"/>
              </w:rPr>
              <w:t>2.60</w:t>
            </w:r>
          </w:p>
        </w:tc>
      </w:tr>
      <w:tr w:rsidR="00BF694D">
        <w:trPr>
          <w:jc w:val="center"/>
        </w:trPr>
        <w:tc>
          <w:tcPr>
            <w:tcW w:w="1883" w:type="dxa"/>
            <w:vAlign w:val="center"/>
          </w:tcPr>
          <w:p w:rsidR="00BF694D" w:rsidRDefault="00090C04">
            <w:pPr>
              <w:jc w:val="center"/>
            </w:pPr>
            <w:r>
              <w:rPr>
                <w:color w:val="000000"/>
                <w:sz w:val="24"/>
                <w:szCs w:val="24"/>
              </w:rPr>
              <w:t>2</w:t>
            </w:r>
          </w:p>
        </w:tc>
        <w:tc>
          <w:tcPr>
            <w:tcW w:w="1801" w:type="dxa"/>
            <w:vAlign w:val="center"/>
          </w:tcPr>
          <w:p w:rsidR="00BF694D" w:rsidRDefault="00090C04">
            <w:pPr>
              <w:jc w:val="center"/>
            </w:pPr>
            <w:r>
              <w:rPr>
                <w:color w:val="000000"/>
                <w:sz w:val="24"/>
                <w:szCs w:val="24"/>
              </w:rPr>
              <w:t>110028</w:t>
            </w:r>
          </w:p>
        </w:tc>
        <w:tc>
          <w:tcPr>
            <w:tcW w:w="1727" w:type="dxa"/>
            <w:vAlign w:val="center"/>
          </w:tcPr>
          <w:p w:rsidR="00BF694D" w:rsidRDefault="00090C04">
            <w:pPr>
              <w:jc w:val="center"/>
            </w:pPr>
            <w:r>
              <w:rPr>
                <w:color w:val="000000"/>
                <w:sz w:val="24"/>
                <w:szCs w:val="24"/>
              </w:rPr>
              <w:t>冠城转债</w:t>
            </w:r>
          </w:p>
        </w:tc>
        <w:tc>
          <w:tcPr>
            <w:tcW w:w="1768" w:type="dxa"/>
            <w:vAlign w:val="center"/>
          </w:tcPr>
          <w:p w:rsidR="00BF694D" w:rsidRDefault="00090C04">
            <w:pPr>
              <w:jc w:val="right"/>
            </w:pPr>
            <w:r>
              <w:rPr>
                <w:color w:val="000000"/>
                <w:sz w:val="24"/>
                <w:szCs w:val="24"/>
              </w:rPr>
              <w:t>18,923,418.60</w:t>
            </w:r>
          </w:p>
        </w:tc>
        <w:tc>
          <w:tcPr>
            <w:tcW w:w="1689" w:type="dxa"/>
            <w:vAlign w:val="center"/>
          </w:tcPr>
          <w:p w:rsidR="00BF694D" w:rsidRDefault="00090C04">
            <w:pPr>
              <w:jc w:val="right"/>
            </w:pPr>
            <w:r>
              <w:rPr>
                <w:color w:val="000000"/>
                <w:sz w:val="24"/>
                <w:szCs w:val="24"/>
              </w:rPr>
              <w:t>1.51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w:t>
            </w:r>
            <w:r w:rsidRPr="00414345">
              <w:rPr>
                <w:color w:val="000000"/>
                <w:sz w:val="24"/>
                <w:szCs w:val="24"/>
              </w:rPr>
              <w:lastRenderedPageBreak/>
              <w:t>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占基金资产净</w:t>
            </w:r>
            <w:r w:rsidRPr="00414345">
              <w:rPr>
                <w:color w:val="000000"/>
                <w:sz w:val="24"/>
                <w:szCs w:val="24"/>
              </w:rPr>
              <w:lastRenderedPageBreak/>
              <w:t>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lastRenderedPageBreak/>
              <w:t>流通受限</w:t>
            </w:r>
            <w:r w:rsidRPr="00414345">
              <w:rPr>
                <w:color w:val="000000"/>
                <w:sz w:val="24"/>
                <w:szCs w:val="24"/>
              </w:rPr>
              <w:lastRenderedPageBreak/>
              <w:t>情况说明</w:t>
            </w:r>
          </w:p>
        </w:tc>
      </w:tr>
      <w:tr w:rsidR="00BF694D">
        <w:trPr>
          <w:jc w:val="center"/>
        </w:trPr>
        <w:tc>
          <w:tcPr>
            <w:tcW w:w="1129" w:type="dxa"/>
            <w:vAlign w:val="center"/>
          </w:tcPr>
          <w:p w:rsidR="00BF694D" w:rsidRDefault="00090C04">
            <w:pPr>
              <w:jc w:val="center"/>
            </w:pPr>
            <w:r>
              <w:rPr>
                <w:color w:val="000000"/>
                <w:sz w:val="24"/>
                <w:szCs w:val="24"/>
              </w:rPr>
              <w:lastRenderedPageBreak/>
              <w:t>1</w:t>
            </w:r>
          </w:p>
        </w:tc>
        <w:tc>
          <w:tcPr>
            <w:tcW w:w="1356" w:type="dxa"/>
            <w:vAlign w:val="center"/>
          </w:tcPr>
          <w:p w:rsidR="00BF694D" w:rsidRDefault="00090C04">
            <w:pPr>
              <w:jc w:val="center"/>
            </w:pPr>
            <w:r>
              <w:rPr>
                <w:color w:val="000000"/>
                <w:sz w:val="24"/>
                <w:szCs w:val="24"/>
              </w:rPr>
              <w:t>002280</w:t>
            </w:r>
          </w:p>
        </w:tc>
        <w:tc>
          <w:tcPr>
            <w:tcW w:w="1355" w:type="dxa"/>
            <w:vAlign w:val="center"/>
          </w:tcPr>
          <w:p w:rsidR="00BF694D" w:rsidRDefault="00090C04">
            <w:pPr>
              <w:jc w:val="center"/>
            </w:pPr>
            <w:r>
              <w:rPr>
                <w:color w:val="000000"/>
                <w:sz w:val="24"/>
                <w:szCs w:val="24"/>
              </w:rPr>
              <w:t>联络互动</w:t>
            </w:r>
          </w:p>
        </w:tc>
        <w:tc>
          <w:tcPr>
            <w:tcW w:w="1880" w:type="dxa"/>
            <w:vAlign w:val="center"/>
          </w:tcPr>
          <w:p w:rsidR="00BF694D" w:rsidRDefault="00090C04">
            <w:pPr>
              <w:jc w:val="right"/>
            </w:pPr>
            <w:r>
              <w:rPr>
                <w:color w:val="000000"/>
                <w:sz w:val="24"/>
                <w:szCs w:val="24"/>
              </w:rPr>
              <w:t>102,589,301.10</w:t>
            </w:r>
          </w:p>
        </w:tc>
        <w:tc>
          <w:tcPr>
            <w:tcW w:w="1724" w:type="dxa"/>
            <w:vAlign w:val="center"/>
          </w:tcPr>
          <w:p w:rsidR="00BF694D" w:rsidRDefault="00090C04">
            <w:pPr>
              <w:jc w:val="right"/>
            </w:pPr>
            <w:r>
              <w:rPr>
                <w:color w:val="000000"/>
                <w:sz w:val="24"/>
                <w:szCs w:val="24"/>
              </w:rPr>
              <w:t>8.18</w:t>
            </w:r>
          </w:p>
        </w:tc>
        <w:tc>
          <w:tcPr>
            <w:tcW w:w="1424" w:type="dxa"/>
            <w:vAlign w:val="center"/>
          </w:tcPr>
          <w:p w:rsidR="00BF694D" w:rsidRDefault="00090C04">
            <w:pPr>
              <w:jc w:val="right"/>
            </w:pPr>
            <w:r w:rsidRPr="007F197A">
              <w:rPr>
                <w:rFonts w:hint="eastAsia"/>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1,257,018,227.06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343,454,137.45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732,900,092.84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867,572,271.67</w:t>
            </w:r>
          </w:p>
        </w:tc>
      </w:tr>
    </w:tbl>
    <w:p w:rsidR="00BF694D" w:rsidRDefault="00090C0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CA5AD3">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202,878,105.88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090C04" w:rsidP="00C15CAC">
            <w:pPr>
              <w:spacing w:line="288" w:lineRule="auto"/>
              <w:jc w:val="right"/>
              <w:rPr>
                <w:rFonts w:eastAsiaTheme="minorEastAsia"/>
                <w:sz w:val="24"/>
                <w:szCs w:val="24"/>
              </w:rPr>
            </w:pPr>
            <w:r w:rsidRPr="00ED2620">
              <w:rPr>
                <w:rFonts w:eastAsiaTheme="minorEastAsia"/>
                <w:color w:val="000000"/>
                <w:sz w:val="24"/>
              </w:rPr>
              <w:t>202,878,105.88</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090C04" w:rsidP="00C15CAC">
            <w:pPr>
              <w:spacing w:line="288" w:lineRule="auto"/>
              <w:jc w:val="right"/>
              <w:rPr>
                <w:rFonts w:eastAsiaTheme="minorEastAsia"/>
                <w:color w:val="000000"/>
                <w:kern w:val="0"/>
                <w:sz w:val="24"/>
                <w:szCs w:val="24"/>
              </w:rPr>
            </w:pPr>
            <w:r w:rsidRPr="007F197A">
              <w:rPr>
                <w:rFonts w:eastAsiaTheme="minorEastAsia"/>
                <w:color w:val="000000"/>
                <w:sz w:val="24"/>
              </w:rPr>
              <w:t>23.38</w:t>
            </w:r>
          </w:p>
        </w:tc>
      </w:tr>
    </w:tbl>
    <w:p w:rsidR="00BF694D" w:rsidRDefault="00090C0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061AC" w:rsidRPr="00414345" w:rsidRDefault="004061AC" w:rsidP="00CA5AD3">
      <w:pPr>
        <w:pStyle w:val="1"/>
        <w:spacing w:beforeLines="100" w:afterLines="100" w:line="288" w:lineRule="auto"/>
        <w:jc w:val="center"/>
        <w:rPr>
          <w:color w:val="000000"/>
          <w:kern w:val="0"/>
          <w:sz w:val="24"/>
          <w:szCs w:val="24"/>
        </w:rPr>
      </w:pPr>
      <w:r w:rsidRPr="00414345">
        <w:rPr>
          <w:color w:val="000000"/>
          <w:kern w:val="0"/>
          <w:sz w:val="24"/>
          <w:szCs w:val="24"/>
        </w:rPr>
        <w:lastRenderedPageBreak/>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BF694D" w:rsidRDefault="00090C04">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w:t>
      </w:r>
      <w:bookmarkStart w:id="0" w:name="_GoBack"/>
      <w:bookmarkEnd w:id="0"/>
      <w:r>
        <w:rPr>
          <w:color w:val="000000"/>
          <w:sz w:val="24"/>
          <w:szCs w:val="24"/>
        </w:rPr>
        <w:t>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CA5AD3">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BF694D" w:rsidRDefault="00090C0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、中国证监会批准交银施罗德主题优选灵活配置混合型证券投资基金募集的文件；</w:t>
      </w:r>
      <w:r>
        <w:rPr>
          <w:color w:val="000000"/>
          <w:sz w:val="24"/>
          <w:szCs w:val="24"/>
        </w:rPr>
        <w:t xml:space="preserve"> </w:t>
      </w:r>
    </w:p>
    <w:p w:rsidR="00BF694D" w:rsidRDefault="00090C0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、《交银施罗德主题优选灵活配置混合型证券投资基金基金合同》；</w:t>
      </w:r>
      <w:r>
        <w:rPr>
          <w:color w:val="000000"/>
          <w:sz w:val="24"/>
          <w:szCs w:val="24"/>
        </w:rPr>
        <w:t xml:space="preserve"> </w:t>
      </w:r>
    </w:p>
    <w:p w:rsidR="00BF694D" w:rsidRDefault="00090C0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、《交银施罗德主题优选灵活配置混合型证券投资基金招募说明书》；</w:t>
      </w:r>
    </w:p>
    <w:p w:rsidR="00BF694D" w:rsidRDefault="00090C0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、《交银施罗德主题优选灵活配置混合型证券投资基金托管协议》；</w:t>
      </w:r>
      <w:r>
        <w:rPr>
          <w:color w:val="000000"/>
          <w:sz w:val="24"/>
          <w:szCs w:val="24"/>
        </w:rPr>
        <w:t xml:space="preserve"> </w:t>
      </w:r>
    </w:p>
    <w:p w:rsidR="00BF694D" w:rsidRDefault="00090C04">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、关于募集交银施罗德主题优选灵活配置混合型证券投资基金之法律意见书；</w:t>
      </w:r>
      <w:r>
        <w:rPr>
          <w:color w:val="000000"/>
          <w:sz w:val="24"/>
          <w:szCs w:val="24"/>
        </w:rPr>
        <w:t xml:space="preserve"> </w:t>
      </w:r>
    </w:p>
    <w:p w:rsidR="00BF694D" w:rsidRDefault="00090C0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F694D" w:rsidRDefault="00090C0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、报告期内交银施罗德主题优选灵活配置混合型证券投资基金在指定报刊上各项公告的原稿。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BF694D" w:rsidRDefault="00090C0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03" w:rsidRDefault="00A97A03" w:rsidP="00876D65">
      <w:r>
        <w:separator/>
      </w:r>
    </w:p>
  </w:endnote>
  <w:endnote w:type="continuationSeparator" w:id="0">
    <w:p w:rsidR="00A97A03" w:rsidRDefault="00A97A03"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0E7D7E">
      <w:rPr>
        <w:kern w:val="0"/>
        <w:szCs w:val="21"/>
      </w:rPr>
      <w:fldChar w:fldCharType="begin"/>
    </w:r>
    <w:r>
      <w:rPr>
        <w:kern w:val="0"/>
        <w:szCs w:val="21"/>
      </w:rPr>
      <w:instrText xml:space="preserve"> PAGE </w:instrText>
    </w:r>
    <w:r w:rsidR="000E7D7E">
      <w:rPr>
        <w:kern w:val="0"/>
        <w:szCs w:val="21"/>
      </w:rPr>
      <w:fldChar w:fldCharType="separate"/>
    </w:r>
    <w:r w:rsidR="00CA5AD3">
      <w:rPr>
        <w:noProof/>
        <w:kern w:val="0"/>
        <w:szCs w:val="21"/>
      </w:rPr>
      <w:t>1</w:t>
    </w:r>
    <w:r w:rsidR="000E7D7E">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0E7D7E">
      <w:rPr>
        <w:kern w:val="0"/>
        <w:szCs w:val="21"/>
      </w:rPr>
      <w:fldChar w:fldCharType="begin"/>
    </w:r>
    <w:r>
      <w:rPr>
        <w:kern w:val="0"/>
        <w:szCs w:val="21"/>
      </w:rPr>
      <w:instrText xml:space="preserve"> NUMPAGES </w:instrText>
    </w:r>
    <w:r w:rsidR="000E7D7E">
      <w:rPr>
        <w:kern w:val="0"/>
        <w:szCs w:val="21"/>
      </w:rPr>
      <w:fldChar w:fldCharType="separate"/>
    </w:r>
    <w:r w:rsidR="00CA5AD3">
      <w:rPr>
        <w:noProof/>
        <w:kern w:val="0"/>
        <w:szCs w:val="21"/>
      </w:rPr>
      <w:t>11</w:t>
    </w:r>
    <w:r w:rsidR="000E7D7E">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A03" w:rsidRDefault="00A97A03" w:rsidP="00876D65">
      <w:r>
        <w:separator/>
      </w:r>
    </w:p>
  </w:footnote>
  <w:footnote w:type="continuationSeparator" w:id="0">
    <w:p w:rsidR="00A97A03" w:rsidRDefault="00A97A03"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90C04"/>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D7E"/>
    <w:rsid w:val="000E7E5E"/>
    <w:rsid w:val="000F6CC8"/>
    <w:rsid w:val="00111261"/>
    <w:rsid w:val="00130668"/>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51C"/>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197A"/>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97A03"/>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137B"/>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694D"/>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AD3"/>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96E30"/>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6279"/>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0E61"/>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D08CB-13A3-4DDC-A9D3-EED9E84CD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11</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史驰昊</cp:lastModifiedBy>
  <cp:revision>564</cp:revision>
  <dcterms:created xsi:type="dcterms:W3CDTF">2012-10-16T06:07:00Z</dcterms:created>
  <dcterms:modified xsi:type="dcterms:W3CDTF">2015-04-22T05:33:00Z</dcterms:modified>
</cp:coreProperties>
</file>