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CA690A">
      <w:pPr>
        <w:pStyle w:val="1"/>
        <w:spacing w:beforeLines="100" w:after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CA690A">
      <w:pPr>
        <w:pStyle w:val="1"/>
        <w:spacing w:beforeLines="100" w:after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166,223,991.78</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105,531,118.78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60,692,873.00</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CA690A">
      <w:pPr>
        <w:pStyle w:val="1"/>
        <w:spacing w:beforeLines="100" w:after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2,386,810.44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2,330,342.67</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1,587,782.08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1,395,321.76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110,458,360.58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63,097,603.89</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1.040</w:t>
            </w:r>
          </w:p>
        </w:tc>
      </w:tr>
    </w:tbl>
    <w:p w:rsidR="005F1533" w:rsidRDefault="003625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1533">
        <w:trPr>
          <w:jc w:val="center"/>
        </w:trPr>
        <w:tc>
          <w:tcPr>
            <w:tcW w:w="1266" w:type="dxa"/>
            <w:vAlign w:val="center"/>
          </w:tcPr>
          <w:p w:rsidR="005F1533" w:rsidRDefault="00362536">
            <w:pPr>
              <w:jc w:val="left"/>
            </w:pPr>
            <w:r>
              <w:rPr>
                <w:color w:val="000000"/>
                <w:sz w:val="24"/>
              </w:rPr>
              <w:t>过去三个月</w:t>
            </w:r>
          </w:p>
        </w:tc>
        <w:tc>
          <w:tcPr>
            <w:tcW w:w="1267" w:type="dxa"/>
            <w:vAlign w:val="center"/>
          </w:tcPr>
          <w:p w:rsidR="005F1533" w:rsidRDefault="00362536">
            <w:pPr>
              <w:jc w:val="center"/>
            </w:pPr>
            <w:r>
              <w:rPr>
                <w:color w:val="000000"/>
                <w:sz w:val="24"/>
              </w:rPr>
              <w:t>1.05%</w:t>
            </w:r>
          </w:p>
        </w:tc>
        <w:tc>
          <w:tcPr>
            <w:tcW w:w="1267" w:type="dxa"/>
            <w:vAlign w:val="center"/>
          </w:tcPr>
          <w:p w:rsidR="005F1533" w:rsidRDefault="00362536">
            <w:pPr>
              <w:jc w:val="center"/>
            </w:pPr>
            <w:r>
              <w:rPr>
                <w:color w:val="000000"/>
                <w:sz w:val="24"/>
              </w:rPr>
              <w:t>0.06%</w:t>
            </w:r>
          </w:p>
        </w:tc>
        <w:tc>
          <w:tcPr>
            <w:tcW w:w="1267" w:type="dxa"/>
            <w:vAlign w:val="center"/>
          </w:tcPr>
          <w:p w:rsidR="005F1533" w:rsidRDefault="00362536">
            <w:pPr>
              <w:jc w:val="center"/>
            </w:pPr>
            <w:r>
              <w:rPr>
                <w:color w:val="000000"/>
                <w:sz w:val="24"/>
              </w:rPr>
              <w:t>-0.15%</w:t>
            </w:r>
          </w:p>
        </w:tc>
        <w:tc>
          <w:tcPr>
            <w:tcW w:w="1267" w:type="dxa"/>
            <w:vAlign w:val="center"/>
          </w:tcPr>
          <w:p w:rsidR="005F1533" w:rsidRDefault="00362536">
            <w:pPr>
              <w:jc w:val="center"/>
            </w:pPr>
            <w:r>
              <w:rPr>
                <w:color w:val="000000"/>
                <w:sz w:val="24"/>
              </w:rPr>
              <w:t>0.09%</w:t>
            </w:r>
          </w:p>
        </w:tc>
        <w:tc>
          <w:tcPr>
            <w:tcW w:w="1267" w:type="dxa"/>
            <w:vAlign w:val="center"/>
          </w:tcPr>
          <w:p w:rsidR="005F1533" w:rsidRDefault="00362536">
            <w:pPr>
              <w:jc w:val="center"/>
            </w:pPr>
            <w:r>
              <w:rPr>
                <w:color w:val="000000"/>
                <w:sz w:val="24"/>
              </w:rPr>
              <w:t>1.20%</w:t>
            </w:r>
          </w:p>
        </w:tc>
        <w:tc>
          <w:tcPr>
            <w:tcW w:w="1267" w:type="dxa"/>
            <w:vAlign w:val="center"/>
          </w:tcPr>
          <w:p w:rsidR="005F1533" w:rsidRDefault="00362536">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5F1533">
        <w:trPr>
          <w:jc w:val="center"/>
        </w:trPr>
        <w:tc>
          <w:tcPr>
            <w:tcW w:w="1266" w:type="dxa"/>
            <w:vAlign w:val="center"/>
          </w:tcPr>
          <w:p w:rsidR="005F1533" w:rsidRDefault="00362536">
            <w:pPr>
              <w:jc w:val="left"/>
            </w:pPr>
            <w:r>
              <w:rPr>
                <w:color w:val="000000"/>
                <w:sz w:val="24"/>
              </w:rPr>
              <w:t>过去三个月</w:t>
            </w:r>
          </w:p>
        </w:tc>
        <w:tc>
          <w:tcPr>
            <w:tcW w:w="1267" w:type="dxa"/>
            <w:vAlign w:val="center"/>
          </w:tcPr>
          <w:p w:rsidR="005F1533" w:rsidRDefault="00362536">
            <w:pPr>
              <w:jc w:val="center"/>
            </w:pPr>
            <w:r>
              <w:rPr>
                <w:color w:val="000000"/>
                <w:sz w:val="24"/>
              </w:rPr>
              <w:t>0.96%</w:t>
            </w:r>
          </w:p>
        </w:tc>
        <w:tc>
          <w:tcPr>
            <w:tcW w:w="1267" w:type="dxa"/>
            <w:vAlign w:val="center"/>
          </w:tcPr>
          <w:p w:rsidR="005F1533" w:rsidRDefault="00362536">
            <w:pPr>
              <w:jc w:val="center"/>
            </w:pPr>
            <w:r>
              <w:rPr>
                <w:color w:val="000000"/>
                <w:sz w:val="24"/>
              </w:rPr>
              <w:t>0.07%</w:t>
            </w:r>
          </w:p>
        </w:tc>
        <w:tc>
          <w:tcPr>
            <w:tcW w:w="1267" w:type="dxa"/>
            <w:vAlign w:val="center"/>
          </w:tcPr>
          <w:p w:rsidR="005F1533" w:rsidRDefault="00362536">
            <w:pPr>
              <w:jc w:val="center"/>
            </w:pPr>
            <w:r>
              <w:rPr>
                <w:color w:val="000000"/>
                <w:sz w:val="24"/>
              </w:rPr>
              <w:t>-0.15%</w:t>
            </w:r>
          </w:p>
        </w:tc>
        <w:tc>
          <w:tcPr>
            <w:tcW w:w="1267" w:type="dxa"/>
            <w:vAlign w:val="center"/>
          </w:tcPr>
          <w:p w:rsidR="005F1533" w:rsidRDefault="00362536">
            <w:pPr>
              <w:jc w:val="center"/>
            </w:pPr>
            <w:r>
              <w:rPr>
                <w:color w:val="000000"/>
                <w:sz w:val="24"/>
              </w:rPr>
              <w:t>0.09%</w:t>
            </w:r>
          </w:p>
        </w:tc>
        <w:tc>
          <w:tcPr>
            <w:tcW w:w="1267" w:type="dxa"/>
            <w:vAlign w:val="center"/>
          </w:tcPr>
          <w:p w:rsidR="005F1533" w:rsidRDefault="00362536">
            <w:pPr>
              <w:jc w:val="center"/>
            </w:pPr>
            <w:r>
              <w:rPr>
                <w:color w:val="000000"/>
                <w:sz w:val="24"/>
              </w:rPr>
              <w:t>1.11%</w:t>
            </w:r>
          </w:p>
        </w:tc>
        <w:tc>
          <w:tcPr>
            <w:tcW w:w="1267" w:type="dxa"/>
            <w:vAlign w:val="center"/>
          </w:tcPr>
          <w:p w:rsidR="005F1533" w:rsidRDefault="00362536">
            <w:pPr>
              <w:jc w:val="center"/>
            </w:pPr>
            <w:r>
              <w:rPr>
                <w:color w:val="000000"/>
                <w:sz w:val="24"/>
              </w:rPr>
              <w:t>-0.02%</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AA0997" w:rsidP="007C14DF">
      <w:pPr>
        <w:pStyle w:val="20"/>
        <w:spacing w:before="29" w:line="288" w:lineRule="auto"/>
        <w:ind w:firstLineChars="0" w:firstLine="0"/>
        <w:jc w:val="center"/>
        <w:rPr>
          <w:rFonts w:ascii="Times New Roman" w:eastAsiaTheme="minorEastAsia" w:hAnsi="Times New Roman"/>
          <w:color w:val="000000"/>
        </w:rPr>
      </w:pPr>
      <w:r>
        <w:rPr>
          <w:rFonts w:ascii="Times New Roman" w:eastAsiaTheme="minorEastAsia" w:hAnsi="Times New Roman"/>
          <w:noProof/>
          <w:color w:val="000000"/>
        </w:rPr>
        <w:lastRenderedPageBreak/>
        <w:drawing>
          <wp:inline distT="0" distB="0" distL="0" distR="0">
            <wp:extent cx="5731510" cy="3351315"/>
            <wp:effectExtent l="19050" t="0" r="2540" b="0"/>
            <wp:docPr id="1"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走势图1.jpg"/>
                    <pic:cNvPicPr>
                      <a:picLocks noChangeAspect="1" noChangeArrowheads="1"/>
                    </pic:cNvPicPr>
                  </pic:nvPicPr>
                  <pic:blipFill>
                    <a:blip r:embed="rId10" r:link="rId11"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AA0997" w:rsidP="007C14DF">
      <w:pPr>
        <w:pStyle w:val="20"/>
        <w:spacing w:before="29" w:line="288" w:lineRule="auto"/>
        <w:ind w:firstLineChars="0" w:firstLine="0"/>
        <w:jc w:val="center"/>
        <w:rPr>
          <w:rFonts w:ascii="Times New Roman" w:eastAsiaTheme="minorEastAsia" w:hAnsi="Times New Roman"/>
          <w:color w:val="000000"/>
        </w:rPr>
      </w:pPr>
      <w:r>
        <w:rPr>
          <w:rFonts w:ascii="Times New Roman" w:eastAsiaTheme="minorEastAsia" w:hAnsi="Times New Roman"/>
          <w:noProof/>
          <w:color w:val="000000"/>
        </w:rPr>
        <w:drawing>
          <wp:inline distT="0" distB="0" distL="0" distR="0">
            <wp:extent cx="5731510" cy="3351315"/>
            <wp:effectExtent l="19050" t="0" r="2540" b="0"/>
            <wp:docPr id="2"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走势图2.jpg"/>
                    <pic:cNvPicPr>
                      <a:picLocks noChangeAspect="1" noChangeArrowheads="1"/>
                    </pic:cNvPicPr>
                  </pic:nvPicPr>
                  <pic:blipFill>
                    <a:blip r:embed="rId12" r:link="rId13" cstate="print"/>
                    <a:srcRect/>
                    <a:stretch>
                      <a:fillRect/>
                    </a:stretch>
                  </pic:blipFill>
                  <pic:spPr bwMode="auto">
                    <a:xfrm>
                      <a:off x="0" y="0"/>
                      <a:ext cx="5731510" cy="3351315"/>
                    </a:xfrm>
                    <a:prstGeom prst="rect">
                      <a:avLst/>
                    </a:prstGeom>
                    <a:noFill/>
                    <a:ln w="9525">
                      <a:noFill/>
                      <a:miter lim="800000"/>
                      <a:headEnd/>
                      <a:tailEnd/>
                    </a:ln>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CA690A">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5F1533">
        <w:trPr>
          <w:jc w:val="center"/>
        </w:trPr>
        <w:tc>
          <w:tcPr>
            <w:tcW w:w="946" w:type="dxa"/>
            <w:vAlign w:val="center"/>
          </w:tcPr>
          <w:p w:rsidR="005F1533" w:rsidRDefault="00362536">
            <w:pPr>
              <w:jc w:val="center"/>
            </w:pPr>
            <w:r>
              <w:rPr>
                <w:color w:val="000000"/>
                <w:sz w:val="24"/>
              </w:rPr>
              <w:t>赵凌琦</w:t>
            </w:r>
          </w:p>
        </w:tc>
        <w:tc>
          <w:tcPr>
            <w:tcW w:w="924" w:type="dxa"/>
            <w:vAlign w:val="center"/>
          </w:tcPr>
          <w:p w:rsidR="005F1533" w:rsidRDefault="00362536">
            <w:pPr>
              <w:jc w:val="center"/>
            </w:pPr>
            <w:r>
              <w:rPr>
                <w:color w:val="000000"/>
                <w:sz w:val="24"/>
              </w:rPr>
              <w:t>本基金、交银理财</w:t>
            </w:r>
            <w:r>
              <w:rPr>
                <w:color w:val="000000"/>
                <w:sz w:val="24"/>
              </w:rPr>
              <w:t>60</w:t>
            </w:r>
            <w:r>
              <w:rPr>
                <w:color w:val="000000"/>
                <w:sz w:val="24"/>
              </w:rPr>
              <w:t>天债券、交银定期支付月月丰债券、交银强化回报债券、交银丰盈收益债券的基金经理，公司固定收益部副总经理</w:t>
            </w:r>
          </w:p>
        </w:tc>
        <w:tc>
          <w:tcPr>
            <w:tcW w:w="1202" w:type="dxa"/>
            <w:vAlign w:val="center"/>
          </w:tcPr>
          <w:p w:rsidR="005F1533" w:rsidRDefault="00362536">
            <w:pPr>
              <w:jc w:val="center"/>
            </w:pPr>
            <w:r>
              <w:rPr>
                <w:color w:val="000000"/>
                <w:sz w:val="24"/>
              </w:rPr>
              <w:t>2014-03-31</w:t>
            </w:r>
          </w:p>
        </w:tc>
        <w:tc>
          <w:tcPr>
            <w:tcW w:w="1300" w:type="dxa"/>
            <w:vAlign w:val="center"/>
          </w:tcPr>
          <w:p w:rsidR="005F1533" w:rsidRDefault="00362536">
            <w:pPr>
              <w:jc w:val="center"/>
            </w:pPr>
            <w:r>
              <w:rPr>
                <w:color w:val="000000"/>
                <w:sz w:val="24"/>
              </w:rPr>
              <w:t>-</w:t>
            </w:r>
          </w:p>
        </w:tc>
        <w:tc>
          <w:tcPr>
            <w:tcW w:w="1245" w:type="dxa"/>
            <w:vAlign w:val="center"/>
          </w:tcPr>
          <w:p w:rsidR="005F1533" w:rsidRDefault="00362536">
            <w:pPr>
              <w:jc w:val="center"/>
            </w:pPr>
            <w:r>
              <w:rPr>
                <w:color w:val="000000"/>
                <w:sz w:val="24"/>
              </w:rPr>
              <w:t>2</w:t>
            </w:r>
            <w:r>
              <w:rPr>
                <w:color w:val="000000"/>
                <w:sz w:val="24"/>
              </w:rPr>
              <w:t>年</w:t>
            </w:r>
          </w:p>
        </w:tc>
        <w:tc>
          <w:tcPr>
            <w:tcW w:w="3251" w:type="dxa"/>
            <w:vAlign w:val="center"/>
          </w:tcPr>
          <w:p w:rsidR="005F1533" w:rsidRDefault="00362536">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5F1533">
        <w:trPr>
          <w:jc w:val="center"/>
        </w:trPr>
        <w:tc>
          <w:tcPr>
            <w:tcW w:w="946" w:type="dxa"/>
            <w:vAlign w:val="center"/>
          </w:tcPr>
          <w:p w:rsidR="005F1533" w:rsidRDefault="00362536">
            <w:pPr>
              <w:jc w:val="center"/>
            </w:pPr>
            <w:r>
              <w:rPr>
                <w:color w:val="000000"/>
                <w:sz w:val="24"/>
              </w:rPr>
              <w:t>孙超</w:t>
            </w:r>
          </w:p>
        </w:tc>
        <w:tc>
          <w:tcPr>
            <w:tcW w:w="924" w:type="dxa"/>
            <w:vAlign w:val="center"/>
          </w:tcPr>
          <w:p w:rsidR="005F1533" w:rsidRDefault="00362536">
            <w:pPr>
              <w:jc w:val="center"/>
            </w:pPr>
            <w:r>
              <w:rPr>
                <w:color w:val="000000"/>
                <w:sz w:val="24"/>
              </w:rPr>
              <w:t>本基金、交银理财</w:t>
            </w:r>
            <w:r>
              <w:rPr>
                <w:color w:val="000000"/>
                <w:sz w:val="24"/>
              </w:rPr>
              <w:t>60</w:t>
            </w:r>
            <w:r>
              <w:rPr>
                <w:color w:val="000000"/>
                <w:sz w:val="24"/>
              </w:rPr>
              <w:t>天债券、交</w:t>
            </w:r>
            <w:r>
              <w:rPr>
                <w:color w:val="000000"/>
                <w:sz w:val="24"/>
              </w:rPr>
              <w:lastRenderedPageBreak/>
              <w:t>银定期支付月月丰债券、交银强化回报债券、交银丰润收益债券、交银丰享收益债券、交银丰泽收益债券的基金经理</w:t>
            </w:r>
          </w:p>
        </w:tc>
        <w:tc>
          <w:tcPr>
            <w:tcW w:w="1202" w:type="dxa"/>
            <w:vAlign w:val="center"/>
          </w:tcPr>
          <w:p w:rsidR="005F1533" w:rsidRDefault="00362536">
            <w:pPr>
              <w:jc w:val="center"/>
            </w:pPr>
            <w:r>
              <w:rPr>
                <w:color w:val="000000"/>
                <w:sz w:val="24"/>
              </w:rPr>
              <w:lastRenderedPageBreak/>
              <w:t>2014-08-26</w:t>
            </w:r>
          </w:p>
        </w:tc>
        <w:tc>
          <w:tcPr>
            <w:tcW w:w="1300" w:type="dxa"/>
            <w:vAlign w:val="center"/>
          </w:tcPr>
          <w:p w:rsidR="005F1533" w:rsidRDefault="00362536">
            <w:pPr>
              <w:jc w:val="center"/>
            </w:pPr>
            <w:r>
              <w:rPr>
                <w:color w:val="000000"/>
                <w:sz w:val="24"/>
              </w:rPr>
              <w:t>-</w:t>
            </w:r>
          </w:p>
        </w:tc>
        <w:tc>
          <w:tcPr>
            <w:tcW w:w="1245" w:type="dxa"/>
            <w:vAlign w:val="center"/>
          </w:tcPr>
          <w:p w:rsidR="005F1533" w:rsidRDefault="00362536">
            <w:pPr>
              <w:jc w:val="center"/>
            </w:pPr>
            <w:r>
              <w:rPr>
                <w:color w:val="000000"/>
                <w:sz w:val="24"/>
              </w:rPr>
              <w:t>4</w:t>
            </w:r>
            <w:r>
              <w:rPr>
                <w:color w:val="000000"/>
                <w:sz w:val="24"/>
              </w:rPr>
              <w:t>年</w:t>
            </w:r>
          </w:p>
        </w:tc>
        <w:tc>
          <w:tcPr>
            <w:tcW w:w="3251" w:type="dxa"/>
            <w:vAlign w:val="center"/>
          </w:tcPr>
          <w:p w:rsidR="005F1533" w:rsidRDefault="00362536">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5F1533" w:rsidRDefault="003625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5F1533" w:rsidRDefault="003625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w:t>
      </w:r>
      <w:r>
        <w:rPr>
          <w:color w:val="000000"/>
          <w:sz w:val="24"/>
        </w:rPr>
        <w:lastRenderedPageBreak/>
        <w:t>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F1533" w:rsidRDefault="003625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5F1533" w:rsidRDefault="00362536">
      <w:pPr>
        <w:spacing w:before="29" w:line="288" w:lineRule="auto"/>
        <w:ind w:firstLineChars="200" w:firstLine="480"/>
        <w:rPr>
          <w:color w:val="000000"/>
          <w:sz w:val="24"/>
        </w:rPr>
      </w:pPr>
      <w:r>
        <w:rPr>
          <w:color w:val="000000"/>
          <w:sz w:val="24"/>
        </w:rPr>
        <w:t>2015</w:t>
      </w:r>
      <w:r>
        <w:rPr>
          <w:color w:val="000000"/>
          <w:sz w:val="24"/>
        </w:rPr>
        <w:t>年一季度债券市场呈明显的</w:t>
      </w:r>
      <w:r>
        <w:rPr>
          <w:color w:val="000000"/>
          <w:sz w:val="24"/>
        </w:rPr>
        <w:t>V</w:t>
      </w:r>
      <w:r>
        <w:rPr>
          <w:color w:val="000000"/>
          <w:sz w:val="24"/>
        </w:rPr>
        <w:t>型走势，收益率从一月初开始出现明显的下行，其中的背景是经济增速不断减缓，物价水平面临通缩风险，在市场宽松预期下，央行实施全面降准和降息，但随着春节结束，资金面回落成空，货币市场利率持续维持在高位，此外，市场对经济增长的前景看法也出现分歧，而财政部计划实行的债务置换也加大了债券市场的供给压力，债券收益率一路上行，收益率基本回到年初的水平。</w:t>
      </w:r>
    </w:p>
    <w:p w:rsidR="005F1533" w:rsidRDefault="00362536">
      <w:pPr>
        <w:spacing w:before="29" w:line="288" w:lineRule="auto"/>
        <w:ind w:firstLineChars="200" w:firstLine="480"/>
        <w:rPr>
          <w:color w:val="000000"/>
          <w:sz w:val="24"/>
        </w:rPr>
      </w:pPr>
      <w:r>
        <w:rPr>
          <w:color w:val="000000"/>
          <w:sz w:val="24"/>
        </w:rPr>
        <w:t>中债总全价（总值）指数在</w:t>
      </w:r>
      <w:r>
        <w:rPr>
          <w:color w:val="000000"/>
          <w:sz w:val="24"/>
        </w:rPr>
        <w:t>1</w:t>
      </w:r>
      <w:r>
        <w:rPr>
          <w:color w:val="000000"/>
          <w:sz w:val="24"/>
        </w:rPr>
        <w:t>月上涨</w:t>
      </w:r>
      <w:r>
        <w:rPr>
          <w:color w:val="000000"/>
          <w:sz w:val="24"/>
        </w:rPr>
        <w:t>0.78%</w:t>
      </w:r>
      <w:r>
        <w:rPr>
          <w:color w:val="000000"/>
          <w:sz w:val="24"/>
        </w:rPr>
        <w:t>，</w:t>
      </w:r>
      <w:r>
        <w:rPr>
          <w:color w:val="000000"/>
          <w:sz w:val="24"/>
        </w:rPr>
        <w:t>2</w:t>
      </w:r>
      <w:r>
        <w:rPr>
          <w:color w:val="000000"/>
          <w:sz w:val="24"/>
        </w:rPr>
        <w:t>月上涨</w:t>
      </w:r>
      <w:r>
        <w:rPr>
          <w:color w:val="000000"/>
          <w:sz w:val="24"/>
        </w:rPr>
        <w:t>0.67%</w:t>
      </w:r>
      <w:r>
        <w:rPr>
          <w:color w:val="000000"/>
          <w:sz w:val="24"/>
        </w:rPr>
        <w:t>，</w:t>
      </w:r>
      <w:r>
        <w:rPr>
          <w:color w:val="000000"/>
          <w:sz w:val="24"/>
        </w:rPr>
        <w:t>3</w:t>
      </w:r>
      <w:r>
        <w:rPr>
          <w:color w:val="000000"/>
          <w:sz w:val="24"/>
        </w:rPr>
        <w:t>月下跌</w:t>
      </w:r>
      <w:r>
        <w:rPr>
          <w:color w:val="000000"/>
          <w:sz w:val="24"/>
        </w:rPr>
        <w:t>1.99%</w:t>
      </w:r>
      <w:r>
        <w:rPr>
          <w:color w:val="000000"/>
          <w:sz w:val="24"/>
        </w:rPr>
        <w:t>。本基金在市场出现调整时及时缩短久期，净值表现跑赢指数。</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经过一季度调整，债市安全边际有所提升。短期来看，更多的地方政府债务置换带来的供给压力和股市行情可能会对债市形成一定的压制，但股和债的风险收益比可能也会动态调整，经济形势最终可能仍会倒逼货币政策加大放松，基本面和政策面均有望对债市的中期走势形成强有力支撑。本基金密切关注纯债的波动性交易机会，谨防信用风险。</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w:t>
      </w:r>
      <w:bookmarkStart w:id="0" w:name="_GoBack"/>
      <w:r w:rsidR="00AE2602">
        <w:rPr>
          <w:rFonts w:hint="eastAsia"/>
          <w:color w:val="000000"/>
          <w:sz w:val="24"/>
        </w:rPr>
        <w:t>为</w:t>
      </w:r>
      <w:bookmarkEnd w:id="0"/>
      <w:r w:rsidRPr="007F52FA">
        <w:rPr>
          <w:color w:val="000000"/>
          <w:sz w:val="24"/>
        </w:rPr>
        <w:t>1.047</w:t>
      </w:r>
      <w:r w:rsidRPr="007F52FA">
        <w:rPr>
          <w:color w:val="000000"/>
          <w:sz w:val="24"/>
        </w:rPr>
        <w:t>元，本报告期份额净值增长率为</w:t>
      </w:r>
      <w:r w:rsidRPr="007F52FA">
        <w:rPr>
          <w:color w:val="000000"/>
          <w:sz w:val="24"/>
        </w:rPr>
        <w:t>1.05%</w:t>
      </w:r>
      <w:r w:rsidRPr="007F52FA">
        <w:rPr>
          <w:color w:val="000000"/>
          <w:sz w:val="24"/>
        </w:rPr>
        <w:t>，同期业绩比较基准增长率为</w:t>
      </w:r>
      <w:r w:rsidRPr="007F52FA">
        <w:rPr>
          <w:color w:val="000000"/>
          <w:sz w:val="24"/>
        </w:rPr>
        <w:t>-0.15%</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1.040</w:t>
      </w:r>
      <w:r w:rsidRPr="007F52FA">
        <w:rPr>
          <w:color w:val="000000"/>
          <w:sz w:val="24"/>
        </w:rPr>
        <w:t>元，本报告期份额净值增长率为</w:t>
      </w:r>
      <w:r w:rsidRPr="007F52FA">
        <w:rPr>
          <w:color w:val="000000"/>
          <w:sz w:val="24"/>
        </w:rPr>
        <w:t>0.96%</w:t>
      </w:r>
      <w:r w:rsidRPr="007F52FA">
        <w:rPr>
          <w:color w:val="000000"/>
          <w:sz w:val="24"/>
        </w:rPr>
        <w:t>，同期业绩比较基准增长率为</w:t>
      </w:r>
      <w:r w:rsidRPr="007F52FA">
        <w:rPr>
          <w:color w:val="000000"/>
          <w:sz w:val="24"/>
        </w:rPr>
        <w:t>-0.15%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362536" w:rsidRDefault="00400FA6" w:rsidP="007C14DF">
      <w:pPr>
        <w:spacing w:before="29" w:line="288" w:lineRule="auto"/>
        <w:ind w:firstLineChars="200" w:firstLine="480"/>
        <w:rPr>
          <w:color w:val="000000"/>
          <w:sz w:val="24"/>
        </w:rPr>
      </w:pPr>
    </w:p>
    <w:p w:rsidR="009238DB" w:rsidRPr="007F52FA" w:rsidRDefault="00FF5FC7" w:rsidP="00CA690A">
      <w:pPr>
        <w:pStyle w:val="1"/>
        <w:tabs>
          <w:tab w:val="center" w:pos="4410"/>
        </w:tabs>
        <w:spacing w:beforeLines="100" w:afterLines="100"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269,786,670.70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269,786,670.70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92.08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4,312,813.62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18,898,281.21</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6.45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292,997,765.53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20,856,362.00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20,856,362.00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lastRenderedPageBreak/>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180,044,708.70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103.74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68,885,600.00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39.69</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269,786,670.70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155.45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5F1533">
        <w:trPr>
          <w:jc w:val="center"/>
        </w:trPr>
        <w:tc>
          <w:tcPr>
            <w:tcW w:w="1075" w:type="dxa"/>
            <w:vAlign w:val="center"/>
          </w:tcPr>
          <w:p w:rsidR="005F1533" w:rsidRDefault="00362536">
            <w:pPr>
              <w:jc w:val="center"/>
            </w:pPr>
            <w:r>
              <w:rPr>
                <w:color w:val="000000"/>
                <w:sz w:val="24"/>
              </w:rPr>
              <w:t>1</w:t>
            </w:r>
          </w:p>
        </w:tc>
        <w:tc>
          <w:tcPr>
            <w:tcW w:w="1533" w:type="dxa"/>
            <w:vAlign w:val="center"/>
          </w:tcPr>
          <w:p w:rsidR="005F1533" w:rsidRDefault="00362536">
            <w:pPr>
              <w:jc w:val="center"/>
            </w:pPr>
            <w:r>
              <w:rPr>
                <w:color w:val="000000"/>
                <w:sz w:val="24"/>
              </w:rPr>
              <w:t>112196</w:t>
            </w:r>
          </w:p>
        </w:tc>
        <w:tc>
          <w:tcPr>
            <w:tcW w:w="1533" w:type="dxa"/>
            <w:vAlign w:val="center"/>
          </w:tcPr>
          <w:p w:rsidR="005F1533" w:rsidRDefault="00362536">
            <w:pPr>
              <w:jc w:val="center"/>
            </w:pPr>
            <w:r>
              <w:rPr>
                <w:color w:val="000000"/>
                <w:sz w:val="24"/>
              </w:rPr>
              <w:t>13</w:t>
            </w:r>
            <w:r>
              <w:rPr>
                <w:color w:val="000000"/>
                <w:sz w:val="24"/>
              </w:rPr>
              <w:t>苏宁债</w:t>
            </w:r>
          </w:p>
        </w:tc>
        <w:tc>
          <w:tcPr>
            <w:tcW w:w="1394" w:type="dxa"/>
            <w:vAlign w:val="center"/>
          </w:tcPr>
          <w:p w:rsidR="005F1533" w:rsidRDefault="00362536">
            <w:pPr>
              <w:jc w:val="right"/>
            </w:pPr>
            <w:r>
              <w:rPr>
                <w:color w:val="000000"/>
                <w:sz w:val="24"/>
              </w:rPr>
              <w:t>300,000</w:t>
            </w:r>
          </w:p>
        </w:tc>
        <w:tc>
          <w:tcPr>
            <w:tcW w:w="1944" w:type="dxa"/>
            <w:vAlign w:val="center"/>
          </w:tcPr>
          <w:p w:rsidR="005F1533" w:rsidRDefault="00362536">
            <w:pPr>
              <w:jc w:val="right"/>
            </w:pPr>
            <w:r>
              <w:rPr>
                <w:color w:val="000000"/>
                <w:sz w:val="24"/>
              </w:rPr>
              <w:t>30,900,000.00</w:t>
            </w:r>
          </w:p>
        </w:tc>
        <w:tc>
          <w:tcPr>
            <w:tcW w:w="1389" w:type="dxa"/>
            <w:vAlign w:val="center"/>
          </w:tcPr>
          <w:p w:rsidR="005F1533" w:rsidRDefault="00362536">
            <w:pPr>
              <w:jc w:val="right"/>
            </w:pPr>
            <w:r>
              <w:rPr>
                <w:color w:val="000000"/>
                <w:sz w:val="24"/>
              </w:rPr>
              <w:t>17.80</w:t>
            </w:r>
          </w:p>
        </w:tc>
      </w:tr>
      <w:tr w:rsidR="005F1533">
        <w:trPr>
          <w:jc w:val="center"/>
        </w:trPr>
        <w:tc>
          <w:tcPr>
            <w:tcW w:w="1075" w:type="dxa"/>
            <w:vAlign w:val="center"/>
          </w:tcPr>
          <w:p w:rsidR="005F1533" w:rsidRDefault="00362536">
            <w:pPr>
              <w:jc w:val="center"/>
            </w:pPr>
            <w:r>
              <w:rPr>
                <w:color w:val="000000"/>
                <w:sz w:val="24"/>
              </w:rPr>
              <w:t>2</w:t>
            </w:r>
          </w:p>
        </w:tc>
        <w:tc>
          <w:tcPr>
            <w:tcW w:w="1533" w:type="dxa"/>
            <w:vAlign w:val="center"/>
          </w:tcPr>
          <w:p w:rsidR="005F1533" w:rsidRDefault="00362536">
            <w:pPr>
              <w:jc w:val="center"/>
            </w:pPr>
            <w:r>
              <w:rPr>
                <w:color w:val="000000"/>
                <w:sz w:val="24"/>
              </w:rPr>
              <w:t>122259</w:t>
            </w:r>
          </w:p>
        </w:tc>
        <w:tc>
          <w:tcPr>
            <w:tcW w:w="1533" w:type="dxa"/>
            <w:vAlign w:val="center"/>
          </w:tcPr>
          <w:p w:rsidR="005F1533" w:rsidRDefault="00362536">
            <w:pPr>
              <w:jc w:val="center"/>
            </w:pPr>
            <w:r>
              <w:rPr>
                <w:color w:val="000000"/>
                <w:sz w:val="24"/>
              </w:rPr>
              <w:t>13</w:t>
            </w:r>
            <w:r>
              <w:rPr>
                <w:color w:val="000000"/>
                <w:sz w:val="24"/>
              </w:rPr>
              <w:t>中信</w:t>
            </w:r>
            <w:r>
              <w:rPr>
                <w:color w:val="000000"/>
                <w:sz w:val="24"/>
              </w:rPr>
              <w:t>01</w:t>
            </w:r>
          </w:p>
        </w:tc>
        <w:tc>
          <w:tcPr>
            <w:tcW w:w="1394" w:type="dxa"/>
            <w:vAlign w:val="center"/>
          </w:tcPr>
          <w:p w:rsidR="005F1533" w:rsidRDefault="00362536">
            <w:pPr>
              <w:jc w:val="right"/>
            </w:pPr>
            <w:r>
              <w:rPr>
                <w:color w:val="000000"/>
                <w:sz w:val="24"/>
              </w:rPr>
              <w:t>300,000</w:t>
            </w:r>
          </w:p>
        </w:tc>
        <w:tc>
          <w:tcPr>
            <w:tcW w:w="1944" w:type="dxa"/>
            <w:vAlign w:val="center"/>
          </w:tcPr>
          <w:p w:rsidR="005F1533" w:rsidRDefault="00362536">
            <w:pPr>
              <w:jc w:val="right"/>
            </w:pPr>
            <w:r>
              <w:rPr>
                <w:color w:val="000000"/>
                <w:sz w:val="24"/>
              </w:rPr>
              <w:t>30,135,000.00</w:t>
            </w:r>
          </w:p>
        </w:tc>
        <w:tc>
          <w:tcPr>
            <w:tcW w:w="1389" w:type="dxa"/>
            <w:vAlign w:val="center"/>
          </w:tcPr>
          <w:p w:rsidR="005F1533" w:rsidRDefault="00362536">
            <w:pPr>
              <w:jc w:val="right"/>
            </w:pPr>
            <w:r>
              <w:rPr>
                <w:color w:val="000000"/>
                <w:sz w:val="24"/>
              </w:rPr>
              <w:t>17.36</w:t>
            </w:r>
          </w:p>
        </w:tc>
      </w:tr>
      <w:tr w:rsidR="005F1533">
        <w:trPr>
          <w:jc w:val="center"/>
        </w:trPr>
        <w:tc>
          <w:tcPr>
            <w:tcW w:w="1075" w:type="dxa"/>
            <w:vAlign w:val="center"/>
          </w:tcPr>
          <w:p w:rsidR="005F1533" w:rsidRDefault="00362536">
            <w:pPr>
              <w:jc w:val="center"/>
            </w:pPr>
            <w:r>
              <w:rPr>
                <w:color w:val="000000"/>
                <w:sz w:val="24"/>
              </w:rPr>
              <w:t>3</w:t>
            </w:r>
          </w:p>
        </w:tc>
        <w:tc>
          <w:tcPr>
            <w:tcW w:w="1533" w:type="dxa"/>
            <w:vAlign w:val="center"/>
          </w:tcPr>
          <w:p w:rsidR="005F1533" w:rsidRDefault="00362536">
            <w:pPr>
              <w:jc w:val="center"/>
            </w:pPr>
            <w:r>
              <w:rPr>
                <w:color w:val="000000"/>
                <w:sz w:val="24"/>
              </w:rPr>
              <w:t>1380149</w:t>
            </w:r>
          </w:p>
        </w:tc>
        <w:tc>
          <w:tcPr>
            <w:tcW w:w="1533" w:type="dxa"/>
            <w:vAlign w:val="center"/>
          </w:tcPr>
          <w:p w:rsidR="005F1533" w:rsidRDefault="00362536">
            <w:pPr>
              <w:jc w:val="center"/>
            </w:pPr>
            <w:r>
              <w:rPr>
                <w:color w:val="000000"/>
                <w:sz w:val="24"/>
              </w:rPr>
              <w:t>13</w:t>
            </w:r>
            <w:r>
              <w:rPr>
                <w:color w:val="000000"/>
                <w:sz w:val="24"/>
              </w:rPr>
              <w:t>营经开债</w:t>
            </w:r>
          </w:p>
        </w:tc>
        <w:tc>
          <w:tcPr>
            <w:tcW w:w="1394" w:type="dxa"/>
            <w:vAlign w:val="center"/>
          </w:tcPr>
          <w:p w:rsidR="005F1533" w:rsidRDefault="00362536">
            <w:pPr>
              <w:jc w:val="right"/>
            </w:pPr>
            <w:r>
              <w:rPr>
                <w:color w:val="000000"/>
                <w:sz w:val="24"/>
              </w:rPr>
              <w:t>200,000</w:t>
            </w:r>
          </w:p>
        </w:tc>
        <w:tc>
          <w:tcPr>
            <w:tcW w:w="1944" w:type="dxa"/>
            <w:vAlign w:val="center"/>
          </w:tcPr>
          <w:p w:rsidR="005F1533" w:rsidRDefault="00362536">
            <w:pPr>
              <w:jc w:val="right"/>
            </w:pPr>
            <w:r>
              <w:rPr>
                <w:color w:val="000000"/>
                <w:sz w:val="24"/>
              </w:rPr>
              <w:t>20,350,000.00</w:t>
            </w:r>
          </w:p>
        </w:tc>
        <w:tc>
          <w:tcPr>
            <w:tcW w:w="1389" w:type="dxa"/>
            <w:vAlign w:val="center"/>
          </w:tcPr>
          <w:p w:rsidR="005F1533" w:rsidRDefault="00362536">
            <w:pPr>
              <w:jc w:val="right"/>
            </w:pPr>
            <w:r>
              <w:rPr>
                <w:color w:val="000000"/>
                <w:sz w:val="24"/>
              </w:rPr>
              <w:t>11.73</w:t>
            </w:r>
          </w:p>
        </w:tc>
      </w:tr>
      <w:tr w:rsidR="005F1533">
        <w:trPr>
          <w:jc w:val="center"/>
        </w:trPr>
        <w:tc>
          <w:tcPr>
            <w:tcW w:w="1075" w:type="dxa"/>
            <w:vAlign w:val="center"/>
          </w:tcPr>
          <w:p w:rsidR="005F1533" w:rsidRDefault="00362536">
            <w:pPr>
              <w:jc w:val="center"/>
            </w:pPr>
            <w:r>
              <w:rPr>
                <w:color w:val="000000"/>
                <w:sz w:val="24"/>
              </w:rPr>
              <w:t>4</w:t>
            </w:r>
          </w:p>
        </w:tc>
        <w:tc>
          <w:tcPr>
            <w:tcW w:w="1533" w:type="dxa"/>
            <w:vAlign w:val="center"/>
          </w:tcPr>
          <w:p w:rsidR="005F1533" w:rsidRDefault="00362536">
            <w:pPr>
              <w:jc w:val="center"/>
            </w:pPr>
            <w:r>
              <w:rPr>
                <w:color w:val="000000"/>
                <w:sz w:val="24"/>
              </w:rPr>
              <w:t>1182110</w:t>
            </w:r>
          </w:p>
        </w:tc>
        <w:tc>
          <w:tcPr>
            <w:tcW w:w="1533" w:type="dxa"/>
            <w:vAlign w:val="center"/>
          </w:tcPr>
          <w:p w:rsidR="005F1533" w:rsidRDefault="00362536">
            <w:pPr>
              <w:jc w:val="center"/>
            </w:pPr>
            <w:r>
              <w:rPr>
                <w:color w:val="000000"/>
                <w:sz w:val="24"/>
              </w:rPr>
              <w:t>11</w:t>
            </w:r>
            <w:r>
              <w:rPr>
                <w:color w:val="000000"/>
                <w:sz w:val="24"/>
              </w:rPr>
              <w:t>北国资</w:t>
            </w:r>
            <w:r>
              <w:rPr>
                <w:color w:val="000000"/>
                <w:sz w:val="24"/>
              </w:rPr>
              <w:t>MTN1</w:t>
            </w:r>
          </w:p>
        </w:tc>
        <w:tc>
          <w:tcPr>
            <w:tcW w:w="1394" w:type="dxa"/>
            <w:vAlign w:val="center"/>
          </w:tcPr>
          <w:p w:rsidR="005F1533" w:rsidRDefault="00362536">
            <w:pPr>
              <w:jc w:val="right"/>
            </w:pPr>
            <w:r>
              <w:rPr>
                <w:color w:val="000000"/>
                <w:sz w:val="24"/>
              </w:rPr>
              <w:t>200,000</w:t>
            </w:r>
          </w:p>
        </w:tc>
        <w:tc>
          <w:tcPr>
            <w:tcW w:w="1944" w:type="dxa"/>
            <w:vAlign w:val="center"/>
          </w:tcPr>
          <w:p w:rsidR="005F1533" w:rsidRDefault="00362536">
            <w:pPr>
              <w:jc w:val="right"/>
            </w:pPr>
            <w:r>
              <w:rPr>
                <w:color w:val="000000"/>
                <w:sz w:val="24"/>
              </w:rPr>
              <w:t>20,272,000.00</w:t>
            </w:r>
          </w:p>
        </w:tc>
        <w:tc>
          <w:tcPr>
            <w:tcW w:w="1389" w:type="dxa"/>
            <w:vAlign w:val="center"/>
          </w:tcPr>
          <w:p w:rsidR="005F1533" w:rsidRDefault="00362536">
            <w:pPr>
              <w:jc w:val="right"/>
            </w:pPr>
            <w:r>
              <w:rPr>
                <w:color w:val="000000"/>
                <w:sz w:val="24"/>
              </w:rPr>
              <w:t>11.68</w:t>
            </w:r>
          </w:p>
        </w:tc>
      </w:tr>
      <w:tr w:rsidR="005F1533">
        <w:trPr>
          <w:jc w:val="center"/>
        </w:trPr>
        <w:tc>
          <w:tcPr>
            <w:tcW w:w="1075" w:type="dxa"/>
            <w:vAlign w:val="center"/>
          </w:tcPr>
          <w:p w:rsidR="005F1533" w:rsidRDefault="00362536">
            <w:pPr>
              <w:jc w:val="center"/>
            </w:pPr>
            <w:r>
              <w:rPr>
                <w:color w:val="000000"/>
                <w:sz w:val="24"/>
              </w:rPr>
              <w:t>5</w:t>
            </w:r>
          </w:p>
        </w:tc>
        <w:tc>
          <w:tcPr>
            <w:tcW w:w="1533" w:type="dxa"/>
            <w:vAlign w:val="center"/>
          </w:tcPr>
          <w:p w:rsidR="005F1533" w:rsidRDefault="00362536">
            <w:pPr>
              <w:jc w:val="center"/>
            </w:pPr>
            <w:r>
              <w:rPr>
                <w:color w:val="000000"/>
                <w:sz w:val="24"/>
              </w:rPr>
              <w:t>140357</w:t>
            </w:r>
          </w:p>
        </w:tc>
        <w:tc>
          <w:tcPr>
            <w:tcW w:w="1533" w:type="dxa"/>
            <w:vAlign w:val="center"/>
          </w:tcPr>
          <w:p w:rsidR="005F1533" w:rsidRDefault="00362536">
            <w:pPr>
              <w:jc w:val="center"/>
            </w:pPr>
            <w:r>
              <w:rPr>
                <w:color w:val="000000"/>
                <w:sz w:val="24"/>
              </w:rPr>
              <w:t>14</w:t>
            </w:r>
            <w:r>
              <w:rPr>
                <w:color w:val="000000"/>
                <w:sz w:val="24"/>
              </w:rPr>
              <w:t>进出</w:t>
            </w:r>
            <w:r>
              <w:rPr>
                <w:color w:val="000000"/>
                <w:sz w:val="24"/>
              </w:rPr>
              <w:t>57</w:t>
            </w:r>
          </w:p>
        </w:tc>
        <w:tc>
          <w:tcPr>
            <w:tcW w:w="1394" w:type="dxa"/>
            <w:vAlign w:val="center"/>
          </w:tcPr>
          <w:p w:rsidR="005F1533" w:rsidRDefault="00362536">
            <w:pPr>
              <w:jc w:val="right"/>
            </w:pPr>
            <w:r>
              <w:rPr>
                <w:color w:val="000000"/>
                <w:sz w:val="24"/>
              </w:rPr>
              <w:t>200,000</w:t>
            </w:r>
          </w:p>
        </w:tc>
        <w:tc>
          <w:tcPr>
            <w:tcW w:w="1944" w:type="dxa"/>
            <w:vAlign w:val="center"/>
          </w:tcPr>
          <w:p w:rsidR="005F1533" w:rsidRDefault="00362536">
            <w:pPr>
              <w:jc w:val="right"/>
            </w:pPr>
            <w:r>
              <w:rPr>
                <w:color w:val="000000"/>
                <w:sz w:val="24"/>
              </w:rPr>
              <w:t>20,014,000.00</w:t>
            </w:r>
          </w:p>
        </w:tc>
        <w:tc>
          <w:tcPr>
            <w:tcW w:w="1389" w:type="dxa"/>
            <w:vAlign w:val="center"/>
          </w:tcPr>
          <w:p w:rsidR="005F1533" w:rsidRDefault="00362536">
            <w:pPr>
              <w:jc w:val="right"/>
            </w:pPr>
            <w:r>
              <w:rPr>
                <w:color w:val="000000"/>
                <w:sz w:val="24"/>
              </w:rPr>
              <w:t>11.53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362536">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lastRenderedPageBreak/>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报告期内本基金投资的前十名证券的发行主体除</w:t>
      </w:r>
      <w:r w:rsidRPr="00384E65">
        <w:rPr>
          <w:kern w:val="0"/>
          <w:sz w:val="24"/>
        </w:rPr>
        <w:t>13</w:t>
      </w:r>
      <w:r w:rsidRPr="00384E65">
        <w:rPr>
          <w:kern w:val="0"/>
          <w:sz w:val="24"/>
        </w:rPr>
        <w:t>中信</w:t>
      </w:r>
      <w:r w:rsidRPr="00384E65">
        <w:rPr>
          <w:kern w:val="0"/>
          <w:sz w:val="24"/>
        </w:rPr>
        <w:t>01</w:t>
      </w:r>
      <w:r w:rsidRPr="00384E65">
        <w:rPr>
          <w:kern w:val="0"/>
          <w:sz w:val="24"/>
        </w:rPr>
        <w:t>（证券代码：</w:t>
      </w:r>
      <w:r w:rsidRPr="00384E65">
        <w:rPr>
          <w:kern w:val="0"/>
          <w:sz w:val="24"/>
        </w:rPr>
        <w:t>122259</w:t>
      </w:r>
      <w:r w:rsidRPr="00384E65">
        <w:rPr>
          <w:kern w:val="0"/>
          <w:sz w:val="24"/>
        </w:rPr>
        <w:t>）外，未出现被监管部门立案调查，或在报告编制日前一年内受到公开谴责、处罚的情形。</w:t>
      </w:r>
    </w:p>
    <w:p w:rsidR="005F1533" w:rsidRDefault="00362536">
      <w:pPr>
        <w:autoSpaceDE w:val="0"/>
        <w:autoSpaceDN w:val="0"/>
        <w:adjustRightInd w:val="0"/>
        <w:spacing w:before="29" w:line="288" w:lineRule="auto"/>
        <w:rPr>
          <w:kern w:val="0"/>
          <w:sz w:val="24"/>
        </w:rPr>
      </w:pPr>
      <w:r>
        <w:rPr>
          <w:kern w:val="0"/>
          <w:sz w:val="24"/>
        </w:rPr>
        <w:t>报告期内本基金投资的前十名证券之一</w:t>
      </w:r>
      <w:r>
        <w:rPr>
          <w:kern w:val="0"/>
          <w:sz w:val="24"/>
        </w:rPr>
        <w:t>13</w:t>
      </w:r>
      <w:r>
        <w:rPr>
          <w:kern w:val="0"/>
          <w:sz w:val="24"/>
        </w:rPr>
        <w:t>中信</w:t>
      </w:r>
      <w:r>
        <w:rPr>
          <w:kern w:val="0"/>
          <w:sz w:val="24"/>
        </w:rPr>
        <w:t>01</w:t>
      </w:r>
      <w:r>
        <w:rPr>
          <w:kern w:val="0"/>
          <w:sz w:val="24"/>
        </w:rPr>
        <w:t>（证券代码：</w:t>
      </w:r>
      <w:r>
        <w:rPr>
          <w:kern w:val="0"/>
          <w:sz w:val="24"/>
        </w:rPr>
        <w:t>122259</w:t>
      </w:r>
      <w:r>
        <w:rPr>
          <w:kern w:val="0"/>
          <w:sz w:val="24"/>
        </w:rPr>
        <w:t>）的发行主体中信证券于</w:t>
      </w:r>
      <w:r>
        <w:rPr>
          <w:kern w:val="0"/>
          <w:sz w:val="24"/>
        </w:rPr>
        <w:t>2015</w:t>
      </w:r>
      <w:r>
        <w:rPr>
          <w:kern w:val="0"/>
          <w:sz w:val="24"/>
        </w:rPr>
        <w:t>年</w:t>
      </w:r>
      <w:r>
        <w:rPr>
          <w:kern w:val="0"/>
          <w:sz w:val="24"/>
        </w:rPr>
        <w:t>1</w:t>
      </w:r>
      <w:r>
        <w:rPr>
          <w:kern w:val="0"/>
          <w:sz w:val="24"/>
        </w:rPr>
        <w:t>月</w:t>
      </w:r>
      <w:r>
        <w:rPr>
          <w:kern w:val="0"/>
          <w:sz w:val="24"/>
        </w:rPr>
        <w:t>18</w:t>
      </w:r>
      <w:r>
        <w:rPr>
          <w:kern w:val="0"/>
          <w:sz w:val="24"/>
        </w:rPr>
        <w:t>日公告称，公司因存在为到期融资融券合约展期的问题，被中国证监会采取暂停新开融资融券客户信用账户</w:t>
      </w:r>
      <w:r>
        <w:rPr>
          <w:kern w:val="0"/>
          <w:sz w:val="24"/>
        </w:rPr>
        <w:t>3</w:t>
      </w:r>
      <w:r>
        <w:rPr>
          <w:kern w:val="0"/>
          <w:sz w:val="24"/>
        </w:rPr>
        <w:t>个月的行政监管措施。</w:t>
      </w:r>
    </w:p>
    <w:p w:rsidR="005F1533" w:rsidRDefault="00362536">
      <w:pPr>
        <w:autoSpaceDE w:val="0"/>
        <w:autoSpaceDN w:val="0"/>
        <w:adjustRightInd w:val="0"/>
        <w:spacing w:before="29" w:line="288" w:lineRule="auto"/>
        <w:rPr>
          <w:kern w:val="0"/>
          <w:sz w:val="24"/>
        </w:rPr>
      </w:pPr>
      <w:r>
        <w:rPr>
          <w:kern w:val="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92,767.27</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10,134,783.02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7,865,363.36</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805,367.56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18,898,281.21</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lastRenderedPageBreak/>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CA690A">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160,413,747.00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71,845,444.24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499,641.70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143,363,158.10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55,382,269.92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154,515,729.34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105,531,118.78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60,692,873.00</w:t>
            </w:r>
          </w:p>
        </w:tc>
      </w:tr>
    </w:tbl>
    <w:p w:rsidR="005F1533" w:rsidRDefault="003625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CA690A">
      <w:pPr>
        <w:pStyle w:val="1"/>
        <w:tabs>
          <w:tab w:val="center" w:pos="4156"/>
          <w:tab w:val="right" w:pos="8312"/>
        </w:tabs>
        <w:spacing w:beforeLines="100" w:afterLines="100"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CA690A">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CA690A">
      <w:pPr>
        <w:pStyle w:val="1"/>
        <w:spacing w:beforeLines="100" w:afterLines="100" w:line="288" w:lineRule="auto"/>
        <w:jc w:val="center"/>
        <w:rPr>
          <w:rFonts w:eastAsiaTheme="minorEastAsia"/>
          <w:color w:val="000000"/>
          <w:kern w:val="0"/>
          <w:sz w:val="24"/>
          <w:szCs w:val="24"/>
        </w:rPr>
      </w:pPr>
      <w:r w:rsidRPr="007F52FA">
        <w:rPr>
          <w:rFonts w:eastAsiaTheme="minorEastAsia"/>
          <w:color w:val="000000"/>
          <w:kern w:val="0"/>
          <w:sz w:val="24"/>
          <w:szCs w:val="24"/>
        </w:rPr>
        <w:lastRenderedPageBreak/>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5F1533" w:rsidRDefault="0036253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4"/>
      <w:pgSz w:w="11906" w:h="16838"/>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997" w:rsidRDefault="00AA0997">
      <w:r>
        <w:separator/>
      </w:r>
    </w:p>
  </w:endnote>
  <w:endnote w:type="continuationSeparator" w:id="0">
    <w:p w:rsidR="00AA0997" w:rsidRDefault="00AA09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D029CC">
      <w:rPr>
        <w:kern w:val="0"/>
        <w:szCs w:val="21"/>
      </w:rPr>
      <w:fldChar w:fldCharType="begin"/>
    </w:r>
    <w:r>
      <w:rPr>
        <w:kern w:val="0"/>
        <w:szCs w:val="21"/>
      </w:rPr>
      <w:instrText xml:space="preserve"> PAGE </w:instrText>
    </w:r>
    <w:r w:rsidR="00D029CC">
      <w:rPr>
        <w:kern w:val="0"/>
        <w:szCs w:val="21"/>
      </w:rPr>
      <w:fldChar w:fldCharType="separate"/>
    </w:r>
    <w:r w:rsidR="00CA690A">
      <w:rPr>
        <w:noProof/>
        <w:kern w:val="0"/>
        <w:szCs w:val="21"/>
      </w:rPr>
      <w:t>5</w:t>
    </w:r>
    <w:r w:rsidR="00D029CC">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D029CC">
      <w:rPr>
        <w:kern w:val="0"/>
        <w:szCs w:val="21"/>
      </w:rPr>
      <w:fldChar w:fldCharType="begin"/>
    </w:r>
    <w:r>
      <w:rPr>
        <w:kern w:val="0"/>
        <w:szCs w:val="21"/>
      </w:rPr>
      <w:instrText xml:space="preserve"> NUMPAGES </w:instrText>
    </w:r>
    <w:r w:rsidR="00D029CC">
      <w:rPr>
        <w:kern w:val="0"/>
        <w:szCs w:val="21"/>
      </w:rPr>
      <w:fldChar w:fldCharType="separate"/>
    </w:r>
    <w:r w:rsidR="00CA690A">
      <w:rPr>
        <w:noProof/>
        <w:kern w:val="0"/>
        <w:szCs w:val="21"/>
      </w:rPr>
      <w:t>13</w:t>
    </w:r>
    <w:r w:rsidR="00D029CC">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Default="00D029CC">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997" w:rsidRDefault="00AA0997">
      <w:r>
        <w:separator/>
      </w:r>
    </w:p>
  </w:footnote>
  <w:footnote w:type="continuationSeparator" w:id="0">
    <w:p w:rsidR="00AA0997" w:rsidRDefault="00AA099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1122" w:rsidRPr="002567DB" w:rsidRDefault="00D029C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hdrShapeDefaults>
    <o:shapedefaults v:ext="edit" spidmax="6146"/>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0D5D"/>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2536"/>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32A9"/>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1533"/>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5F75"/>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56634"/>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8FD"/>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997"/>
    <w:rsid w:val="00AA0CE8"/>
    <w:rsid w:val="00AA35FD"/>
    <w:rsid w:val="00AA3DB7"/>
    <w:rsid w:val="00AA5F63"/>
    <w:rsid w:val="00AA7EBD"/>
    <w:rsid w:val="00AB69EF"/>
    <w:rsid w:val="00AC06D3"/>
    <w:rsid w:val="00AC11DC"/>
    <w:rsid w:val="00AC3E87"/>
    <w:rsid w:val="00AC469F"/>
    <w:rsid w:val="00AC4761"/>
    <w:rsid w:val="00AD0185"/>
    <w:rsid w:val="00AD0611"/>
    <w:rsid w:val="00AD0E4F"/>
    <w:rsid w:val="00AD26D7"/>
    <w:rsid w:val="00AD3905"/>
    <w:rsid w:val="00AD4555"/>
    <w:rsid w:val="00AD4A31"/>
    <w:rsid w:val="00AD515B"/>
    <w:rsid w:val="00AD5638"/>
    <w:rsid w:val="00AD7214"/>
    <w:rsid w:val="00AE1066"/>
    <w:rsid w:val="00AE12A4"/>
    <w:rsid w:val="00AE2602"/>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A690A"/>
    <w:rsid w:val="00CB046E"/>
    <w:rsid w:val="00CB142D"/>
    <w:rsid w:val="00CB29F6"/>
    <w:rsid w:val="00CB2BBF"/>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29CC"/>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Normal Indent" w:uiPriority="9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r="http://schemas.openxmlformats.org/officeDocument/2006/relationships" xmlns:w="http://schemas.openxmlformats.org/wordprocessingml/2006/main">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cid:image012.png@01D0792B.0F090B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4.png@01D0792B.0F090B7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014713-A00B-40C7-960E-F997DF2C4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160</TotalTime>
  <Pages>13</Pages>
  <Words>1079</Words>
  <Characters>6153</Characters>
  <Application>Microsoft Office Word</Application>
  <DocSecurity>0</DocSecurity>
  <Lines>51</Lines>
  <Paragraphs>14</Paragraphs>
  <ScaleCrop>false</ScaleCrop>
  <Company>TRT. Ltd. Co.</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史驰昊</cp:lastModifiedBy>
  <cp:revision>360</cp:revision>
  <cp:lastPrinted>2007-07-19T00:46:00Z</cp:lastPrinted>
  <dcterms:created xsi:type="dcterms:W3CDTF">2014-01-17T06:19:00Z</dcterms:created>
  <dcterms:modified xsi:type="dcterms:W3CDTF">2015-04-22T05:34:00Z</dcterms:modified>
</cp:coreProperties>
</file>