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1AC" w:rsidRPr="00414345"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交银施罗德成长</w:t>
      </w:r>
      <w:r w:rsidRPr="0081286B">
        <w:rPr>
          <w:b/>
          <w:sz w:val="36"/>
          <w:szCs w:val="36"/>
        </w:rPr>
        <w:t>30</w:t>
      </w:r>
      <w:r w:rsidRPr="0081286B">
        <w:rPr>
          <w:b/>
          <w:sz w:val="36"/>
          <w:szCs w:val="36"/>
        </w:rPr>
        <w:t>股票型证券投资基金</w:t>
      </w:r>
    </w:p>
    <w:p w:rsidR="002279D3" w:rsidRPr="0081286B" w:rsidRDefault="002279D3" w:rsidP="00C15CAC">
      <w:pPr>
        <w:spacing w:before="29" w:line="288" w:lineRule="auto"/>
        <w:jc w:val="center"/>
        <w:rPr>
          <w:b/>
          <w:sz w:val="36"/>
          <w:szCs w:val="36"/>
        </w:rPr>
      </w:pPr>
      <w:r w:rsidRPr="0081286B">
        <w:rPr>
          <w:b/>
          <w:sz w:val="36"/>
          <w:szCs w:val="36"/>
        </w:rPr>
        <w:t>2015</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2015</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二〇一五年四月二十一日</w:t>
      </w:r>
    </w:p>
    <w:p w:rsidR="004061AC" w:rsidRPr="00414345" w:rsidRDefault="004061AC" w:rsidP="006F64DD">
      <w:pPr>
        <w:pStyle w:val="1"/>
        <w:spacing w:beforeLines="100" w:after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4058A5" w:rsidRDefault="00937ED0">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4058A5" w:rsidRDefault="00937ED0">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2015</w:t>
      </w:r>
      <w:r>
        <w:rPr>
          <w:color w:val="000000"/>
          <w:sz w:val="24"/>
          <w:szCs w:val="24"/>
        </w:rPr>
        <w:t>年</w:t>
      </w:r>
      <w:r>
        <w:rPr>
          <w:color w:val="000000"/>
          <w:sz w:val="24"/>
          <w:szCs w:val="24"/>
        </w:rPr>
        <w:t>4</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4058A5" w:rsidRDefault="00937ED0">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4058A5" w:rsidRDefault="00937ED0">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4058A5" w:rsidRDefault="00937ED0">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2015</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6F64DD">
      <w:pPr>
        <w:pStyle w:val="1"/>
        <w:spacing w:beforeLines="100" w:after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交银成长</w:t>
            </w:r>
            <w:r w:rsidRPr="00414345">
              <w:rPr>
                <w:color w:val="000000"/>
                <w:kern w:val="0"/>
                <w:sz w:val="24"/>
                <w:szCs w:val="24"/>
              </w:rPr>
              <w:t>30</w:t>
            </w:r>
            <w:r w:rsidRPr="00414345">
              <w:rPr>
                <w:color w:val="000000"/>
                <w:kern w:val="0"/>
                <w:sz w:val="24"/>
                <w:szCs w:val="24"/>
              </w:rPr>
              <w:t>股票</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519727</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519727</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519728</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2013</w:t>
            </w:r>
            <w:r w:rsidRPr="00414345">
              <w:rPr>
                <w:color w:val="000000"/>
                <w:kern w:val="0"/>
                <w:sz w:val="24"/>
                <w:szCs w:val="24"/>
              </w:rPr>
              <w:t>年</w:t>
            </w:r>
            <w:r w:rsidRPr="00414345">
              <w:rPr>
                <w:color w:val="000000"/>
                <w:kern w:val="0"/>
                <w:sz w:val="24"/>
                <w:szCs w:val="24"/>
              </w:rPr>
              <w:t>6</w:t>
            </w:r>
            <w:r w:rsidRPr="00414345">
              <w:rPr>
                <w:color w:val="000000"/>
                <w:kern w:val="0"/>
                <w:sz w:val="24"/>
                <w:szCs w:val="24"/>
              </w:rPr>
              <w:t>月</w:t>
            </w:r>
            <w:r w:rsidRPr="00414345">
              <w:rPr>
                <w:color w:val="000000"/>
                <w:kern w:val="0"/>
                <w:sz w:val="24"/>
                <w:szCs w:val="24"/>
              </w:rPr>
              <w:t>5</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109,433,020.21</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本基金属于成长型股票基金，主要通过投资于不超过</w:t>
            </w:r>
            <w:r w:rsidRPr="00414345">
              <w:rPr>
                <w:color w:val="000000"/>
                <w:kern w:val="0"/>
                <w:sz w:val="24"/>
                <w:szCs w:val="24"/>
              </w:rPr>
              <w:t>30</w:t>
            </w:r>
            <w:r w:rsidRPr="00414345">
              <w:rPr>
                <w:color w:val="000000"/>
                <w:kern w:val="0"/>
                <w:sz w:val="24"/>
                <w:szCs w:val="24"/>
              </w:rPr>
              <w:t>只精选的成长型上市公司股票，在适度控制风险并保持基金资产良好流动性的前提下，为基金份额持有人谋求长期、稳定的资本增值。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在分析和判断宏观经济运行和行业景气变化以及上市公司成长潜力的基础上，精选业务聚焦型、在所属行业内数一数二的成长型上市公司股票，并通过持有不超过</w:t>
            </w:r>
            <w:r w:rsidRPr="00414345">
              <w:rPr>
                <w:color w:val="000000"/>
                <w:kern w:val="0"/>
                <w:sz w:val="24"/>
                <w:szCs w:val="24"/>
              </w:rPr>
              <w:t>30</w:t>
            </w:r>
            <w:r w:rsidRPr="00414345">
              <w:rPr>
                <w:color w:val="000000"/>
                <w:kern w:val="0"/>
                <w:sz w:val="24"/>
                <w:szCs w:val="24"/>
              </w:rPr>
              <w:t>只股票的集中持股策略，为基金资产谋求长期稳健增值。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富时中国</w:t>
            </w:r>
            <w:r w:rsidRPr="00414345">
              <w:rPr>
                <w:color w:val="000000"/>
                <w:kern w:val="0"/>
                <w:sz w:val="24"/>
                <w:szCs w:val="24"/>
              </w:rPr>
              <w:t>A600</w:t>
            </w:r>
            <w:r w:rsidRPr="00414345">
              <w:rPr>
                <w:color w:val="000000"/>
                <w:kern w:val="0"/>
                <w:sz w:val="24"/>
                <w:szCs w:val="24"/>
              </w:rPr>
              <w:t>成长指数收益率</w:t>
            </w:r>
            <w:r w:rsidRPr="00414345">
              <w:rPr>
                <w:color w:val="000000"/>
                <w:kern w:val="0"/>
                <w:sz w:val="24"/>
                <w:szCs w:val="24"/>
              </w:rPr>
              <w:t>+25%×</w:t>
            </w:r>
            <w:r w:rsidRPr="00414345">
              <w:rPr>
                <w:color w:val="000000"/>
                <w:kern w:val="0"/>
                <w:sz w:val="24"/>
                <w:szCs w:val="24"/>
              </w:rPr>
              <w:t>中信标普</w:t>
            </w:r>
            <w:r w:rsidRPr="00414345">
              <w:rPr>
                <w:color w:val="000000"/>
                <w:kern w:val="0"/>
                <w:sz w:val="24"/>
                <w:szCs w:val="24"/>
              </w:rPr>
              <w:lastRenderedPageBreak/>
              <w:t>全债指数收益率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本基金是一只股票型基金，以成长型股票为主要投资对象，风险与预期收益高于混合基金、债券基金和货币市场基金。属于承担较高风险、预期收益较高的证券投资基金品种。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6F64DD">
      <w:pPr>
        <w:pStyle w:val="1"/>
        <w:spacing w:beforeLines="100" w:after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7"/>
        <w:gridCol w:w="5261"/>
      </w:tblGrid>
      <w:tr w:rsidR="00AF493C" w:rsidRPr="00414345" w:rsidTr="00AF493C">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(2015</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-2015</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AF493C" w:rsidRPr="00414345" w:rsidTr="00AF493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21,914,292.52</w:t>
            </w:r>
          </w:p>
        </w:tc>
      </w:tr>
      <w:tr w:rsidR="00AF493C" w:rsidRPr="00414345" w:rsidTr="00AF493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45,735,451.57</w:t>
            </w:r>
          </w:p>
        </w:tc>
      </w:tr>
      <w:tr w:rsidR="00AF493C" w:rsidRPr="00414345" w:rsidTr="00AF493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0.3437</w:t>
            </w:r>
          </w:p>
        </w:tc>
      </w:tr>
      <w:tr w:rsidR="00AF493C" w:rsidRPr="00414345" w:rsidTr="00AF493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163,879,384.22</w:t>
            </w:r>
          </w:p>
        </w:tc>
      </w:tr>
      <w:tr w:rsidR="00AF493C" w:rsidRPr="00414345" w:rsidTr="00AF493C">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1.498</w:t>
            </w:r>
          </w:p>
        </w:tc>
      </w:tr>
    </w:tbl>
    <w:p w:rsidR="004058A5" w:rsidRDefault="00937ED0">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4058A5">
        <w:trPr>
          <w:jc w:val="center"/>
        </w:trPr>
        <w:tc>
          <w:tcPr>
            <w:tcW w:w="1701" w:type="dxa"/>
            <w:vAlign w:val="center"/>
          </w:tcPr>
          <w:p w:rsidR="004058A5" w:rsidRDefault="00937ED0">
            <w:pPr>
              <w:jc w:val="left"/>
            </w:pPr>
            <w:r>
              <w:rPr>
                <w:color w:val="000000"/>
                <w:sz w:val="24"/>
                <w:szCs w:val="24"/>
              </w:rPr>
              <w:t>过去三个月</w:t>
            </w:r>
          </w:p>
        </w:tc>
        <w:tc>
          <w:tcPr>
            <w:tcW w:w="1045" w:type="dxa"/>
            <w:vAlign w:val="center"/>
          </w:tcPr>
          <w:p w:rsidR="004058A5" w:rsidRDefault="00937ED0">
            <w:pPr>
              <w:jc w:val="center"/>
            </w:pPr>
            <w:r>
              <w:rPr>
                <w:color w:val="000000"/>
                <w:sz w:val="24"/>
                <w:szCs w:val="24"/>
              </w:rPr>
              <w:t>31.29%</w:t>
            </w:r>
          </w:p>
        </w:tc>
        <w:tc>
          <w:tcPr>
            <w:tcW w:w="1344" w:type="dxa"/>
            <w:vAlign w:val="center"/>
          </w:tcPr>
          <w:p w:rsidR="004058A5" w:rsidRDefault="00937ED0">
            <w:pPr>
              <w:jc w:val="center"/>
            </w:pPr>
            <w:r>
              <w:rPr>
                <w:color w:val="000000"/>
                <w:sz w:val="24"/>
                <w:szCs w:val="24"/>
              </w:rPr>
              <w:t>1.50%</w:t>
            </w:r>
          </w:p>
        </w:tc>
        <w:tc>
          <w:tcPr>
            <w:tcW w:w="1194" w:type="dxa"/>
            <w:vAlign w:val="center"/>
          </w:tcPr>
          <w:p w:rsidR="004058A5" w:rsidRDefault="00937ED0">
            <w:pPr>
              <w:jc w:val="center"/>
            </w:pPr>
            <w:r>
              <w:rPr>
                <w:color w:val="000000"/>
                <w:sz w:val="24"/>
                <w:szCs w:val="24"/>
              </w:rPr>
              <w:t>20.02%</w:t>
            </w:r>
          </w:p>
        </w:tc>
        <w:tc>
          <w:tcPr>
            <w:tcW w:w="1492" w:type="dxa"/>
            <w:vAlign w:val="center"/>
          </w:tcPr>
          <w:p w:rsidR="004058A5" w:rsidRDefault="00937ED0">
            <w:pPr>
              <w:jc w:val="center"/>
            </w:pPr>
            <w:r>
              <w:rPr>
                <w:color w:val="000000"/>
                <w:sz w:val="24"/>
                <w:szCs w:val="24"/>
              </w:rPr>
              <w:t>1.09%</w:t>
            </w:r>
          </w:p>
        </w:tc>
        <w:tc>
          <w:tcPr>
            <w:tcW w:w="1194" w:type="dxa"/>
            <w:vAlign w:val="center"/>
          </w:tcPr>
          <w:p w:rsidR="004058A5" w:rsidRDefault="00937ED0" w:rsidP="006B5A32">
            <w:pPr>
              <w:jc w:val="center"/>
            </w:pPr>
            <w:r>
              <w:rPr>
                <w:color w:val="000000"/>
                <w:sz w:val="24"/>
                <w:szCs w:val="24"/>
              </w:rPr>
              <w:t>11.</w:t>
            </w:r>
            <w:r w:rsidR="006B5A32">
              <w:rPr>
                <w:color w:val="000000"/>
                <w:sz w:val="24"/>
                <w:szCs w:val="24"/>
              </w:rPr>
              <w:t>27</w:t>
            </w:r>
            <w:r>
              <w:rPr>
                <w:color w:val="000000"/>
                <w:sz w:val="24"/>
                <w:szCs w:val="24"/>
              </w:rPr>
              <w:t>%</w:t>
            </w:r>
          </w:p>
        </w:tc>
        <w:tc>
          <w:tcPr>
            <w:tcW w:w="898" w:type="dxa"/>
            <w:vAlign w:val="center"/>
          </w:tcPr>
          <w:p w:rsidR="004058A5" w:rsidRDefault="00937ED0">
            <w:pPr>
              <w:jc w:val="center"/>
            </w:pPr>
            <w:r>
              <w:rPr>
                <w:color w:val="000000"/>
                <w:sz w:val="24"/>
                <w:szCs w:val="24"/>
              </w:rPr>
              <w:t>0.41%</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lastRenderedPageBreak/>
        <w:t>交银施罗德成长</w:t>
      </w:r>
      <w:r w:rsidRPr="00414345">
        <w:rPr>
          <w:color w:val="000000"/>
          <w:sz w:val="24"/>
          <w:szCs w:val="24"/>
        </w:rPr>
        <w:t>30</w:t>
      </w:r>
      <w:r w:rsidRPr="00414345">
        <w:rPr>
          <w:color w:val="000000"/>
          <w:sz w:val="24"/>
          <w:szCs w:val="24"/>
        </w:rPr>
        <w:t>股票型证券投资基金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2013</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6</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5</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2015</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707F00" w:rsidP="00C15CAC">
      <w:pPr>
        <w:pStyle w:val="a5"/>
        <w:snapToGrid w:val="0"/>
        <w:spacing w:before="29" w:line="288" w:lineRule="auto"/>
        <w:jc w:val="center"/>
        <w:rPr>
          <w:rFonts w:ascii="Times New Roman" w:hAnsi="Times New Roman" w:cs="Times New Roman"/>
          <w:color w:val="000000"/>
          <w:sz w:val="24"/>
          <w:szCs w:val="24"/>
        </w:rPr>
      </w:pPr>
      <w:r>
        <w:rPr>
          <w:rFonts w:ascii="Times New Roman" w:hAnsi="Times New Roman" w:cs="Times New Roman"/>
          <w:noProof/>
          <w:color w:val="000000"/>
          <w:sz w:val="24"/>
          <w:szCs w:val="24"/>
        </w:rPr>
        <w:drawing>
          <wp:inline distT="0" distB="0" distL="0" distR="0">
            <wp:extent cx="5274310" cy="3088855"/>
            <wp:effectExtent l="0" t="0" r="2540" b="0"/>
            <wp:docPr id="4"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274310" cy="3088855"/>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6F64DD">
      <w:pPr>
        <w:pStyle w:val="1"/>
        <w:spacing w:beforeLines="100" w:after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4058A5">
        <w:trPr>
          <w:jc w:val="center"/>
        </w:trPr>
        <w:tc>
          <w:tcPr>
            <w:tcW w:w="846" w:type="dxa"/>
            <w:vAlign w:val="center"/>
          </w:tcPr>
          <w:p w:rsidR="004058A5" w:rsidRDefault="00937ED0">
            <w:pPr>
              <w:jc w:val="center"/>
            </w:pPr>
            <w:r>
              <w:rPr>
                <w:color w:val="000000"/>
                <w:sz w:val="24"/>
                <w:szCs w:val="24"/>
              </w:rPr>
              <w:t>王少成</w:t>
            </w:r>
          </w:p>
        </w:tc>
        <w:tc>
          <w:tcPr>
            <w:tcW w:w="845" w:type="dxa"/>
            <w:vAlign w:val="center"/>
          </w:tcPr>
          <w:p w:rsidR="004058A5" w:rsidRDefault="00937ED0">
            <w:pPr>
              <w:jc w:val="center"/>
            </w:pPr>
            <w:r>
              <w:rPr>
                <w:color w:val="000000"/>
                <w:sz w:val="24"/>
                <w:szCs w:val="24"/>
              </w:rPr>
              <w:t>本基金、交银成长股票、交银先锋股票、交银先进制造股票的</w:t>
            </w:r>
            <w:r>
              <w:rPr>
                <w:color w:val="000000"/>
                <w:sz w:val="24"/>
                <w:szCs w:val="24"/>
              </w:rPr>
              <w:lastRenderedPageBreak/>
              <w:t>基金经理，公司权益部副总经理</w:t>
            </w:r>
          </w:p>
        </w:tc>
        <w:tc>
          <w:tcPr>
            <w:tcW w:w="1549" w:type="dxa"/>
            <w:vAlign w:val="center"/>
          </w:tcPr>
          <w:p w:rsidR="004058A5" w:rsidRDefault="00937ED0">
            <w:pPr>
              <w:jc w:val="center"/>
            </w:pPr>
            <w:r>
              <w:rPr>
                <w:color w:val="000000"/>
                <w:sz w:val="24"/>
                <w:szCs w:val="24"/>
              </w:rPr>
              <w:lastRenderedPageBreak/>
              <w:t>2013-07-02</w:t>
            </w:r>
          </w:p>
        </w:tc>
        <w:tc>
          <w:tcPr>
            <w:tcW w:w="1548" w:type="dxa"/>
            <w:vAlign w:val="center"/>
          </w:tcPr>
          <w:p w:rsidR="004058A5" w:rsidRDefault="00937ED0">
            <w:pPr>
              <w:jc w:val="center"/>
            </w:pPr>
            <w:r>
              <w:rPr>
                <w:color w:val="000000"/>
                <w:sz w:val="24"/>
                <w:szCs w:val="24"/>
              </w:rPr>
              <w:t>-</w:t>
            </w:r>
          </w:p>
        </w:tc>
        <w:tc>
          <w:tcPr>
            <w:tcW w:w="1407" w:type="dxa"/>
            <w:vAlign w:val="center"/>
          </w:tcPr>
          <w:p w:rsidR="004058A5" w:rsidRDefault="00937ED0">
            <w:pPr>
              <w:jc w:val="center"/>
            </w:pPr>
            <w:r>
              <w:rPr>
                <w:color w:val="000000"/>
                <w:sz w:val="24"/>
                <w:szCs w:val="24"/>
              </w:rPr>
              <w:t>11</w:t>
            </w:r>
            <w:r>
              <w:rPr>
                <w:color w:val="000000"/>
                <w:sz w:val="24"/>
                <w:szCs w:val="24"/>
              </w:rPr>
              <w:t>年</w:t>
            </w:r>
          </w:p>
        </w:tc>
        <w:tc>
          <w:tcPr>
            <w:tcW w:w="2673" w:type="dxa"/>
            <w:vAlign w:val="center"/>
          </w:tcPr>
          <w:p w:rsidR="004058A5" w:rsidRDefault="00937ED0">
            <w:r>
              <w:rPr>
                <w:color w:val="000000"/>
                <w:sz w:val="24"/>
                <w:szCs w:val="24"/>
              </w:rPr>
              <w:t>王少成先生，复旦大学硕士学历。历任上海融昌资产管理公司研究员，中原证券投资经理，信诚基金管理有限公司研究总监助理，东吴基金管理有限公司投资经理、基金经理、投资部副总经理。其中</w:t>
            </w:r>
            <w:r>
              <w:rPr>
                <w:color w:val="000000"/>
                <w:sz w:val="24"/>
                <w:szCs w:val="24"/>
              </w:rPr>
              <w:t>2010</w:t>
            </w:r>
            <w:r>
              <w:rPr>
                <w:color w:val="000000"/>
                <w:sz w:val="24"/>
                <w:szCs w:val="24"/>
              </w:rPr>
              <w:t>年</w:t>
            </w:r>
            <w:r>
              <w:rPr>
                <w:color w:val="000000"/>
                <w:sz w:val="24"/>
                <w:szCs w:val="24"/>
              </w:rPr>
              <w:t>9</w:t>
            </w:r>
            <w:r>
              <w:rPr>
                <w:color w:val="000000"/>
                <w:sz w:val="24"/>
                <w:szCs w:val="24"/>
              </w:rPr>
              <w:t>月至</w:t>
            </w:r>
            <w:r>
              <w:rPr>
                <w:color w:val="000000"/>
                <w:sz w:val="24"/>
                <w:szCs w:val="24"/>
              </w:rPr>
              <w:t>2012</w:t>
            </w:r>
            <w:r>
              <w:rPr>
                <w:color w:val="000000"/>
                <w:sz w:val="24"/>
                <w:szCs w:val="24"/>
              </w:rPr>
              <w:t>年</w:t>
            </w:r>
            <w:r>
              <w:rPr>
                <w:color w:val="000000"/>
                <w:sz w:val="24"/>
                <w:szCs w:val="24"/>
              </w:rPr>
              <w:t>10</w:t>
            </w:r>
            <w:r>
              <w:rPr>
                <w:color w:val="000000"/>
                <w:sz w:val="24"/>
                <w:szCs w:val="24"/>
              </w:rPr>
              <w:t>月担任东吴新创业股票型证券投资基金基金经理，</w:t>
            </w:r>
            <w:r>
              <w:rPr>
                <w:color w:val="000000"/>
                <w:sz w:val="24"/>
                <w:szCs w:val="24"/>
              </w:rPr>
              <w:lastRenderedPageBreak/>
              <w:t>2011</w:t>
            </w:r>
            <w:r>
              <w:rPr>
                <w:color w:val="000000"/>
                <w:sz w:val="24"/>
                <w:szCs w:val="24"/>
              </w:rPr>
              <w:t>年</w:t>
            </w:r>
            <w:r>
              <w:rPr>
                <w:color w:val="000000"/>
                <w:sz w:val="24"/>
                <w:szCs w:val="24"/>
              </w:rPr>
              <w:t>2</w:t>
            </w:r>
            <w:r>
              <w:rPr>
                <w:color w:val="000000"/>
                <w:sz w:val="24"/>
                <w:szCs w:val="24"/>
              </w:rPr>
              <w:t>月至</w:t>
            </w:r>
            <w:r>
              <w:rPr>
                <w:color w:val="000000"/>
                <w:sz w:val="24"/>
                <w:szCs w:val="24"/>
              </w:rPr>
              <w:t>2012</w:t>
            </w:r>
            <w:r>
              <w:rPr>
                <w:color w:val="000000"/>
                <w:sz w:val="24"/>
                <w:szCs w:val="24"/>
              </w:rPr>
              <w:t>年</w:t>
            </w:r>
            <w:r>
              <w:rPr>
                <w:color w:val="000000"/>
                <w:sz w:val="24"/>
                <w:szCs w:val="24"/>
              </w:rPr>
              <w:t>11</w:t>
            </w:r>
            <w:r>
              <w:rPr>
                <w:color w:val="000000"/>
                <w:sz w:val="24"/>
                <w:szCs w:val="24"/>
              </w:rPr>
              <w:t>月担任东吴中证新兴产业指数证券投资基金基金经理，</w:t>
            </w:r>
            <w:r>
              <w:rPr>
                <w:color w:val="000000"/>
                <w:sz w:val="24"/>
                <w:szCs w:val="24"/>
              </w:rPr>
              <w:t>2011</w:t>
            </w:r>
            <w:r>
              <w:rPr>
                <w:color w:val="000000"/>
                <w:sz w:val="24"/>
                <w:szCs w:val="24"/>
              </w:rPr>
              <w:t>年</w:t>
            </w:r>
            <w:r>
              <w:rPr>
                <w:color w:val="000000"/>
                <w:sz w:val="24"/>
                <w:szCs w:val="24"/>
              </w:rPr>
              <w:t>5</w:t>
            </w:r>
            <w:r>
              <w:rPr>
                <w:color w:val="000000"/>
                <w:sz w:val="24"/>
                <w:szCs w:val="24"/>
              </w:rPr>
              <w:t>月至</w:t>
            </w:r>
            <w:r>
              <w:rPr>
                <w:color w:val="000000"/>
                <w:sz w:val="24"/>
                <w:szCs w:val="24"/>
              </w:rPr>
              <w:t>2012</w:t>
            </w:r>
            <w:r>
              <w:rPr>
                <w:color w:val="000000"/>
                <w:sz w:val="24"/>
                <w:szCs w:val="24"/>
              </w:rPr>
              <w:t>年</w:t>
            </w:r>
            <w:r>
              <w:rPr>
                <w:color w:val="000000"/>
                <w:sz w:val="24"/>
                <w:szCs w:val="24"/>
              </w:rPr>
              <w:t>11</w:t>
            </w:r>
            <w:r>
              <w:rPr>
                <w:color w:val="000000"/>
                <w:sz w:val="24"/>
                <w:szCs w:val="24"/>
              </w:rPr>
              <w:t>月担任东吴价值成长双动力股票型证券投资基金基金经理。</w:t>
            </w:r>
            <w:r>
              <w:rPr>
                <w:color w:val="000000"/>
                <w:sz w:val="24"/>
                <w:szCs w:val="24"/>
              </w:rPr>
              <w:t>2012</w:t>
            </w:r>
            <w:r>
              <w:rPr>
                <w:color w:val="000000"/>
                <w:sz w:val="24"/>
                <w:szCs w:val="24"/>
              </w:rPr>
              <w:t>年加入交银施罗德基金管理有限公司。</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4058A5" w:rsidRDefault="00937ED0">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4058A5" w:rsidRDefault="00937ED0">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4058A5" w:rsidRDefault="00937ED0">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w:t>
      </w:r>
      <w:r w:rsidRPr="00414345">
        <w:rPr>
          <w:color w:val="000000"/>
          <w:sz w:val="24"/>
          <w:szCs w:val="24"/>
        </w:rPr>
        <w:t>,</w:t>
      </w:r>
      <w:r w:rsidRPr="00414345">
        <w:rPr>
          <w:color w:val="000000"/>
          <w:sz w:val="24"/>
          <w:szCs w:val="24"/>
        </w:rPr>
        <w:t>本公司管理的所有投资组</w:t>
      </w:r>
      <w:r w:rsidRPr="00414345">
        <w:rPr>
          <w:color w:val="000000"/>
          <w:sz w:val="24"/>
          <w:szCs w:val="24"/>
        </w:rPr>
        <w:lastRenderedPageBreak/>
        <w:t>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4058A5" w:rsidRDefault="00937ED0">
      <w:pPr>
        <w:spacing w:before="29" w:line="288" w:lineRule="auto"/>
        <w:ind w:firstLineChars="200" w:firstLine="480"/>
        <w:rPr>
          <w:color w:val="000000"/>
          <w:sz w:val="24"/>
          <w:szCs w:val="24"/>
        </w:rPr>
      </w:pPr>
      <w:r>
        <w:rPr>
          <w:color w:val="000000"/>
          <w:sz w:val="24"/>
          <w:szCs w:val="24"/>
        </w:rPr>
        <w:t>一季度</w:t>
      </w:r>
      <w:r>
        <w:rPr>
          <w:color w:val="000000"/>
          <w:sz w:val="24"/>
          <w:szCs w:val="24"/>
        </w:rPr>
        <w:t>A</w:t>
      </w:r>
      <w:r>
        <w:rPr>
          <w:color w:val="000000"/>
          <w:sz w:val="24"/>
          <w:szCs w:val="24"/>
        </w:rPr>
        <w:t>股市场单边上涨，创业板指数表现尤为突出，互联网股和科技股表现抢眼，而经历四季度大幅上涨的传统蓝筹白马表现相对落后。实体经济增速仍然疲弱，融资难状况无法有效缓解，股票市场的价格泡沫风险持续凸现，央行货币政策陷入两难。美元中期上涨格局已经确立，新兴市场国家资本持续流出，保增长和稳汇率的矛盾继续困扰货币当局。地方债务和热钱流出成为中国宏观经济中期面临的风险。</w:t>
      </w:r>
    </w:p>
    <w:p w:rsidR="004058A5" w:rsidRDefault="00937ED0">
      <w:pPr>
        <w:spacing w:before="29" w:line="288" w:lineRule="auto"/>
        <w:ind w:firstLineChars="200" w:firstLine="480"/>
        <w:rPr>
          <w:color w:val="000000"/>
          <w:sz w:val="24"/>
          <w:szCs w:val="24"/>
        </w:rPr>
      </w:pPr>
      <w:r>
        <w:rPr>
          <w:color w:val="000000"/>
          <w:sz w:val="24"/>
          <w:szCs w:val="24"/>
        </w:rPr>
        <w:t>一季度本基金净值跑赢业绩比较基准，主要缘于组合整体偏成长风格以及选股因素。</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未来一个季度，预计央行维持宽松的货币政策，但实际利率水平可能无法有效降低，甚至会有上行风险，从而进一步加剧实体经济的下滑风险。地方政府融资能力受限，稳增长将更多地依赖中央政府。缺乏财政政策配合的总量货币政策无法担负起刺激实体经济的重任，却容易进一步驱动金融资产价格泡沫。股市过去一个季度的上涨，并没有真实地反映实体经济的方向性变化，</w:t>
      </w:r>
      <w:r w:rsidRPr="00414345">
        <w:rPr>
          <w:color w:val="000000"/>
          <w:sz w:val="24"/>
          <w:szCs w:val="24"/>
        </w:rPr>
        <w:t>A</w:t>
      </w:r>
      <w:r w:rsidRPr="00414345">
        <w:rPr>
          <w:color w:val="000000"/>
          <w:sz w:val="24"/>
          <w:szCs w:val="24"/>
        </w:rPr>
        <w:t>股市场仍存在中期调整的风险。但着眼于中期，经济转型已形成共识，存量财富的配置压力始终存在，新商业模式、新技术进步仍将是市场投资主线。</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2015</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1.498</w:t>
      </w:r>
      <w:r w:rsidRPr="00414345">
        <w:rPr>
          <w:color w:val="000000"/>
          <w:sz w:val="24"/>
          <w:szCs w:val="24"/>
        </w:rPr>
        <w:t>元，本报告期份额净值增长率为</w:t>
      </w:r>
      <w:r w:rsidRPr="00414345">
        <w:rPr>
          <w:color w:val="000000"/>
          <w:sz w:val="24"/>
          <w:szCs w:val="24"/>
        </w:rPr>
        <w:t>31.29%</w:t>
      </w:r>
      <w:r w:rsidRPr="00414345">
        <w:rPr>
          <w:color w:val="000000"/>
          <w:sz w:val="24"/>
          <w:szCs w:val="24"/>
        </w:rPr>
        <w:t>，同期业绩比较基准增长率为</w:t>
      </w:r>
      <w:r w:rsidRPr="00414345">
        <w:rPr>
          <w:color w:val="000000"/>
          <w:sz w:val="24"/>
          <w:szCs w:val="24"/>
        </w:rPr>
        <w:t>20.02%</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00AF493C">
        <w:rPr>
          <w:rFonts w:hint="eastAsia"/>
          <w:b/>
          <w:color w:val="000000"/>
          <w:kern w:val="0"/>
          <w:sz w:val="24"/>
        </w:rPr>
        <w:t xml:space="preserve"> </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6F64DD">
      <w:pPr>
        <w:pStyle w:val="1"/>
        <w:spacing w:beforeLines="100" w:after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154,169,085.39</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92.53</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154,169,085.39</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92.53</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lastRenderedPageBreak/>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12,181,100.90</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7.31</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261,794.67</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0.16</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166,611,980.96</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130,167,545.61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79.43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1,788,672.00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5,723,411.94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3.49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16,489,455.84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10.06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lastRenderedPageBreak/>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154,169,085.39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94.07</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4058A5">
        <w:trPr>
          <w:jc w:val="center"/>
        </w:trPr>
        <w:tc>
          <w:tcPr>
            <w:tcW w:w="855" w:type="dxa"/>
            <w:vAlign w:val="center"/>
          </w:tcPr>
          <w:p w:rsidR="004058A5" w:rsidRDefault="00937ED0">
            <w:pPr>
              <w:jc w:val="center"/>
            </w:pPr>
            <w:r>
              <w:rPr>
                <w:color w:val="000000"/>
                <w:sz w:val="24"/>
                <w:szCs w:val="24"/>
              </w:rPr>
              <w:t>1</w:t>
            </w:r>
          </w:p>
        </w:tc>
        <w:tc>
          <w:tcPr>
            <w:tcW w:w="1334" w:type="dxa"/>
            <w:vAlign w:val="center"/>
          </w:tcPr>
          <w:p w:rsidR="004058A5" w:rsidRDefault="00937ED0">
            <w:pPr>
              <w:jc w:val="center"/>
            </w:pPr>
            <w:r>
              <w:rPr>
                <w:color w:val="000000"/>
                <w:sz w:val="24"/>
                <w:szCs w:val="24"/>
              </w:rPr>
              <w:t>600763</w:t>
            </w:r>
          </w:p>
        </w:tc>
        <w:tc>
          <w:tcPr>
            <w:tcW w:w="1777" w:type="dxa"/>
            <w:vAlign w:val="center"/>
          </w:tcPr>
          <w:p w:rsidR="004058A5" w:rsidRDefault="00937ED0">
            <w:pPr>
              <w:jc w:val="center"/>
            </w:pPr>
            <w:r>
              <w:rPr>
                <w:color w:val="000000"/>
                <w:sz w:val="24"/>
                <w:szCs w:val="24"/>
              </w:rPr>
              <w:t>通策医疗</w:t>
            </w:r>
          </w:p>
        </w:tc>
        <w:tc>
          <w:tcPr>
            <w:tcW w:w="1334" w:type="dxa"/>
            <w:vAlign w:val="center"/>
          </w:tcPr>
          <w:p w:rsidR="004058A5" w:rsidRDefault="00937ED0">
            <w:pPr>
              <w:jc w:val="right"/>
            </w:pPr>
            <w:r>
              <w:rPr>
                <w:color w:val="000000"/>
                <w:sz w:val="24"/>
                <w:szCs w:val="24"/>
              </w:rPr>
              <w:t>240,231</w:t>
            </w:r>
          </w:p>
        </w:tc>
        <w:tc>
          <w:tcPr>
            <w:tcW w:w="1924" w:type="dxa"/>
            <w:vAlign w:val="center"/>
          </w:tcPr>
          <w:p w:rsidR="004058A5" w:rsidRDefault="00937ED0">
            <w:pPr>
              <w:jc w:val="right"/>
            </w:pPr>
            <w:r>
              <w:rPr>
                <w:color w:val="000000"/>
                <w:sz w:val="24"/>
                <w:szCs w:val="24"/>
              </w:rPr>
              <w:t>16,489,455.84</w:t>
            </w:r>
          </w:p>
        </w:tc>
        <w:tc>
          <w:tcPr>
            <w:tcW w:w="1644" w:type="dxa"/>
            <w:vAlign w:val="center"/>
          </w:tcPr>
          <w:p w:rsidR="004058A5" w:rsidRDefault="00937ED0">
            <w:pPr>
              <w:jc w:val="right"/>
            </w:pPr>
            <w:r>
              <w:rPr>
                <w:color w:val="000000"/>
                <w:sz w:val="24"/>
                <w:szCs w:val="24"/>
              </w:rPr>
              <w:t>10.06</w:t>
            </w:r>
          </w:p>
        </w:tc>
      </w:tr>
      <w:tr w:rsidR="004058A5">
        <w:trPr>
          <w:jc w:val="center"/>
        </w:trPr>
        <w:tc>
          <w:tcPr>
            <w:tcW w:w="855" w:type="dxa"/>
            <w:vAlign w:val="center"/>
          </w:tcPr>
          <w:p w:rsidR="004058A5" w:rsidRDefault="00937ED0">
            <w:pPr>
              <w:jc w:val="center"/>
            </w:pPr>
            <w:r>
              <w:rPr>
                <w:color w:val="000000"/>
                <w:sz w:val="24"/>
                <w:szCs w:val="24"/>
              </w:rPr>
              <w:t>2</w:t>
            </w:r>
          </w:p>
        </w:tc>
        <w:tc>
          <w:tcPr>
            <w:tcW w:w="1334" w:type="dxa"/>
            <w:vAlign w:val="center"/>
          </w:tcPr>
          <w:p w:rsidR="004058A5" w:rsidRDefault="00937ED0">
            <w:pPr>
              <w:jc w:val="center"/>
            </w:pPr>
            <w:r>
              <w:rPr>
                <w:color w:val="000000"/>
                <w:sz w:val="24"/>
                <w:szCs w:val="24"/>
              </w:rPr>
              <w:t>600389</w:t>
            </w:r>
          </w:p>
        </w:tc>
        <w:tc>
          <w:tcPr>
            <w:tcW w:w="1777" w:type="dxa"/>
            <w:vAlign w:val="center"/>
          </w:tcPr>
          <w:p w:rsidR="004058A5" w:rsidRDefault="00937ED0">
            <w:pPr>
              <w:jc w:val="center"/>
            </w:pPr>
            <w:r>
              <w:rPr>
                <w:color w:val="000000"/>
                <w:sz w:val="24"/>
                <w:szCs w:val="24"/>
              </w:rPr>
              <w:t>江山股份</w:t>
            </w:r>
          </w:p>
        </w:tc>
        <w:tc>
          <w:tcPr>
            <w:tcW w:w="1334" w:type="dxa"/>
            <w:vAlign w:val="center"/>
          </w:tcPr>
          <w:p w:rsidR="004058A5" w:rsidRDefault="00937ED0">
            <w:pPr>
              <w:jc w:val="right"/>
            </w:pPr>
            <w:r>
              <w:rPr>
                <w:color w:val="000000"/>
                <w:sz w:val="24"/>
                <w:szCs w:val="24"/>
              </w:rPr>
              <w:t>459,813</w:t>
            </w:r>
          </w:p>
        </w:tc>
        <w:tc>
          <w:tcPr>
            <w:tcW w:w="1924" w:type="dxa"/>
            <w:vAlign w:val="center"/>
          </w:tcPr>
          <w:p w:rsidR="004058A5" w:rsidRDefault="00937ED0">
            <w:pPr>
              <w:jc w:val="right"/>
            </w:pPr>
            <w:r>
              <w:rPr>
                <w:color w:val="000000"/>
                <w:sz w:val="24"/>
                <w:szCs w:val="24"/>
              </w:rPr>
              <w:t>15,868,146.63</w:t>
            </w:r>
          </w:p>
        </w:tc>
        <w:tc>
          <w:tcPr>
            <w:tcW w:w="1644" w:type="dxa"/>
            <w:vAlign w:val="center"/>
          </w:tcPr>
          <w:p w:rsidR="004058A5" w:rsidRDefault="00937ED0">
            <w:pPr>
              <w:jc w:val="right"/>
            </w:pPr>
            <w:r>
              <w:rPr>
                <w:color w:val="000000"/>
                <w:sz w:val="24"/>
                <w:szCs w:val="24"/>
              </w:rPr>
              <w:t>9.68</w:t>
            </w:r>
          </w:p>
        </w:tc>
      </w:tr>
      <w:tr w:rsidR="004058A5">
        <w:trPr>
          <w:jc w:val="center"/>
        </w:trPr>
        <w:tc>
          <w:tcPr>
            <w:tcW w:w="855" w:type="dxa"/>
            <w:vAlign w:val="center"/>
          </w:tcPr>
          <w:p w:rsidR="004058A5" w:rsidRDefault="00937ED0">
            <w:pPr>
              <w:jc w:val="center"/>
            </w:pPr>
            <w:r>
              <w:rPr>
                <w:color w:val="000000"/>
                <w:sz w:val="24"/>
                <w:szCs w:val="24"/>
              </w:rPr>
              <w:t>3</w:t>
            </w:r>
          </w:p>
        </w:tc>
        <w:tc>
          <w:tcPr>
            <w:tcW w:w="1334" w:type="dxa"/>
            <w:vAlign w:val="center"/>
          </w:tcPr>
          <w:p w:rsidR="004058A5" w:rsidRDefault="00937ED0">
            <w:pPr>
              <w:jc w:val="center"/>
            </w:pPr>
            <w:r>
              <w:rPr>
                <w:color w:val="000000"/>
                <w:sz w:val="24"/>
                <w:szCs w:val="24"/>
              </w:rPr>
              <w:t>600967</w:t>
            </w:r>
          </w:p>
        </w:tc>
        <w:tc>
          <w:tcPr>
            <w:tcW w:w="1777" w:type="dxa"/>
            <w:vAlign w:val="center"/>
          </w:tcPr>
          <w:p w:rsidR="004058A5" w:rsidRDefault="00937ED0">
            <w:pPr>
              <w:jc w:val="center"/>
            </w:pPr>
            <w:r>
              <w:rPr>
                <w:color w:val="000000"/>
                <w:sz w:val="24"/>
                <w:szCs w:val="24"/>
              </w:rPr>
              <w:t>北方创业</w:t>
            </w:r>
          </w:p>
        </w:tc>
        <w:tc>
          <w:tcPr>
            <w:tcW w:w="1334" w:type="dxa"/>
            <w:vAlign w:val="center"/>
          </w:tcPr>
          <w:p w:rsidR="004058A5" w:rsidRDefault="00937ED0">
            <w:pPr>
              <w:jc w:val="right"/>
            </w:pPr>
            <w:r>
              <w:rPr>
                <w:color w:val="000000"/>
                <w:sz w:val="24"/>
                <w:szCs w:val="24"/>
              </w:rPr>
              <w:t>924,712</w:t>
            </w:r>
          </w:p>
        </w:tc>
        <w:tc>
          <w:tcPr>
            <w:tcW w:w="1924" w:type="dxa"/>
            <w:vAlign w:val="center"/>
          </w:tcPr>
          <w:p w:rsidR="004058A5" w:rsidRDefault="00937ED0">
            <w:pPr>
              <w:jc w:val="right"/>
            </w:pPr>
            <w:r>
              <w:rPr>
                <w:color w:val="000000"/>
                <w:sz w:val="24"/>
                <w:szCs w:val="24"/>
              </w:rPr>
              <w:t>14,998,828.64</w:t>
            </w:r>
          </w:p>
        </w:tc>
        <w:tc>
          <w:tcPr>
            <w:tcW w:w="1644" w:type="dxa"/>
            <w:vAlign w:val="center"/>
          </w:tcPr>
          <w:p w:rsidR="004058A5" w:rsidRDefault="00937ED0">
            <w:pPr>
              <w:jc w:val="right"/>
            </w:pPr>
            <w:r>
              <w:rPr>
                <w:color w:val="000000"/>
                <w:sz w:val="24"/>
                <w:szCs w:val="24"/>
              </w:rPr>
              <w:t>9.15</w:t>
            </w:r>
          </w:p>
        </w:tc>
      </w:tr>
      <w:tr w:rsidR="004058A5">
        <w:trPr>
          <w:jc w:val="center"/>
        </w:trPr>
        <w:tc>
          <w:tcPr>
            <w:tcW w:w="855" w:type="dxa"/>
            <w:vAlign w:val="center"/>
          </w:tcPr>
          <w:p w:rsidR="004058A5" w:rsidRDefault="00937ED0">
            <w:pPr>
              <w:jc w:val="center"/>
            </w:pPr>
            <w:r>
              <w:rPr>
                <w:color w:val="000000"/>
                <w:sz w:val="24"/>
                <w:szCs w:val="24"/>
              </w:rPr>
              <w:t>4</w:t>
            </w:r>
          </w:p>
        </w:tc>
        <w:tc>
          <w:tcPr>
            <w:tcW w:w="1334" w:type="dxa"/>
            <w:vAlign w:val="center"/>
          </w:tcPr>
          <w:p w:rsidR="004058A5" w:rsidRDefault="00937ED0">
            <w:pPr>
              <w:jc w:val="center"/>
            </w:pPr>
            <w:r>
              <w:rPr>
                <w:color w:val="000000"/>
                <w:sz w:val="24"/>
                <w:szCs w:val="24"/>
              </w:rPr>
              <w:t>002568</w:t>
            </w:r>
          </w:p>
        </w:tc>
        <w:tc>
          <w:tcPr>
            <w:tcW w:w="1777" w:type="dxa"/>
            <w:vAlign w:val="center"/>
          </w:tcPr>
          <w:p w:rsidR="004058A5" w:rsidRDefault="00937ED0">
            <w:pPr>
              <w:jc w:val="center"/>
            </w:pPr>
            <w:r>
              <w:rPr>
                <w:color w:val="000000"/>
                <w:sz w:val="24"/>
                <w:szCs w:val="24"/>
              </w:rPr>
              <w:t>百润股份</w:t>
            </w:r>
          </w:p>
        </w:tc>
        <w:tc>
          <w:tcPr>
            <w:tcW w:w="1334" w:type="dxa"/>
            <w:vAlign w:val="center"/>
          </w:tcPr>
          <w:p w:rsidR="004058A5" w:rsidRDefault="00937ED0">
            <w:pPr>
              <w:jc w:val="right"/>
            </w:pPr>
            <w:r>
              <w:rPr>
                <w:color w:val="000000"/>
                <w:sz w:val="24"/>
                <w:szCs w:val="24"/>
              </w:rPr>
              <w:t>182,478</w:t>
            </w:r>
          </w:p>
        </w:tc>
        <w:tc>
          <w:tcPr>
            <w:tcW w:w="1924" w:type="dxa"/>
            <w:vAlign w:val="center"/>
          </w:tcPr>
          <w:p w:rsidR="004058A5" w:rsidRDefault="00937ED0">
            <w:pPr>
              <w:jc w:val="right"/>
            </w:pPr>
            <w:r>
              <w:rPr>
                <w:color w:val="000000"/>
                <w:sz w:val="24"/>
                <w:szCs w:val="24"/>
              </w:rPr>
              <w:t>14,625,611.70</w:t>
            </w:r>
          </w:p>
        </w:tc>
        <w:tc>
          <w:tcPr>
            <w:tcW w:w="1644" w:type="dxa"/>
            <w:vAlign w:val="center"/>
          </w:tcPr>
          <w:p w:rsidR="004058A5" w:rsidRDefault="00937ED0">
            <w:pPr>
              <w:jc w:val="right"/>
            </w:pPr>
            <w:r>
              <w:rPr>
                <w:color w:val="000000"/>
                <w:sz w:val="24"/>
                <w:szCs w:val="24"/>
              </w:rPr>
              <w:t>8.92</w:t>
            </w:r>
          </w:p>
        </w:tc>
      </w:tr>
      <w:tr w:rsidR="004058A5">
        <w:trPr>
          <w:jc w:val="center"/>
        </w:trPr>
        <w:tc>
          <w:tcPr>
            <w:tcW w:w="855" w:type="dxa"/>
            <w:vAlign w:val="center"/>
          </w:tcPr>
          <w:p w:rsidR="004058A5" w:rsidRDefault="00937ED0">
            <w:pPr>
              <w:jc w:val="center"/>
            </w:pPr>
            <w:r>
              <w:rPr>
                <w:color w:val="000000"/>
                <w:sz w:val="24"/>
                <w:szCs w:val="24"/>
              </w:rPr>
              <w:t>5</w:t>
            </w:r>
          </w:p>
        </w:tc>
        <w:tc>
          <w:tcPr>
            <w:tcW w:w="1334" w:type="dxa"/>
            <w:vAlign w:val="center"/>
          </w:tcPr>
          <w:p w:rsidR="004058A5" w:rsidRDefault="00937ED0">
            <w:pPr>
              <w:jc w:val="center"/>
            </w:pPr>
            <w:r>
              <w:rPr>
                <w:color w:val="000000"/>
                <w:sz w:val="24"/>
                <w:szCs w:val="24"/>
              </w:rPr>
              <w:t>000100</w:t>
            </w:r>
          </w:p>
        </w:tc>
        <w:tc>
          <w:tcPr>
            <w:tcW w:w="1777" w:type="dxa"/>
            <w:vAlign w:val="center"/>
          </w:tcPr>
          <w:p w:rsidR="004058A5" w:rsidRDefault="00937ED0">
            <w:pPr>
              <w:jc w:val="center"/>
            </w:pPr>
            <w:r>
              <w:rPr>
                <w:color w:val="000000"/>
                <w:sz w:val="24"/>
                <w:szCs w:val="24"/>
              </w:rPr>
              <w:t xml:space="preserve">TCL </w:t>
            </w:r>
            <w:r>
              <w:rPr>
                <w:color w:val="000000"/>
                <w:sz w:val="24"/>
                <w:szCs w:val="24"/>
              </w:rPr>
              <w:t>集团</w:t>
            </w:r>
          </w:p>
        </w:tc>
        <w:tc>
          <w:tcPr>
            <w:tcW w:w="1334" w:type="dxa"/>
            <w:vAlign w:val="center"/>
          </w:tcPr>
          <w:p w:rsidR="004058A5" w:rsidRDefault="00937ED0">
            <w:pPr>
              <w:jc w:val="right"/>
            </w:pPr>
            <w:r>
              <w:rPr>
                <w:color w:val="000000"/>
                <w:sz w:val="24"/>
                <w:szCs w:val="24"/>
              </w:rPr>
              <w:t>2,316,969</w:t>
            </w:r>
          </w:p>
        </w:tc>
        <w:tc>
          <w:tcPr>
            <w:tcW w:w="1924" w:type="dxa"/>
            <w:vAlign w:val="center"/>
          </w:tcPr>
          <w:p w:rsidR="004058A5" w:rsidRDefault="00937ED0">
            <w:pPr>
              <w:jc w:val="right"/>
            </w:pPr>
            <w:r>
              <w:rPr>
                <w:color w:val="000000"/>
                <w:sz w:val="24"/>
                <w:szCs w:val="24"/>
              </w:rPr>
              <w:t>13,670,117.10</w:t>
            </w:r>
          </w:p>
        </w:tc>
        <w:tc>
          <w:tcPr>
            <w:tcW w:w="1644" w:type="dxa"/>
            <w:vAlign w:val="center"/>
          </w:tcPr>
          <w:p w:rsidR="004058A5" w:rsidRDefault="00937ED0">
            <w:pPr>
              <w:jc w:val="right"/>
            </w:pPr>
            <w:r>
              <w:rPr>
                <w:color w:val="000000"/>
                <w:sz w:val="24"/>
                <w:szCs w:val="24"/>
              </w:rPr>
              <w:t>8.34</w:t>
            </w:r>
          </w:p>
        </w:tc>
      </w:tr>
      <w:tr w:rsidR="004058A5">
        <w:trPr>
          <w:jc w:val="center"/>
        </w:trPr>
        <w:tc>
          <w:tcPr>
            <w:tcW w:w="855" w:type="dxa"/>
            <w:vAlign w:val="center"/>
          </w:tcPr>
          <w:p w:rsidR="004058A5" w:rsidRDefault="00937ED0">
            <w:pPr>
              <w:jc w:val="center"/>
            </w:pPr>
            <w:r>
              <w:rPr>
                <w:color w:val="000000"/>
                <w:sz w:val="24"/>
                <w:szCs w:val="24"/>
              </w:rPr>
              <w:t>6</w:t>
            </w:r>
          </w:p>
        </w:tc>
        <w:tc>
          <w:tcPr>
            <w:tcW w:w="1334" w:type="dxa"/>
            <w:vAlign w:val="center"/>
          </w:tcPr>
          <w:p w:rsidR="004058A5" w:rsidRDefault="00937ED0">
            <w:pPr>
              <w:jc w:val="center"/>
            </w:pPr>
            <w:r>
              <w:rPr>
                <w:color w:val="000000"/>
                <w:sz w:val="24"/>
                <w:szCs w:val="24"/>
              </w:rPr>
              <w:t>300005</w:t>
            </w:r>
          </w:p>
        </w:tc>
        <w:tc>
          <w:tcPr>
            <w:tcW w:w="1777" w:type="dxa"/>
            <w:vAlign w:val="center"/>
          </w:tcPr>
          <w:p w:rsidR="004058A5" w:rsidRDefault="00937ED0">
            <w:pPr>
              <w:jc w:val="center"/>
            </w:pPr>
            <w:r>
              <w:rPr>
                <w:color w:val="000000"/>
                <w:sz w:val="24"/>
                <w:szCs w:val="24"/>
              </w:rPr>
              <w:t>探路者</w:t>
            </w:r>
          </w:p>
        </w:tc>
        <w:tc>
          <w:tcPr>
            <w:tcW w:w="1334" w:type="dxa"/>
            <w:vAlign w:val="center"/>
          </w:tcPr>
          <w:p w:rsidR="004058A5" w:rsidRDefault="00937ED0">
            <w:pPr>
              <w:jc w:val="right"/>
            </w:pPr>
            <w:r>
              <w:rPr>
                <w:color w:val="000000"/>
                <w:sz w:val="24"/>
                <w:szCs w:val="24"/>
              </w:rPr>
              <w:t>371,762</w:t>
            </w:r>
          </w:p>
        </w:tc>
        <w:tc>
          <w:tcPr>
            <w:tcW w:w="1924" w:type="dxa"/>
            <w:vAlign w:val="center"/>
          </w:tcPr>
          <w:p w:rsidR="004058A5" w:rsidRDefault="00937ED0">
            <w:pPr>
              <w:jc w:val="right"/>
            </w:pPr>
            <w:r>
              <w:rPr>
                <w:color w:val="000000"/>
                <w:sz w:val="24"/>
                <w:szCs w:val="24"/>
              </w:rPr>
              <w:t>10,952,108.52</w:t>
            </w:r>
          </w:p>
        </w:tc>
        <w:tc>
          <w:tcPr>
            <w:tcW w:w="1644" w:type="dxa"/>
            <w:vAlign w:val="center"/>
          </w:tcPr>
          <w:p w:rsidR="004058A5" w:rsidRDefault="00937ED0">
            <w:pPr>
              <w:jc w:val="right"/>
            </w:pPr>
            <w:r>
              <w:rPr>
                <w:color w:val="000000"/>
                <w:sz w:val="24"/>
                <w:szCs w:val="24"/>
              </w:rPr>
              <w:t>6.68</w:t>
            </w:r>
          </w:p>
        </w:tc>
      </w:tr>
      <w:tr w:rsidR="004058A5">
        <w:trPr>
          <w:jc w:val="center"/>
        </w:trPr>
        <w:tc>
          <w:tcPr>
            <w:tcW w:w="855" w:type="dxa"/>
            <w:vAlign w:val="center"/>
          </w:tcPr>
          <w:p w:rsidR="004058A5" w:rsidRDefault="00937ED0">
            <w:pPr>
              <w:jc w:val="center"/>
            </w:pPr>
            <w:r>
              <w:rPr>
                <w:color w:val="000000"/>
                <w:sz w:val="24"/>
                <w:szCs w:val="24"/>
              </w:rPr>
              <w:t>7</w:t>
            </w:r>
          </w:p>
        </w:tc>
        <w:tc>
          <w:tcPr>
            <w:tcW w:w="1334" w:type="dxa"/>
            <w:vAlign w:val="center"/>
          </w:tcPr>
          <w:p w:rsidR="004058A5" w:rsidRDefault="00937ED0">
            <w:pPr>
              <w:jc w:val="center"/>
            </w:pPr>
            <w:r>
              <w:rPr>
                <w:color w:val="000000"/>
                <w:sz w:val="24"/>
                <w:szCs w:val="24"/>
              </w:rPr>
              <w:t>600887</w:t>
            </w:r>
          </w:p>
        </w:tc>
        <w:tc>
          <w:tcPr>
            <w:tcW w:w="1777" w:type="dxa"/>
            <w:vAlign w:val="center"/>
          </w:tcPr>
          <w:p w:rsidR="004058A5" w:rsidRDefault="00937ED0">
            <w:pPr>
              <w:jc w:val="center"/>
            </w:pPr>
            <w:r>
              <w:rPr>
                <w:color w:val="000000"/>
                <w:sz w:val="24"/>
                <w:szCs w:val="24"/>
              </w:rPr>
              <w:t>伊利股份</w:t>
            </w:r>
          </w:p>
        </w:tc>
        <w:tc>
          <w:tcPr>
            <w:tcW w:w="1334" w:type="dxa"/>
            <w:vAlign w:val="center"/>
          </w:tcPr>
          <w:p w:rsidR="004058A5" w:rsidRDefault="00937ED0">
            <w:pPr>
              <w:jc w:val="right"/>
            </w:pPr>
            <w:r>
              <w:rPr>
                <w:color w:val="000000"/>
                <w:sz w:val="24"/>
                <w:szCs w:val="24"/>
              </w:rPr>
              <w:t>252,461</w:t>
            </w:r>
          </w:p>
        </w:tc>
        <w:tc>
          <w:tcPr>
            <w:tcW w:w="1924" w:type="dxa"/>
            <w:vAlign w:val="center"/>
          </w:tcPr>
          <w:p w:rsidR="004058A5" w:rsidRDefault="00937ED0">
            <w:pPr>
              <w:jc w:val="right"/>
            </w:pPr>
            <w:r>
              <w:rPr>
                <w:color w:val="000000"/>
                <w:sz w:val="24"/>
                <w:szCs w:val="24"/>
              </w:rPr>
              <w:t>7,788,421.85</w:t>
            </w:r>
          </w:p>
        </w:tc>
        <w:tc>
          <w:tcPr>
            <w:tcW w:w="1644" w:type="dxa"/>
            <w:vAlign w:val="center"/>
          </w:tcPr>
          <w:p w:rsidR="004058A5" w:rsidRDefault="00937ED0">
            <w:pPr>
              <w:jc w:val="right"/>
            </w:pPr>
            <w:r>
              <w:rPr>
                <w:color w:val="000000"/>
                <w:sz w:val="24"/>
                <w:szCs w:val="24"/>
              </w:rPr>
              <w:t>4.75</w:t>
            </w:r>
          </w:p>
        </w:tc>
      </w:tr>
      <w:tr w:rsidR="004058A5">
        <w:trPr>
          <w:jc w:val="center"/>
        </w:trPr>
        <w:tc>
          <w:tcPr>
            <w:tcW w:w="855" w:type="dxa"/>
            <w:vAlign w:val="center"/>
          </w:tcPr>
          <w:p w:rsidR="004058A5" w:rsidRDefault="00937ED0">
            <w:pPr>
              <w:jc w:val="center"/>
            </w:pPr>
            <w:r>
              <w:rPr>
                <w:color w:val="000000"/>
                <w:sz w:val="24"/>
                <w:szCs w:val="24"/>
              </w:rPr>
              <w:t>8</w:t>
            </w:r>
          </w:p>
        </w:tc>
        <w:tc>
          <w:tcPr>
            <w:tcW w:w="1334" w:type="dxa"/>
            <w:vAlign w:val="center"/>
          </w:tcPr>
          <w:p w:rsidR="004058A5" w:rsidRDefault="00937ED0">
            <w:pPr>
              <w:jc w:val="center"/>
            </w:pPr>
            <w:r>
              <w:rPr>
                <w:color w:val="000000"/>
                <w:sz w:val="24"/>
                <w:szCs w:val="24"/>
              </w:rPr>
              <w:t>600276</w:t>
            </w:r>
          </w:p>
        </w:tc>
        <w:tc>
          <w:tcPr>
            <w:tcW w:w="1777" w:type="dxa"/>
            <w:vAlign w:val="center"/>
          </w:tcPr>
          <w:p w:rsidR="004058A5" w:rsidRDefault="00937ED0">
            <w:pPr>
              <w:jc w:val="center"/>
            </w:pPr>
            <w:r>
              <w:rPr>
                <w:color w:val="000000"/>
                <w:sz w:val="24"/>
                <w:szCs w:val="24"/>
              </w:rPr>
              <w:t>恒瑞医药</w:t>
            </w:r>
          </w:p>
        </w:tc>
        <w:tc>
          <w:tcPr>
            <w:tcW w:w="1334" w:type="dxa"/>
            <w:vAlign w:val="center"/>
          </w:tcPr>
          <w:p w:rsidR="004058A5" w:rsidRDefault="00937ED0">
            <w:pPr>
              <w:jc w:val="right"/>
            </w:pPr>
            <w:r>
              <w:rPr>
                <w:color w:val="000000"/>
                <w:sz w:val="24"/>
                <w:szCs w:val="24"/>
              </w:rPr>
              <w:t>166,280</w:t>
            </w:r>
          </w:p>
        </w:tc>
        <w:tc>
          <w:tcPr>
            <w:tcW w:w="1924" w:type="dxa"/>
            <w:vAlign w:val="center"/>
          </w:tcPr>
          <w:p w:rsidR="004058A5" w:rsidRDefault="00937ED0">
            <w:pPr>
              <w:jc w:val="right"/>
            </w:pPr>
            <w:r>
              <w:rPr>
                <w:color w:val="000000"/>
                <w:sz w:val="24"/>
                <w:szCs w:val="24"/>
              </w:rPr>
              <w:t>7,665,508.00</w:t>
            </w:r>
          </w:p>
        </w:tc>
        <w:tc>
          <w:tcPr>
            <w:tcW w:w="1644" w:type="dxa"/>
            <w:vAlign w:val="center"/>
          </w:tcPr>
          <w:p w:rsidR="004058A5" w:rsidRDefault="00937ED0">
            <w:pPr>
              <w:jc w:val="right"/>
            </w:pPr>
            <w:r>
              <w:rPr>
                <w:color w:val="000000"/>
                <w:sz w:val="24"/>
                <w:szCs w:val="24"/>
              </w:rPr>
              <w:t>4.68</w:t>
            </w:r>
          </w:p>
        </w:tc>
      </w:tr>
      <w:tr w:rsidR="004058A5">
        <w:trPr>
          <w:jc w:val="center"/>
        </w:trPr>
        <w:tc>
          <w:tcPr>
            <w:tcW w:w="855" w:type="dxa"/>
            <w:vAlign w:val="center"/>
          </w:tcPr>
          <w:p w:rsidR="004058A5" w:rsidRDefault="00937ED0">
            <w:pPr>
              <w:jc w:val="center"/>
            </w:pPr>
            <w:r>
              <w:rPr>
                <w:color w:val="000000"/>
                <w:sz w:val="24"/>
                <w:szCs w:val="24"/>
              </w:rPr>
              <w:t>9</w:t>
            </w:r>
          </w:p>
        </w:tc>
        <w:tc>
          <w:tcPr>
            <w:tcW w:w="1334" w:type="dxa"/>
            <w:vAlign w:val="center"/>
          </w:tcPr>
          <w:p w:rsidR="004058A5" w:rsidRDefault="00937ED0">
            <w:pPr>
              <w:jc w:val="center"/>
            </w:pPr>
            <w:r>
              <w:rPr>
                <w:color w:val="000000"/>
                <w:sz w:val="24"/>
                <w:szCs w:val="24"/>
              </w:rPr>
              <w:t>002223</w:t>
            </w:r>
          </w:p>
        </w:tc>
        <w:tc>
          <w:tcPr>
            <w:tcW w:w="1777" w:type="dxa"/>
            <w:vAlign w:val="center"/>
          </w:tcPr>
          <w:p w:rsidR="004058A5" w:rsidRDefault="00937ED0">
            <w:pPr>
              <w:jc w:val="center"/>
            </w:pPr>
            <w:r>
              <w:rPr>
                <w:color w:val="000000"/>
                <w:sz w:val="24"/>
                <w:szCs w:val="24"/>
              </w:rPr>
              <w:t>鱼跃医疗</w:t>
            </w:r>
          </w:p>
        </w:tc>
        <w:tc>
          <w:tcPr>
            <w:tcW w:w="1334" w:type="dxa"/>
            <w:vAlign w:val="center"/>
          </w:tcPr>
          <w:p w:rsidR="004058A5" w:rsidRDefault="00937ED0">
            <w:pPr>
              <w:jc w:val="right"/>
            </w:pPr>
            <w:r>
              <w:rPr>
                <w:color w:val="000000"/>
                <w:sz w:val="24"/>
                <w:szCs w:val="24"/>
              </w:rPr>
              <w:t>186,778</w:t>
            </w:r>
          </w:p>
        </w:tc>
        <w:tc>
          <w:tcPr>
            <w:tcW w:w="1924" w:type="dxa"/>
            <w:vAlign w:val="center"/>
          </w:tcPr>
          <w:p w:rsidR="004058A5" w:rsidRDefault="00937ED0">
            <w:pPr>
              <w:jc w:val="right"/>
            </w:pPr>
            <w:r>
              <w:rPr>
                <w:color w:val="000000"/>
                <w:sz w:val="24"/>
                <w:szCs w:val="24"/>
              </w:rPr>
              <w:t>6,794,983.64</w:t>
            </w:r>
          </w:p>
        </w:tc>
        <w:tc>
          <w:tcPr>
            <w:tcW w:w="1644" w:type="dxa"/>
            <w:vAlign w:val="center"/>
          </w:tcPr>
          <w:p w:rsidR="004058A5" w:rsidRDefault="00937ED0">
            <w:pPr>
              <w:jc w:val="right"/>
            </w:pPr>
            <w:r>
              <w:rPr>
                <w:color w:val="000000"/>
                <w:sz w:val="24"/>
                <w:szCs w:val="24"/>
              </w:rPr>
              <w:t>4.15</w:t>
            </w:r>
          </w:p>
        </w:tc>
      </w:tr>
      <w:tr w:rsidR="004058A5">
        <w:trPr>
          <w:jc w:val="center"/>
        </w:trPr>
        <w:tc>
          <w:tcPr>
            <w:tcW w:w="855" w:type="dxa"/>
            <w:vAlign w:val="center"/>
          </w:tcPr>
          <w:p w:rsidR="004058A5" w:rsidRDefault="00937ED0">
            <w:pPr>
              <w:jc w:val="center"/>
            </w:pPr>
            <w:r>
              <w:rPr>
                <w:color w:val="000000"/>
                <w:sz w:val="24"/>
                <w:szCs w:val="24"/>
              </w:rPr>
              <w:t>10</w:t>
            </w:r>
          </w:p>
        </w:tc>
        <w:tc>
          <w:tcPr>
            <w:tcW w:w="1334" w:type="dxa"/>
            <w:vAlign w:val="center"/>
          </w:tcPr>
          <w:p w:rsidR="004058A5" w:rsidRDefault="00937ED0">
            <w:pPr>
              <w:jc w:val="center"/>
            </w:pPr>
            <w:r>
              <w:rPr>
                <w:color w:val="000000"/>
                <w:sz w:val="24"/>
                <w:szCs w:val="24"/>
              </w:rPr>
              <w:t>600315</w:t>
            </w:r>
          </w:p>
        </w:tc>
        <w:tc>
          <w:tcPr>
            <w:tcW w:w="1777" w:type="dxa"/>
            <w:vAlign w:val="center"/>
          </w:tcPr>
          <w:p w:rsidR="004058A5" w:rsidRDefault="00937ED0">
            <w:pPr>
              <w:jc w:val="center"/>
            </w:pPr>
            <w:r>
              <w:rPr>
                <w:color w:val="000000"/>
                <w:sz w:val="24"/>
                <w:szCs w:val="24"/>
              </w:rPr>
              <w:t>上海家化</w:t>
            </w:r>
          </w:p>
        </w:tc>
        <w:tc>
          <w:tcPr>
            <w:tcW w:w="1334" w:type="dxa"/>
            <w:vAlign w:val="center"/>
          </w:tcPr>
          <w:p w:rsidR="004058A5" w:rsidRDefault="00937ED0">
            <w:pPr>
              <w:jc w:val="right"/>
            </w:pPr>
            <w:r>
              <w:rPr>
                <w:color w:val="000000"/>
                <w:sz w:val="24"/>
                <w:szCs w:val="24"/>
              </w:rPr>
              <w:t>100,765</w:t>
            </w:r>
          </w:p>
        </w:tc>
        <w:tc>
          <w:tcPr>
            <w:tcW w:w="1924" w:type="dxa"/>
            <w:vAlign w:val="center"/>
          </w:tcPr>
          <w:p w:rsidR="004058A5" w:rsidRDefault="00937ED0">
            <w:pPr>
              <w:jc w:val="right"/>
            </w:pPr>
            <w:r>
              <w:rPr>
                <w:color w:val="000000"/>
                <w:sz w:val="24"/>
                <w:szCs w:val="24"/>
              </w:rPr>
              <w:t>4,285,535.45</w:t>
            </w:r>
          </w:p>
        </w:tc>
        <w:tc>
          <w:tcPr>
            <w:tcW w:w="1644" w:type="dxa"/>
            <w:vAlign w:val="center"/>
          </w:tcPr>
          <w:p w:rsidR="004058A5" w:rsidRDefault="00937ED0">
            <w:pPr>
              <w:jc w:val="right"/>
            </w:pPr>
            <w:r>
              <w:rPr>
                <w:color w:val="000000"/>
                <w:sz w:val="24"/>
                <w:szCs w:val="24"/>
              </w:rPr>
              <w:t>2.62</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报告期内本基金投资的前十名证券的发行主体除上海家化（证券代码：</w:t>
      </w:r>
      <w:r w:rsidRPr="00BE5388">
        <w:rPr>
          <w:bCs/>
          <w:color w:val="000000"/>
          <w:kern w:val="0"/>
          <w:sz w:val="24"/>
          <w:szCs w:val="24"/>
        </w:rPr>
        <w:t>600315</w:t>
      </w:r>
      <w:r w:rsidRPr="00BE5388">
        <w:rPr>
          <w:bCs/>
          <w:color w:val="000000"/>
          <w:kern w:val="0"/>
          <w:sz w:val="24"/>
          <w:szCs w:val="24"/>
        </w:rPr>
        <w:t>）外，未出现被监管部门立案调查，或在报告编制日前一年内受到公开谴责、处罚的情形。</w:t>
      </w:r>
    </w:p>
    <w:p w:rsidR="004058A5" w:rsidRDefault="00937ED0">
      <w:pPr>
        <w:autoSpaceDE w:val="0"/>
        <w:autoSpaceDN w:val="0"/>
        <w:adjustRightInd w:val="0"/>
        <w:spacing w:before="29" w:line="288" w:lineRule="auto"/>
        <w:jc w:val="left"/>
        <w:rPr>
          <w:bCs/>
          <w:color w:val="000000"/>
          <w:kern w:val="0"/>
          <w:sz w:val="24"/>
          <w:szCs w:val="24"/>
        </w:rPr>
      </w:pPr>
      <w:r>
        <w:rPr>
          <w:bCs/>
          <w:color w:val="000000"/>
          <w:kern w:val="0"/>
          <w:sz w:val="24"/>
          <w:szCs w:val="24"/>
        </w:rPr>
        <w:t>报告期内本基金投资的前十名证券之一上海家化（证券代码：</w:t>
      </w:r>
      <w:r>
        <w:rPr>
          <w:bCs/>
          <w:color w:val="000000"/>
          <w:kern w:val="0"/>
          <w:sz w:val="24"/>
          <w:szCs w:val="24"/>
        </w:rPr>
        <w:t>600315</w:t>
      </w:r>
      <w:r>
        <w:rPr>
          <w:bCs/>
          <w:color w:val="000000"/>
          <w:kern w:val="0"/>
          <w:sz w:val="24"/>
          <w:szCs w:val="24"/>
        </w:rPr>
        <w:t>）于</w:t>
      </w:r>
      <w:r>
        <w:rPr>
          <w:bCs/>
          <w:color w:val="000000"/>
          <w:kern w:val="0"/>
          <w:sz w:val="24"/>
          <w:szCs w:val="24"/>
        </w:rPr>
        <w:t>2014</w:t>
      </w:r>
      <w:r>
        <w:rPr>
          <w:bCs/>
          <w:color w:val="000000"/>
          <w:kern w:val="0"/>
          <w:sz w:val="24"/>
          <w:szCs w:val="24"/>
        </w:rPr>
        <w:t>年</w:t>
      </w:r>
      <w:r>
        <w:rPr>
          <w:bCs/>
          <w:color w:val="000000"/>
          <w:kern w:val="0"/>
          <w:sz w:val="24"/>
          <w:szCs w:val="24"/>
        </w:rPr>
        <w:t>12</w:t>
      </w:r>
      <w:r>
        <w:rPr>
          <w:bCs/>
          <w:color w:val="000000"/>
          <w:kern w:val="0"/>
          <w:sz w:val="24"/>
          <w:szCs w:val="24"/>
        </w:rPr>
        <w:t>月</w:t>
      </w:r>
      <w:r>
        <w:rPr>
          <w:bCs/>
          <w:color w:val="000000"/>
          <w:kern w:val="0"/>
          <w:sz w:val="24"/>
          <w:szCs w:val="24"/>
        </w:rPr>
        <w:t>24</w:t>
      </w:r>
      <w:r>
        <w:rPr>
          <w:bCs/>
          <w:color w:val="000000"/>
          <w:kern w:val="0"/>
          <w:sz w:val="24"/>
          <w:szCs w:val="24"/>
        </w:rPr>
        <w:t>日公告，公司因信息披露违法违规行为于</w:t>
      </w:r>
      <w:r>
        <w:rPr>
          <w:bCs/>
          <w:color w:val="000000"/>
          <w:kern w:val="0"/>
          <w:sz w:val="24"/>
          <w:szCs w:val="24"/>
        </w:rPr>
        <w:t>2014</w:t>
      </w:r>
      <w:r>
        <w:rPr>
          <w:bCs/>
          <w:color w:val="000000"/>
          <w:kern w:val="0"/>
          <w:sz w:val="24"/>
          <w:szCs w:val="24"/>
        </w:rPr>
        <w:t>年</w:t>
      </w:r>
      <w:r>
        <w:rPr>
          <w:bCs/>
          <w:color w:val="000000"/>
          <w:kern w:val="0"/>
          <w:sz w:val="24"/>
          <w:szCs w:val="24"/>
        </w:rPr>
        <w:t>12</w:t>
      </w:r>
      <w:r>
        <w:rPr>
          <w:bCs/>
          <w:color w:val="000000"/>
          <w:kern w:val="0"/>
          <w:sz w:val="24"/>
          <w:szCs w:val="24"/>
        </w:rPr>
        <w:t>月</w:t>
      </w:r>
      <w:r>
        <w:rPr>
          <w:bCs/>
          <w:color w:val="000000"/>
          <w:kern w:val="0"/>
          <w:sz w:val="24"/>
          <w:szCs w:val="24"/>
        </w:rPr>
        <w:t>23</w:t>
      </w:r>
      <w:r>
        <w:rPr>
          <w:bCs/>
          <w:color w:val="000000"/>
          <w:kern w:val="0"/>
          <w:sz w:val="24"/>
          <w:szCs w:val="24"/>
        </w:rPr>
        <w:t>日收到中国证券监督管理委员会上海监管局下发的《行政处罚事先告知书》（编号：沪证监处罚字</w:t>
      </w:r>
      <w:r>
        <w:rPr>
          <w:bCs/>
          <w:color w:val="000000"/>
          <w:kern w:val="0"/>
          <w:sz w:val="24"/>
          <w:szCs w:val="24"/>
        </w:rPr>
        <w:t>[2014]10</w:t>
      </w:r>
      <w:r>
        <w:rPr>
          <w:bCs/>
          <w:color w:val="000000"/>
          <w:kern w:val="0"/>
          <w:sz w:val="24"/>
          <w:szCs w:val="24"/>
        </w:rPr>
        <w:t>号）。据此，上海证监局拟对公司予以警告，并处以</w:t>
      </w:r>
      <w:r>
        <w:rPr>
          <w:bCs/>
          <w:color w:val="000000"/>
          <w:kern w:val="0"/>
          <w:sz w:val="24"/>
          <w:szCs w:val="24"/>
        </w:rPr>
        <w:t>30</w:t>
      </w:r>
      <w:r>
        <w:rPr>
          <w:bCs/>
          <w:color w:val="000000"/>
          <w:kern w:val="0"/>
          <w:sz w:val="24"/>
          <w:szCs w:val="24"/>
        </w:rPr>
        <w:t>万元罚款。</w:t>
      </w:r>
    </w:p>
    <w:p w:rsidR="004058A5" w:rsidRDefault="00937ED0">
      <w:pPr>
        <w:autoSpaceDE w:val="0"/>
        <w:autoSpaceDN w:val="0"/>
        <w:adjustRightInd w:val="0"/>
        <w:spacing w:before="29" w:line="288" w:lineRule="auto"/>
        <w:jc w:val="left"/>
        <w:rPr>
          <w:bCs/>
          <w:color w:val="000000"/>
          <w:kern w:val="0"/>
          <w:sz w:val="24"/>
          <w:szCs w:val="24"/>
        </w:rPr>
      </w:pPr>
      <w:r>
        <w:rPr>
          <w:bCs/>
          <w:color w:val="000000"/>
          <w:kern w:val="0"/>
          <w:sz w:val="24"/>
          <w:szCs w:val="24"/>
        </w:rPr>
        <w:t>本基金管理人对该证券投资决策程序的说明如下：本基金管理人对证券投资特别是重仓股的投资有严格的投资决策流程控制。本基金在对该证券的投资也严格执行投资决策流程。在对该证券的选择上，严格执行公司股票池审核流程进入公司核心股票池。在对该证券的持有过程中公司研究员密切关注上市公司动向。在上述事件发生时及时分析其对投资决策的影响，经过分析认为此事件对上市公司财务状况、经营成果和现金流量未产生重大的实质性影响，所以不影响对该公司基本面和公司治理的投资判断。</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172,155.51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3,732.21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85,906.95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261,794.67</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191,354,658.73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6,252,426.82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88,174,065.34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109,433,020.21</w:t>
            </w:r>
          </w:p>
        </w:tc>
      </w:tr>
    </w:tbl>
    <w:p w:rsidR="004058A5" w:rsidRDefault="00937ED0">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6F64DD">
      <w:pPr>
        <w:pStyle w:val="1"/>
        <w:tabs>
          <w:tab w:val="center" w:pos="4156"/>
          <w:tab w:val="right" w:pos="8312"/>
        </w:tabs>
        <w:spacing w:beforeLines="100" w:afterLines="100"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4061AC" w:rsidRPr="00414345" w:rsidRDefault="004061AC" w:rsidP="006F64DD">
      <w:pPr>
        <w:pStyle w:val="1"/>
        <w:spacing w:beforeLines="100" w:afterLines="100" w:line="288" w:lineRule="auto"/>
        <w:jc w:val="center"/>
        <w:rPr>
          <w:color w:val="000000"/>
          <w:kern w:val="0"/>
          <w:sz w:val="24"/>
          <w:szCs w:val="24"/>
        </w:rPr>
      </w:pPr>
      <w:r w:rsidRPr="00414345">
        <w:rPr>
          <w:color w:val="000000"/>
          <w:kern w:val="0"/>
          <w:sz w:val="24"/>
          <w:szCs w:val="24"/>
        </w:rPr>
        <w:t>§</w:t>
      </w:r>
      <w:r w:rsidR="00676095"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影响投资者决策的其他重要信息</w:t>
      </w:r>
    </w:p>
    <w:p w:rsidR="004058A5" w:rsidRDefault="00937ED0">
      <w:pPr>
        <w:spacing w:before="29" w:line="288" w:lineRule="auto"/>
        <w:ind w:firstLineChars="200" w:firstLine="480"/>
        <w:rPr>
          <w:color w:val="000000"/>
          <w:sz w:val="24"/>
          <w:szCs w:val="24"/>
        </w:rPr>
      </w:pPr>
      <w:r>
        <w:rPr>
          <w:color w:val="000000"/>
          <w:sz w:val="24"/>
          <w:szCs w:val="24"/>
        </w:rPr>
        <w:t>根据《关于发布</w:t>
      </w:r>
      <w:r>
        <w:rPr>
          <w:color w:val="000000"/>
          <w:sz w:val="24"/>
          <w:szCs w:val="24"/>
        </w:rPr>
        <w:t>&lt;</w:t>
      </w:r>
      <w:r>
        <w:rPr>
          <w:color w:val="000000"/>
          <w:sz w:val="24"/>
          <w:szCs w:val="24"/>
        </w:rPr>
        <w:t>中国证券投资基金业协会估值核算工作小组关于</w:t>
      </w:r>
      <w:r>
        <w:rPr>
          <w:color w:val="000000"/>
          <w:sz w:val="24"/>
          <w:szCs w:val="24"/>
        </w:rPr>
        <w:t>2015</w:t>
      </w:r>
      <w:r>
        <w:rPr>
          <w:color w:val="000000"/>
          <w:sz w:val="24"/>
          <w:szCs w:val="24"/>
        </w:rPr>
        <w:t>年</w:t>
      </w:r>
      <w:r>
        <w:rPr>
          <w:color w:val="000000"/>
          <w:sz w:val="24"/>
          <w:szCs w:val="24"/>
        </w:rPr>
        <w:t>1</w:t>
      </w:r>
      <w:r>
        <w:rPr>
          <w:color w:val="000000"/>
          <w:sz w:val="24"/>
          <w:szCs w:val="24"/>
        </w:rPr>
        <w:t>季度固定收益品种的估值处理标准</w:t>
      </w:r>
      <w:r>
        <w:rPr>
          <w:color w:val="000000"/>
          <w:sz w:val="24"/>
          <w:szCs w:val="24"/>
        </w:rPr>
        <w:t>&gt;</w:t>
      </w:r>
      <w:r>
        <w:rPr>
          <w:color w:val="000000"/>
          <w:sz w:val="24"/>
          <w:szCs w:val="24"/>
        </w:rPr>
        <w:t>的通知》（中基协发</w:t>
      </w:r>
      <w:r>
        <w:rPr>
          <w:color w:val="000000"/>
          <w:sz w:val="24"/>
          <w:szCs w:val="24"/>
        </w:rPr>
        <w:t>[2014]24</w:t>
      </w:r>
      <w:r>
        <w:rPr>
          <w:color w:val="000000"/>
          <w:sz w:val="24"/>
          <w:szCs w:val="24"/>
        </w:rPr>
        <w:t>号）的要求，交银施罗德基金管理有限公司经与各基金托管人、会计师事务所协商一致，决定自</w:t>
      </w:r>
      <w:r>
        <w:rPr>
          <w:color w:val="000000"/>
          <w:sz w:val="24"/>
          <w:szCs w:val="24"/>
        </w:rPr>
        <w:t>2015</w:t>
      </w:r>
      <w:r>
        <w:rPr>
          <w:color w:val="000000"/>
          <w:sz w:val="24"/>
          <w:szCs w:val="24"/>
        </w:rPr>
        <w:t>年</w:t>
      </w:r>
      <w:r>
        <w:rPr>
          <w:color w:val="000000"/>
          <w:sz w:val="24"/>
          <w:szCs w:val="24"/>
        </w:rPr>
        <w:t>3</w:t>
      </w:r>
      <w:r>
        <w:rPr>
          <w:color w:val="000000"/>
          <w:sz w:val="24"/>
          <w:szCs w:val="24"/>
        </w:rPr>
        <w:t>月</w:t>
      </w:r>
      <w:r>
        <w:rPr>
          <w:color w:val="000000"/>
          <w:sz w:val="24"/>
          <w:szCs w:val="24"/>
        </w:rPr>
        <w:t>19</w:t>
      </w:r>
      <w:r>
        <w:rPr>
          <w:color w:val="000000"/>
          <w:sz w:val="24"/>
          <w:szCs w:val="24"/>
        </w:rPr>
        <w:t>日起对旗下基金持有的上海证券交易所、深圳证券交易所上市交易或挂牌转让的固定收益品种主要依据第三方估值机构提供的价格数据进行估值，该通知另有规定的除外。</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lastRenderedPageBreak/>
        <w:t>2015</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19</w:t>
      </w:r>
      <w:r w:rsidRPr="00414345">
        <w:rPr>
          <w:color w:val="000000"/>
          <w:sz w:val="24"/>
          <w:szCs w:val="24"/>
        </w:rPr>
        <w:t>日当日进行的上述相关调整对前一估值日各基金资产净值的影响不超过</w:t>
      </w:r>
      <w:r w:rsidRPr="00414345">
        <w:rPr>
          <w:color w:val="000000"/>
          <w:sz w:val="24"/>
          <w:szCs w:val="24"/>
        </w:rPr>
        <w:t>0.50%</w:t>
      </w:r>
      <w:r w:rsidRPr="00414345">
        <w:rPr>
          <w:color w:val="000000"/>
          <w:sz w:val="24"/>
          <w:szCs w:val="24"/>
        </w:rPr>
        <w:t>。</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6F64DD">
      <w:pPr>
        <w:pStyle w:val="1"/>
        <w:spacing w:beforeLines="100" w:after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4058A5" w:rsidRDefault="00937ED0">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、中国证监会批准交银施罗德成长</w:t>
      </w:r>
      <w:r>
        <w:rPr>
          <w:color w:val="000000"/>
          <w:sz w:val="24"/>
          <w:szCs w:val="24"/>
        </w:rPr>
        <w:t>30</w:t>
      </w:r>
      <w:r>
        <w:rPr>
          <w:color w:val="000000"/>
          <w:sz w:val="24"/>
          <w:szCs w:val="24"/>
        </w:rPr>
        <w:t>股票型证券投资基金募集的文件；</w:t>
      </w:r>
      <w:r>
        <w:rPr>
          <w:color w:val="000000"/>
          <w:sz w:val="24"/>
          <w:szCs w:val="24"/>
        </w:rPr>
        <w:t xml:space="preserve"> </w:t>
      </w:r>
    </w:p>
    <w:p w:rsidR="004058A5" w:rsidRDefault="00937ED0">
      <w:pPr>
        <w:spacing w:before="29" w:line="288" w:lineRule="auto"/>
        <w:ind w:firstLineChars="200" w:firstLine="480"/>
        <w:rPr>
          <w:color w:val="000000"/>
          <w:sz w:val="24"/>
          <w:szCs w:val="24"/>
        </w:rPr>
      </w:pPr>
      <w:r>
        <w:rPr>
          <w:color w:val="000000"/>
          <w:sz w:val="24"/>
          <w:szCs w:val="24"/>
        </w:rPr>
        <w:t>2</w:t>
      </w:r>
      <w:r>
        <w:rPr>
          <w:color w:val="000000"/>
          <w:sz w:val="24"/>
          <w:szCs w:val="24"/>
        </w:rPr>
        <w:t>、《交银施罗德成长</w:t>
      </w:r>
      <w:r>
        <w:rPr>
          <w:color w:val="000000"/>
          <w:sz w:val="24"/>
          <w:szCs w:val="24"/>
        </w:rPr>
        <w:t>30</w:t>
      </w:r>
      <w:r>
        <w:rPr>
          <w:color w:val="000000"/>
          <w:sz w:val="24"/>
          <w:szCs w:val="24"/>
        </w:rPr>
        <w:t>股票型证券投资基金基金合同》；</w:t>
      </w:r>
      <w:r>
        <w:rPr>
          <w:color w:val="000000"/>
          <w:sz w:val="24"/>
          <w:szCs w:val="24"/>
        </w:rPr>
        <w:t xml:space="preserve"> </w:t>
      </w:r>
    </w:p>
    <w:p w:rsidR="004058A5" w:rsidRDefault="00937ED0">
      <w:pPr>
        <w:spacing w:before="29" w:line="288" w:lineRule="auto"/>
        <w:ind w:firstLineChars="200" w:firstLine="480"/>
        <w:rPr>
          <w:color w:val="000000"/>
          <w:sz w:val="24"/>
          <w:szCs w:val="24"/>
        </w:rPr>
      </w:pPr>
      <w:r>
        <w:rPr>
          <w:color w:val="000000"/>
          <w:sz w:val="24"/>
          <w:szCs w:val="24"/>
        </w:rPr>
        <w:t>3</w:t>
      </w:r>
      <w:r>
        <w:rPr>
          <w:color w:val="000000"/>
          <w:sz w:val="24"/>
          <w:szCs w:val="24"/>
        </w:rPr>
        <w:t>、《交银施罗德成长</w:t>
      </w:r>
      <w:r>
        <w:rPr>
          <w:color w:val="000000"/>
          <w:sz w:val="24"/>
          <w:szCs w:val="24"/>
        </w:rPr>
        <w:t>30</w:t>
      </w:r>
      <w:r>
        <w:rPr>
          <w:color w:val="000000"/>
          <w:sz w:val="24"/>
          <w:szCs w:val="24"/>
        </w:rPr>
        <w:t>股票型证券投资基金招募说明书》；</w:t>
      </w:r>
      <w:r>
        <w:rPr>
          <w:color w:val="000000"/>
          <w:sz w:val="24"/>
          <w:szCs w:val="24"/>
        </w:rPr>
        <w:t xml:space="preserve"> </w:t>
      </w:r>
    </w:p>
    <w:p w:rsidR="004058A5" w:rsidRDefault="00937ED0">
      <w:pPr>
        <w:spacing w:before="29" w:line="288" w:lineRule="auto"/>
        <w:ind w:firstLineChars="200" w:firstLine="480"/>
        <w:rPr>
          <w:color w:val="000000"/>
          <w:sz w:val="24"/>
          <w:szCs w:val="24"/>
        </w:rPr>
      </w:pPr>
      <w:r>
        <w:rPr>
          <w:color w:val="000000"/>
          <w:sz w:val="24"/>
          <w:szCs w:val="24"/>
        </w:rPr>
        <w:t>4</w:t>
      </w:r>
      <w:r>
        <w:rPr>
          <w:color w:val="000000"/>
          <w:sz w:val="24"/>
          <w:szCs w:val="24"/>
        </w:rPr>
        <w:t>、《交银施罗德成长</w:t>
      </w:r>
      <w:r>
        <w:rPr>
          <w:color w:val="000000"/>
          <w:sz w:val="24"/>
          <w:szCs w:val="24"/>
        </w:rPr>
        <w:t>30</w:t>
      </w:r>
      <w:r>
        <w:rPr>
          <w:color w:val="000000"/>
          <w:sz w:val="24"/>
          <w:szCs w:val="24"/>
        </w:rPr>
        <w:t>股票型证券投资基金托管协议》；</w:t>
      </w:r>
      <w:r>
        <w:rPr>
          <w:color w:val="000000"/>
          <w:sz w:val="24"/>
          <w:szCs w:val="24"/>
        </w:rPr>
        <w:t xml:space="preserve"> </w:t>
      </w:r>
    </w:p>
    <w:p w:rsidR="004058A5" w:rsidRDefault="00937ED0">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、关于募集交银施罗德成长</w:t>
      </w:r>
      <w:r>
        <w:rPr>
          <w:color w:val="000000"/>
          <w:sz w:val="24"/>
          <w:szCs w:val="24"/>
        </w:rPr>
        <w:t>30</w:t>
      </w:r>
      <w:r>
        <w:rPr>
          <w:color w:val="000000"/>
          <w:sz w:val="24"/>
          <w:szCs w:val="24"/>
        </w:rPr>
        <w:t>股票型证券投资基金之法律意见书；</w:t>
      </w:r>
      <w:r>
        <w:rPr>
          <w:color w:val="000000"/>
          <w:sz w:val="24"/>
          <w:szCs w:val="24"/>
        </w:rPr>
        <w:t xml:space="preserve"> </w:t>
      </w:r>
    </w:p>
    <w:p w:rsidR="004058A5" w:rsidRDefault="00937ED0">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4058A5" w:rsidRDefault="00937ED0">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、报告期内交银施罗德成长</w:t>
      </w:r>
      <w:r w:rsidRPr="00414345">
        <w:rPr>
          <w:color w:val="000000"/>
          <w:sz w:val="24"/>
          <w:szCs w:val="24"/>
        </w:rPr>
        <w:t>30</w:t>
      </w:r>
      <w:r w:rsidRPr="00414345">
        <w:rPr>
          <w:color w:val="000000"/>
          <w:sz w:val="24"/>
          <w:szCs w:val="24"/>
        </w:rPr>
        <w:t>股票型证券投资基金在指定报刊上各项公告的原稿。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4058A5" w:rsidRDefault="00937ED0">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7F00" w:rsidRDefault="00707F00" w:rsidP="00876D65">
      <w:r>
        <w:separator/>
      </w:r>
    </w:p>
  </w:endnote>
  <w:endnote w:type="continuationSeparator" w:id="0">
    <w:p w:rsidR="00707F00" w:rsidRDefault="00707F00" w:rsidP="00876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C1658C">
      <w:rPr>
        <w:kern w:val="0"/>
        <w:szCs w:val="21"/>
      </w:rPr>
      <w:fldChar w:fldCharType="begin"/>
    </w:r>
    <w:r>
      <w:rPr>
        <w:kern w:val="0"/>
        <w:szCs w:val="21"/>
      </w:rPr>
      <w:instrText xml:space="preserve"> PAGE </w:instrText>
    </w:r>
    <w:r w:rsidR="00C1658C">
      <w:rPr>
        <w:kern w:val="0"/>
        <w:szCs w:val="21"/>
      </w:rPr>
      <w:fldChar w:fldCharType="separate"/>
    </w:r>
    <w:r w:rsidR="006F64DD">
      <w:rPr>
        <w:noProof/>
        <w:kern w:val="0"/>
        <w:szCs w:val="21"/>
      </w:rPr>
      <w:t>5</w:t>
    </w:r>
    <w:r w:rsidR="00C1658C">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C1658C">
      <w:rPr>
        <w:kern w:val="0"/>
        <w:szCs w:val="21"/>
      </w:rPr>
      <w:fldChar w:fldCharType="begin"/>
    </w:r>
    <w:r>
      <w:rPr>
        <w:kern w:val="0"/>
        <w:szCs w:val="21"/>
      </w:rPr>
      <w:instrText xml:space="preserve"> NUMPAGES </w:instrText>
    </w:r>
    <w:r w:rsidR="00C1658C">
      <w:rPr>
        <w:kern w:val="0"/>
        <w:szCs w:val="21"/>
      </w:rPr>
      <w:fldChar w:fldCharType="separate"/>
    </w:r>
    <w:r w:rsidR="006F64DD">
      <w:rPr>
        <w:noProof/>
        <w:kern w:val="0"/>
        <w:szCs w:val="21"/>
      </w:rPr>
      <w:t>11</w:t>
    </w:r>
    <w:r w:rsidR="00C1658C">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7F00" w:rsidRDefault="00707F00" w:rsidP="00876D65">
      <w:r>
        <w:separator/>
      </w:r>
    </w:p>
  </w:footnote>
  <w:footnote w:type="continuationSeparator" w:id="0">
    <w:p w:rsidR="00707F00" w:rsidRDefault="00707F00" w:rsidP="00876D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6FBC"/>
    <w:rsid w:val="003D742E"/>
    <w:rsid w:val="003E62FB"/>
    <w:rsid w:val="003E6867"/>
    <w:rsid w:val="003F09B5"/>
    <w:rsid w:val="003F1ECB"/>
    <w:rsid w:val="003F39DF"/>
    <w:rsid w:val="003F63BE"/>
    <w:rsid w:val="004003F8"/>
    <w:rsid w:val="004033ED"/>
    <w:rsid w:val="004058A5"/>
    <w:rsid w:val="004061AC"/>
    <w:rsid w:val="00410630"/>
    <w:rsid w:val="00414345"/>
    <w:rsid w:val="004149AC"/>
    <w:rsid w:val="0042009D"/>
    <w:rsid w:val="004216D2"/>
    <w:rsid w:val="00421CD2"/>
    <w:rsid w:val="00426096"/>
    <w:rsid w:val="00427F58"/>
    <w:rsid w:val="00433805"/>
    <w:rsid w:val="00443869"/>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B5A32"/>
    <w:rsid w:val="006C12B8"/>
    <w:rsid w:val="006C2C1B"/>
    <w:rsid w:val="006C37FC"/>
    <w:rsid w:val="006C7EA3"/>
    <w:rsid w:val="006D2F96"/>
    <w:rsid w:val="006D39E9"/>
    <w:rsid w:val="006D3BE3"/>
    <w:rsid w:val="006D7004"/>
    <w:rsid w:val="006D789D"/>
    <w:rsid w:val="006D7FF8"/>
    <w:rsid w:val="006E042A"/>
    <w:rsid w:val="006E6726"/>
    <w:rsid w:val="006F5E68"/>
    <w:rsid w:val="006F64DD"/>
    <w:rsid w:val="00706D60"/>
    <w:rsid w:val="007075E3"/>
    <w:rsid w:val="00707F00"/>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006"/>
    <w:rsid w:val="00846739"/>
    <w:rsid w:val="00853140"/>
    <w:rsid w:val="00854537"/>
    <w:rsid w:val="00855F31"/>
    <w:rsid w:val="008606B6"/>
    <w:rsid w:val="00861E6D"/>
    <w:rsid w:val="008700EC"/>
    <w:rsid w:val="008749A7"/>
    <w:rsid w:val="00875DAC"/>
    <w:rsid w:val="00876A05"/>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37ED0"/>
    <w:rsid w:val="009431FA"/>
    <w:rsid w:val="00945AF6"/>
    <w:rsid w:val="009550BE"/>
    <w:rsid w:val="00955531"/>
    <w:rsid w:val="00955BE8"/>
    <w:rsid w:val="00957594"/>
    <w:rsid w:val="00963F40"/>
    <w:rsid w:val="009730B8"/>
    <w:rsid w:val="0097424F"/>
    <w:rsid w:val="0098122D"/>
    <w:rsid w:val="00985879"/>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C063D"/>
    <w:rsid w:val="00AC592E"/>
    <w:rsid w:val="00AC6C10"/>
    <w:rsid w:val="00AC7BC6"/>
    <w:rsid w:val="00AC7DB1"/>
    <w:rsid w:val="00AD24AA"/>
    <w:rsid w:val="00AE7962"/>
    <w:rsid w:val="00AF0A7F"/>
    <w:rsid w:val="00AF3AB2"/>
    <w:rsid w:val="00AF493C"/>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1658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45632"/>
    <w:rsid w:val="00E52DBC"/>
    <w:rsid w:val="00E54301"/>
    <w:rsid w:val="00E54BF5"/>
    <w:rsid w:val="00E554A1"/>
    <w:rsid w:val="00E55ABD"/>
    <w:rsid w:val="00E60817"/>
    <w:rsid w:val="00E62DE5"/>
    <w:rsid w:val="00E705CC"/>
    <w:rsid w:val="00E84C7E"/>
    <w:rsid w:val="00E85E4B"/>
    <w:rsid w:val="00E8670B"/>
    <w:rsid w:val="00E92EDE"/>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389C"/>
    <w:rsid w:val="00F375F2"/>
    <w:rsid w:val="00F45C47"/>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r="http://schemas.openxmlformats.org/officeDocument/2006/relationships" xmlns:w="http://schemas.openxmlformats.org/wordprocessingml/2006/main">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0B3EA-72BC-4A42-B164-05859FA48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1787</TotalTime>
  <Pages>11</Pages>
  <Words>1044</Words>
  <Characters>5956</Characters>
  <Application>Microsoft Office Word</Application>
  <DocSecurity>0</DocSecurity>
  <Lines>49</Lines>
  <Paragraphs>13</Paragraphs>
  <ScaleCrop>false</ScaleCrop>
  <Company/>
  <LinksUpToDate>false</LinksUpToDate>
  <CharactersWithSpaces>6987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史驰昊</cp:lastModifiedBy>
  <cp:revision>565</cp:revision>
  <dcterms:created xsi:type="dcterms:W3CDTF">2012-10-16T06:07:00Z</dcterms:created>
  <dcterms:modified xsi:type="dcterms:W3CDTF">2015-04-22T05:35:00Z</dcterms:modified>
</cp:coreProperties>
</file>