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rsidR="009238DB" w:rsidRPr="007F52FA" w:rsidRDefault="009238DB" w:rsidP="00700B87">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00B87">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007166FF">
              <w:rPr>
                <w:rFonts w:hint="eastAsia"/>
                <w:color w:val="000000"/>
                <w:kern w:val="0"/>
                <w:sz w:val="24"/>
              </w:rPr>
              <w:t>，封</w:t>
            </w:r>
            <w:r w:rsidRPr="007F52FA">
              <w:rPr>
                <w:color w:val="000000"/>
                <w:kern w:val="0"/>
                <w:sz w:val="24"/>
              </w:rPr>
              <w:t>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信用债券的信用评级，以及各类债券的流动性、供求关系和收益率水平等，自下而上精选个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6F1D83">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402,154,039.59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23,334,238.83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00B87">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4,316,397.38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215,880.70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6,764,506.47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357,954.07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AC2B2B">
            <w:pPr>
              <w:adjustRightInd w:val="0"/>
              <w:spacing w:before="29" w:line="288" w:lineRule="auto"/>
              <w:ind w:left="17"/>
              <w:jc w:val="right"/>
              <w:rPr>
                <w:color w:val="000000"/>
                <w:sz w:val="24"/>
              </w:rPr>
            </w:pPr>
            <w:r w:rsidRPr="007F52FA">
              <w:rPr>
                <w:color w:val="000000"/>
                <w:sz w:val="24"/>
              </w:rPr>
              <w:t>0.</w:t>
            </w:r>
            <w:r w:rsidR="00AC2B2B" w:rsidRPr="007F52FA">
              <w:rPr>
                <w:color w:val="000000"/>
                <w:sz w:val="24"/>
              </w:rPr>
              <w:t>016</w:t>
            </w:r>
            <w:r w:rsidR="00AC2B2B">
              <w:rPr>
                <w:color w:val="000000"/>
                <w:sz w:val="24"/>
              </w:rPr>
              <w:t>8</w:t>
            </w:r>
          </w:p>
        </w:tc>
        <w:tc>
          <w:tcPr>
            <w:tcW w:w="2481" w:type="dxa"/>
            <w:vAlign w:val="center"/>
          </w:tcPr>
          <w:p w:rsidR="005F293E" w:rsidRPr="007F52FA" w:rsidRDefault="00FE7FBD" w:rsidP="00AC2B2B">
            <w:pPr>
              <w:adjustRightInd w:val="0"/>
              <w:spacing w:before="29" w:line="288" w:lineRule="auto"/>
              <w:ind w:left="17"/>
              <w:jc w:val="right"/>
              <w:rPr>
                <w:color w:val="000000"/>
                <w:sz w:val="24"/>
              </w:rPr>
            </w:pPr>
            <w:r w:rsidRPr="007F52FA">
              <w:rPr>
                <w:color w:val="000000"/>
                <w:sz w:val="24"/>
              </w:rPr>
              <w:t>0.</w:t>
            </w:r>
            <w:r w:rsidR="00AC2B2B" w:rsidRPr="007F52FA">
              <w:rPr>
                <w:color w:val="000000"/>
                <w:sz w:val="24"/>
              </w:rPr>
              <w:t>015</w:t>
            </w:r>
            <w:r w:rsidR="00AC2B2B">
              <w:rPr>
                <w:color w:val="000000"/>
                <w:sz w:val="24"/>
              </w:rPr>
              <w:t>3</w:t>
            </w:r>
            <w:bookmarkStart w:id="0" w:name="_GoBack"/>
            <w:bookmarkEnd w:id="0"/>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401,681,070.70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23,266,218.97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0.997</w:t>
            </w:r>
          </w:p>
        </w:tc>
      </w:tr>
    </w:tbl>
    <w:p w:rsidR="005B5D7B" w:rsidRDefault="00DD1C0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B5D7B">
        <w:trPr>
          <w:jc w:val="center"/>
        </w:trPr>
        <w:tc>
          <w:tcPr>
            <w:tcW w:w="1266" w:type="dxa"/>
            <w:vAlign w:val="center"/>
          </w:tcPr>
          <w:p w:rsidR="005B5D7B" w:rsidRDefault="00DD1C04">
            <w:pPr>
              <w:jc w:val="left"/>
            </w:pPr>
            <w:r>
              <w:rPr>
                <w:color w:val="000000"/>
                <w:sz w:val="24"/>
              </w:rPr>
              <w:lastRenderedPageBreak/>
              <w:t>过去三个月</w:t>
            </w:r>
          </w:p>
        </w:tc>
        <w:tc>
          <w:tcPr>
            <w:tcW w:w="1267" w:type="dxa"/>
            <w:vAlign w:val="center"/>
          </w:tcPr>
          <w:p w:rsidR="005B5D7B" w:rsidRDefault="00DD1C04">
            <w:pPr>
              <w:jc w:val="center"/>
            </w:pPr>
            <w:r>
              <w:rPr>
                <w:color w:val="000000"/>
                <w:sz w:val="24"/>
              </w:rPr>
              <w:t>1.73%</w:t>
            </w:r>
          </w:p>
        </w:tc>
        <w:tc>
          <w:tcPr>
            <w:tcW w:w="1267" w:type="dxa"/>
            <w:vAlign w:val="center"/>
          </w:tcPr>
          <w:p w:rsidR="005B5D7B" w:rsidRDefault="00DD1C04">
            <w:pPr>
              <w:jc w:val="center"/>
            </w:pPr>
            <w:r>
              <w:rPr>
                <w:color w:val="000000"/>
                <w:sz w:val="24"/>
              </w:rPr>
              <w:t>0.11%</w:t>
            </w:r>
          </w:p>
        </w:tc>
        <w:tc>
          <w:tcPr>
            <w:tcW w:w="1267" w:type="dxa"/>
            <w:vAlign w:val="center"/>
          </w:tcPr>
          <w:p w:rsidR="005B5D7B" w:rsidRDefault="00DD1C04">
            <w:pPr>
              <w:jc w:val="center"/>
            </w:pPr>
            <w:r>
              <w:rPr>
                <w:color w:val="000000"/>
                <w:sz w:val="24"/>
              </w:rPr>
              <w:t>1.13%</w:t>
            </w:r>
          </w:p>
        </w:tc>
        <w:tc>
          <w:tcPr>
            <w:tcW w:w="1267" w:type="dxa"/>
            <w:vAlign w:val="center"/>
          </w:tcPr>
          <w:p w:rsidR="005B5D7B" w:rsidRDefault="00DD1C04">
            <w:pPr>
              <w:jc w:val="center"/>
            </w:pPr>
            <w:r>
              <w:rPr>
                <w:color w:val="000000"/>
                <w:sz w:val="24"/>
              </w:rPr>
              <w:t>0.02%</w:t>
            </w:r>
          </w:p>
        </w:tc>
        <w:tc>
          <w:tcPr>
            <w:tcW w:w="1267" w:type="dxa"/>
            <w:vAlign w:val="center"/>
          </w:tcPr>
          <w:p w:rsidR="005B5D7B" w:rsidRDefault="00DD1C04">
            <w:pPr>
              <w:jc w:val="center"/>
            </w:pPr>
            <w:r>
              <w:rPr>
                <w:color w:val="000000"/>
                <w:sz w:val="24"/>
              </w:rPr>
              <w:t>0.60%</w:t>
            </w:r>
          </w:p>
        </w:tc>
        <w:tc>
          <w:tcPr>
            <w:tcW w:w="1267" w:type="dxa"/>
            <w:vAlign w:val="center"/>
          </w:tcPr>
          <w:p w:rsidR="005B5D7B" w:rsidRDefault="00DD1C04">
            <w:pPr>
              <w:jc w:val="center"/>
            </w:pPr>
            <w:r>
              <w:rPr>
                <w:color w:val="000000"/>
                <w:sz w:val="24"/>
              </w:rPr>
              <w:t>0.09%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B5D7B">
        <w:trPr>
          <w:jc w:val="center"/>
        </w:trPr>
        <w:tc>
          <w:tcPr>
            <w:tcW w:w="1266" w:type="dxa"/>
            <w:vAlign w:val="center"/>
          </w:tcPr>
          <w:p w:rsidR="005B5D7B" w:rsidRDefault="00DD1C04">
            <w:pPr>
              <w:jc w:val="left"/>
            </w:pPr>
            <w:r>
              <w:rPr>
                <w:color w:val="000000"/>
                <w:sz w:val="24"/>
              </w:rPr>
              <w:t>过去三个月</w:t>
            </w:r>
          </w:p>
        </w:tc>
        <w:tc>
          <w:tcPr>
            <w:tcW w:w="1267" w:type="dxa"/>
            <w:vAlign w:val="center"/>
          </w:tcPr>
          <w:p w:rsidR="005B5D7B" w:rsidRDefault="00DD1C04">
            <w:pPr>
              <w:jc w:val="center"/>
            </w:pPr>
            <w:r>
              <w:rPr>
                <w:color w:val="000000"/>
                <w:sz w:val="24"/>
              </w:rPr>
              <w:t>1.53%</w:t>
            </w:r>
          </w:p>
        </w:tc>
        <w:tc>
          <w:tcPr>
            <w:tcW w:w="1267" w:type="dxa"/>
            <w:vAlign w:val="center"/>
          </w:tcPr>
          <w:p w:rsidR="005B5D7B" w:rsidRDefault="00DD1C04">
            <w:pPr>
              <w:jc w:val="center"/>
            </w:pPr>
            <w:r>
              <w:rPr>
                <w:color w:val="000000"/>
                <w:sz w:val="24"/>
              </w:rPr>
              <w:t>0.11%</w:t>
            </w:r>
          </w:p>
        </w:tc>
        <w:tc>
          <w:tcPr>
            <w:tcW w:w="1267" w:type="dxa"/>
            <w:vAlign w:val="center"/>
          </w:tcPr>
          <w:p w:rsidR="005B5D7B" w:rsidRDefault="00DD1C04">
            <w:pPr>
              <w:jc w:val="center"/>
            </w:pPr>
            <w:r>
              <w:rPr>
                <w:color w:val="000000"/>
                <w:sz w:val="24"/>
              </w:rPr>
              <w:t>1.13%</w:t>
            </w:r>
          </w:p>
        </w:tc>
        <w:tc>
          <w:tcPr>
            <w:tcW w:w="1267" w:type="dxa"/>
            <w:vAlign w:val="center"/>
          </w:tcPr>
          <w:p w:rsidR="005B5D7B" w:rsidRDefault="00DD1C04">
            <w:pPr>
              <w:jc w:val="center"/>
            </w:pPr>
            <w:r>
              <w:rPr>
                <w:color w:val="000000"/>
                <w:sz w:val="24"/>
              </w:rPr>
              <w:t>0.02%</w:t>
            </w:r>
          </w:p>
        </w:tc>
        <w:tc>
          <w:tcPr>
            <w:tcW w:w="1267" w:type="dxa"/>
            <w:vAlign w:val="center"/>
          </w:tcPr>
          <w:p w:rsidR="005B5D7B" w:rsidRDefault="00DD1C04">
            <w:pPr>
              <w:jc w:val="center"/>
            </w:pPr>
            <w:r>
              <w:rPr>
                <w:color w:val="000000"/>
                <w:sz w:val="24"/>
              </w:rPr>
              <w:t>0.40%</w:t>
            </w:r>
          </w:p>
        </w:tc>
        <w:tc>
          <w:tcPr>
            <w:tcW w:w="1267" w:type="dxa"/>
            <w:vAlign w:val="center"/>
          </w:tcPr>
          <w:p w:rsidR="005B5D7B" w:rsidRDefault="00DD1C04">
            <w:pPr>
              <w:jc w:val="center"/>
            </w:pPr>
            <w:r>
              <w:rPr>
                <w:color w:val="000000"/>
                <w:sz w:val="24"/>
              </w:rPr>
              <w:t>0.09%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00B87">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B5D7B">
        <w:trPr>
          <w:jc w:val="center"/>
        </w:trPr>
        <w:tc>
          <w:tcPr>
            <w:tcW w:w="946" w:type="dxa"/>
            <w:vAlign w:val="center"/>
          </w:tcPr>
          <w:p w:rsidR="005B5D7B" w:rsidRDefault="00DD1C04">
            <w:pPr>
              <w:jc w:val="center"/>
            </w:pPr>
            <w:r>
              <w:rPr>
                <w:color w:val="000000"/>
                <w:sz w:val="24"/>
              </w:rPr>
              <w:t>孙超</w:t>
            </w:r>
          </w:p>
        </w:tc>
        <w:tc>
          <w:tcPr>
            <w:tcW w:w="924" w:type="dxa"/>
            <w:vAlign w:val="center"/>
          </w:tcPr>
          <w:p w:rsidR="005B5D7B" w:rsidRDefault="00DD1C04">
            <w:pPr>
              <w:jc w:val="center"/>
            </w:pPr>
            <w:r>
              <w:rPr>
                <w:color w:val="000000"/>
                <w:sz w:val="24"/>
              </w:rPr>
              <w:t>本基金、交银理财</w:t>
            </w:r>
            <w:r>
              <w:rPr>
                <w:color w:val="000000"/>
                <w:sz w:val="24"/>
              </w:rPr>
              <w:t>60</w:t>
            </w:r>
            <w:r>
              <w:rPr>
                <w:color w:val="000000"/>
                <w:sz w:val="24"/>
              </w:rPr>
              <w:t>天债券、交银双轮动债券、交银</w:t>
            </w:r>
            <w:r>
              <w:rPr>
                <w:color w:val="000000"/>
                <w:sz w:val="24"/>
              </w:rPr>
              <w:lastRenderedPageBreak/>
              <w:t>定期支付月月丰债券、交银强化回报债券、交</w:t>
            </w:r>
            <w:proofErr w:type="gramStart"/>
            <w:r>
              <w:rPr>
                <w:color w:val="000000"/>
                <w:sz w:val="24"/>
              </w:rPr>
              <w:t>银丰享收益债券</w:t>
            </w:r>
            <w:proofErr w:type="gramEnd"/>
            <w:r>
              <w:rPr>
                <w:color w:val="000000"/>
                <w:sz w:val="24"/>
              </w:rPr>
              <w:t>、交银丰泽收益债券的基金经理</w:t>
            </w:r>
          </w:p>
        </w:tc>
        <w:tc>
          <w:tcPr>
            <w:tcW w:w="1202" w:type="dxa"/>
            <w:vAlign w:val="center"/>
          </w:tcPr>
          <w:p w:rsidR="005B5D7B" w:rsidRDefault="00DD1C04">
            <w:pPr>
              <w:jc w:val="center"/>
            </w:pPr>
            <w:r>
              <w:rPr>
                <w:color w:val="000000"/>
                <w:sz w:val="24"/>
              </w:rPr>
              <w:lastRenderedPageBreak/>
              <w:t>2014-12-15</w:t>
            </w:r>
          </w:p>
        </w:tc>
        <w:tc>
          <w:tcPr>
            <w:tcW w:w="1300" w:type="dxa"/>
            <w:vAlign w:val="center"/>
          </w:tcPr>
          <w:p w:rsidR="005B5D7B" w:rsidRDefault="00DD1C04">
            <w:pPr>
              <w:jc w:val="center"/>
            </w:pPr>
            <w:r>
              <w:rPr>
                <w:color w:val="000000"/>
                <w:sz w:val="24"/>
              </w:rPr>
              <w:t>-</w:t>
            </w:r>
          </w:p>
        </w:tc>
        <w:tc>
          <w:tcPr>
            <w:tcW w:w="1245" w:type="dxa"/>
            <w:vAlign w:val="center"/>
          </w:tcPr>
          <w:p w:rsidR="005B5D7B" w:rsidRDefault="00DD1C04">
            <w:pPr>
              <w:jc w:val="center"/>
            </w:pPr>
            <w:r>
              <w:rPr>
                <w:color w:val="000000"/>
                <w:sz w:val="24"/>
              </w:rPr>
              <w:t>4</w:t>
            </w:r>
            <w:r>
              <w:rPr>
                <w:color w:val="000000"/>
                <w:sz w:val="24"/>
              </w:rPr>
              <w:t>年</w:t>
            </w:r>
          </w:p>
        </w:tc>
        <w:tc>
          <w:tcPr>
            <w:tcW w:w="3251" w:type="dxa"/>
            <w:vAlign w:val="center"/>
          </w:tcPr>
          <w:p w:rsidR="005B5D7B" w:rsidRDefault="00DD1C04">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B5D7B" w:rsidRDefault="00DD1C0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B5D7B" w:rsidRDefault="00DD1C0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B5D7B" w:rsidRDefault="00DD1C0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B5D7B" w:rsidRDefault="00DD1C04">
      <w:pPr>
        <w:spacing w:before="29" w:line="288" w:lineRule="auto"/>
        <w:ind w:firstLineChars="200" w:firstLine="480"/>
        <w:rPr>
          <w:color w:val="000000"/>
          <w:sz w:val="24"/>
        </w:rPr>
      </w:pPr>
      <w:r>
        <w:rPr>
          <w:color w:val="000000"/>
          <w:sz w:val="24"/>
        </w:rPr>
        <w:t>一季度，市场在强烈的货币宽松预期中迎来</w:t>
      </w:r>
      <w:proofErr w:type="gramStart"/>
      <w:r>
        <w:rPr>
          <w:color w:val="000000"/>
          <w:sz w:val="24"/>
        </w:rPr>
        <w:t>全面降准和</w:t>
      </w:r>
      <w:proofErr w:type="gramEnd"/>
      <w:r>
        <w:rPr>
          <w:color w:val="000000"/>
          <w:sz w:val="24"/>
        </w:rPr>
        <w:t>降息，春节前债市乐观情绪达到顶峰。春节后由于</w:t>
      </w:r>
      <w:proofErr w:type="gramStart"/>
      <w:r>
        <w:rPr>
          <w:color w:val="000000"/>
          <w:sz w:val="24"/>
        </w:rPr>
        <w:t>稳增长</w:t>
      </w:r>
      <w:proofErr w:type="gramEnd"/>
      <w:r>
        <w:rPr>
          <w:color w:val="000000"/>
          <w:sz w:val="24"/>
        </w:rPr>
        <w:t>政策进一步推出、资金面宽松不达预期以及《</w:t>
      </w:r>
      <w:r>
        <w:rPr>
          <w:color w:val="000000"/>
          <w:sz w:val="24"/>
        </w:rPr>
        <w:t>2015</w:t>
      </w:r>
      <w:r>
        <w:rPr>
          <w:color w:val="000000"/>
          <w:sz w:val="24"/>
        </w:rPr>
        <w:t>年地方政府专项债券预算管理办法》颁布后引起市场对利率债供给的担忧，债券市场出现较大幅度的调整。</w:t>
      </w:r>
    </w:p>
    <w:p w:rsidR="005B5D7B" w:rsidRDefault="00DD1C04">
      <w:pPr>
        <w:spacing w:before="29" w:line="288" w:lineRule="auto"/>
        <w:ind w:firstLineChars="200" w:firstLine="480"/>
        <w:rPr>
          <w:color w:val="000000"/>
          <w:sz w:val="24"/>
        </w:rPr>
      </w:pPr>
      <w:r>
        <w:rPr>
          <w:color w:val="000000"/>
          <w:sz w:val="24"/>
        </w:rPr>
        <w:t>中</w:t>
      </w:r>
      <w:proofErr w:type="gramStart"/>
      <w:r>
        <w:rPr>
          <w:color w:val="000000"/>
          <w:sz w:val="24"/>
        </w:rPr>
        <w:t>债总全价</w:t>
      </w:r>
      <w:proofErr w:type="gramEnd"/>
      <w:r>
        <w:rPr>
          <w:color w:val="000000"/>
          <w:sz w:val="24"/>
        </w:rPr>
        <w:t>（总值）指数在</w:t>
      </w:r>
      <w:r>
        <w:rPr>
          <w:color w:val="000000"/>
          <w:sz w:val="24"/>
        </w:rPr>
        <w:t>1</w:t>
      </w:r>
      <w:r>
        <w:rPr>
          <w:color w:val="000000"/>
          <w:sz w:val="24"/>
        </w:rPr>
        <w:t>月上涨</w:t>
      </w:r>
      <w:r>
        <w:rPr>
          <w:color w:val="000000"/>
          <w:sz w:val="24"/>
        </w:rPr>
        <w:t>0.78%</w:t>
      </w:r>
      <w:r>
        <w:rPr>
          <w:color w:val="000000"/>
          <w:sz w:val="24"/>
        </w:rPr>
        <w:t>，</w:t>
      </w:r>
      <w:r>
        <w:rPr>
          <w:color w:val="000000"/>
          <w:sz w:val="24"/>
        </w:rPr>
        <w:t>2</w:t>
      </w:r>
      <w:r>
        <w:rPr>
          <w:color w:val="000000"/>
          <w:sz w:val="24"/>
        </w:rPr>
        <w:t>月上涨</w:t>
      </w:r>
      <w:r>
        <w:rPr>
          <w:color w:val="000000"/>
          <w:sz w:val="24"/>
        </w:rPr>
        <w:t>0.67%</w:t>
      </w:r>
      <w:r>
        <w:rPr>
          <w:color w:val="000000"/>
          <w:sz w:val="24"/>
        </w:rPr>
        <w:t>，</w:t>
      </w:r>
      <w:r>
        <w:rPr>
          <w:color w:val="000000"/>
          <w:sz w:val="24"/>
        </w:rPr>
        <w:t>3</w:t>
      </w:r>
      <w:r>
        <w:rPr>
          <w:color w:val="000000"/>
          <w:sz w:val="24"/>
        </w:rPr>
        <w:t>月下跌</w:t>
      </w:r>
      <w:r>
        <w:rPr>
          <w:color w:val="000000"/>
          <w:sz w:val="24"/>
        </w:rPr>
        <w:t>1.99%</w:t>
      </w:r>
      <w:r>
        <w:rPr>
          <w:color w:val="000000"/>
          <w:sz w:val="24"/>
        </w:rPr>
        <w:t>。本基金已完成绝大部分</w:t>
      </w:r>
      <w:proofErr w:type="gramStart"/>
      <w:r>
        <w:rPr>
          <w:color w:val="000000"/>
          <w:sz w:val="24"/>
        </w:rPr>
        <w:t>仓位</w:t>
      </w:r>
      <w:proofErr w:type="gramEnd"/>
      <w:r>
        <w:rPr>
          <w:color w:val="000000"/>
          <w:sz w:val="24"/>
        </w:rPr>
        <w:t>配置，本报告期内</w:t>
      </w:r>
      <w:r w:rsidR="00A51129">
        <w:rPr>
          <w:rFonts w:hint="eastAsia"/>
          <w:color w:val="000000"/>
          <w:sz w:val="24"/>
        </w:rPr>
        <w:t>运作</w:t>
      </w:r>
      <w:r>
        <w:rPr>
          <w:color w:val="000000"/>
          <w:sz w:val="24"/>
        </w:rPr>
        <w:t>较为稳健。</w:t>
      </w:r>
    </w:p>
    <w:p w:rsidR="00952A72" w:rsidRPr="007F52FA" w:rsidRDefault="00323F25" w:rsidP="007C14DF">
      <w:pPr>
        <w:spacing w:before="29" w:line="288" w:lineRule="auto"/>
        <w:ind w:firstLineChars="200" w:firstLine="480"/>
        <w:rPr>
          <w:color w:val="000000"/>
          <w:sz w:val="24"/>
        </w:rPr>
      </w:pPr>
      <w:r w:rsidRPr="007F52FA">
        <w:rPr>
          <w:color w:val="000000"/>
          <w:sz w:val="24"/>
        </w:rPr>
        <w:t>债券市场投资机会正在逐渐显现，预计资金宽松、短</w:t>
      </w:r>
      <w:proofErr w:type="gramStart"/>
      <w:r w:rsidRPr="007F52FA">
        <w:rPr>
          <w:color w:val="000000"/>
          <w:sz w:val="24"/>
        </w:rPr>
        <w:t>端利率</w:t>
      </w:r>
      <w:proofErr w:type="gramEnd"/>
      <w:r w:rsidRPr="007F52FA">
        <w:rPr>
          <w:color w:val="000000"/>
          <w:sz w:val="24"/>
        </w:rPr>
        <w:t>下行是大概率事件，长</w:t>
      </w:r>
      <w:proofErr w:type="gramStart"/>
      <w:r w:rsidRPr="007F52FA">
        <w:rPr>
          <w:color w:val="000000"/>
          <w:sz w:val="24"/>
        </w:rPr>
        <w:t>端走势</w:t>
      </w:r>
      <w:proofErr w:type="gramEnd"/>
      <w:r w:rsidRPr="007F52FA">
        <w:rPr>
          <w:color w:val="000000"/>
          <w:sz w:val="24"/>
        </w:rPr>
        <w:t>则应密切关注地方债推出对利率债供给的影响以及经济</w:t>
      </w:r>
      <w:proofErr w:type="gramStart"/>
      <w:r w:rsidRPr="007F52FA">
        <w:rPr>
          <w:color w:val="000000"/>
          <w:sz w:val="24"/>
        </w:rPr>
        <w:t>基本面企稳</w:t>
      </w:r>
      <w:proofErr w:type="gramEnd"/>
      <w:r w:rsidRPr="007F52FA">
        <w:rPr>
          <w:color w:val="000000"/>
          <w:sz w:val="24"/>
        </w:rPr>
        <w:t>的可靠性。存款保险制度推出后，打破信用债刚性兑付的预期进一步上升，我们保持对低等级信用债的警惕。本基金将完成全部</w:t>
      </w:r>
      <w:proofErr w:type="gramStart"/>
      <w:r w:rsidRPr="007F52FA">
        <w:rPr>
          <w:color w:val="000000"/>
          <w:sz w:val="24"/>
        </w:rPr>
        <w:t>仓位</w:t>
      </w:r>
      <w:proofErr w:type="gramEnd"/>
      <w:r w:rsidRPr="007F52FA">
        <w:rPr>
          <w:color w:val="000000"/>
          <w:sz w:val="24"/>
        </w:rPr>
        <w:t>配置，以与封闭期适度匹配的债券配置进行杠杆操作，力争获取相对稳定的收益。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0.999</w:t>
      </w:r>
      <w:r w:rsidRPr="007F52FA">
        <w:rPr>
          <w:color w:val="000000"/>
          <w:sz w:val="24"/>
        </w:rPr>
        <w:t>元，本报告期份额净值增长率为</w:t>
      </w:r>
      <w:r w:rsidRPr="007F52FA">
        <w:rPr>
          <w:color w:val="000000"/>
          <w:sz w:val="24"/>
        </w:rPr>
        <w:t>1.73%</w:t>
      </w:r>
      <w:r w:rsidRPr="007F52FA">
        <w:rPr>
          <w:color w:val="000000"/>
          <w:sz w:val="24"/>
        </w:rPr>
        <w:t>，同期业绩比较基准增长率为</w:t>
      </w:r>
      <w:r w:rsidRPr="007F52FA">
        <w:rPr>
          <w:color w:val="000000"/>
          <w:sz w:val="24"/>
        </w:rPr>
        <w:t>1.13%</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0.997</w:t>
      </w:r>
      <w:r w:rsidRPr="007F52FA">
        <w:rPr>
          <w:color w:val="000000"/>
          <w:sz w:val="24"/>
        </w:rPr>
        <w:t>元，本报告期份额净值增长率为</w:t>
      </w:r>
      <w:r w:rsidRPr="007F52FA">
        <w:rPr>
          <w:color w:val="000000"/>
          <w:sz w:val="24"/>
        </w:rPr>
        <w:t>1.53%</w:t>
      </w:r>
      <w:r w:rsidRPr="007F52FA">
        <w:rPr>
          <w:color w:val="000000"/>
          <w:sz w:val="24"/>
        </w:rPr>
        <w:t>，同期业绩比较基准增长率为</w:t>
      </w:r>
      <w:r w:rsidRPr="007F52FA">
        <w:rPr>
          <w:color w:val="000000"/>
          <w:sz w:val="24"/>
        </w:rPr>
        <w:t>1.13%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F723F9">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00B87">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724,742,632.97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724,742,632.97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w:t>
            </w:r>
            <w:proofErr w:type="gramStart"/>
            <w:r w:rsidRPr="007F52FA">
              <w:rPr>
                <w:color w:val="000000"/>
                <w:sz w:val="24"/>
              </w:rPr>
              <w:t>品投资</w:t>
            </w:r>
            <w:proofErr w:type="gramEnd"/>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19,932,273.37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10,478,103.14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755,153,009.48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68,873,600.00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486,077,032.97</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114.39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169,792,000.00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724,742,632.97</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170.55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B5D7B">
        <w:trPr>
          <w:jc w:val="center"/>
        </w:trPr>
        <w:tc>
          <w:tcPr>
            <w:tcW w:w="1075" w:type="dxa"/>
            <w:vAlign w:val="center"/>
          </w:tcPr>
          <w:p w:rsidR="005B5D7B" w:rsidRDefault="00DD1C04">
            <w:pPr>
              <w:jc w:val="center"/>
            </w:pPr>
            <w:r>
              <w:rPr>
                <w:color w:val="000000"/>
                <w:sz w:val="24"/>
              </w:rPr>
              <w:t>1</w:t>
            </w:r>
          </w:p>
        </w:tc>
        <w:tc>
          <w:tcPr>
            <w:tcW w:w="1533" w:type="dxa"/>
            <w:vAlign w:val="center"/>
          </w:tcPr>
          <w:p w:rsidR="005B5D7B" w:rsidRDefault="00DD1C04">
            <w:pPr>
              <w:jc w:val="center"/>
            </w:pPr>
            <w:r>
              <w:rPr>
                <w:color w:val="000000"/>
                <w:sz w:val="24"/>
              </w:rPr>
              <w:t>101562001</w:t>
            </w:r>
          </w:p>
        </w:tc>
        <w:tc>
          <w:tcPr>
            <w:tcW w:w="1533" w:type="dxa"/>
            <w:vAlign w:val="center"/>
          </w:tcPr>
          <w:p w:rsidR="005B5D7B" w:rsidRDefault="00DD1C04">
            <w:pPr>
              <w:jc w:val="center"/>
            </w:pPr>
            <w:r>
              <w:rPr>
                <w:color w:val="000000"/>
                <w:sz w:val="24"/>
              </w:rPr>
              <w:t>15</w:t>
            </w:r>
            <w:r>
              <w:rPr>
                <w:color w:val="000000"/>
                <w:sz w:val="24"/>
              </w:rPr>
              <w:t>东方</w:t>
            </w:r>
            <w:r>
              <w:rPr>
                <w:color w:val="000000"/>
                <w:sz w:val="24"/>
              </w:rPr>
              <w:t>MTN001</w:t>
            </w:r>
          </w:p>
        </w:tc>
        <w:tc>
          <w:tcPr>
            <w:tcW w:w="1394" w:type="dxa"/>
            <w:vAlign w:val="center"/>
          </w:tcPr>
          <w:p w:rsidR="005B5D7B" w:rsidRDefault="00DD1C04">
            <w:pPr>
              <w:jc w:val="right"/>
            </w:pPr>
            <w:r>
              <w:rPr>
                <w:color w:val="000000"/>
                <w:sz w:val="24"/>
              </w:rPr>
              <w:t>400,000</w:t>
            </w:r>
          </w:p>
        </w:tc>
        <w:tc>
          <w:tcPr>
            <w:tcW w:w="1944" w:type="dxa"/>
            <w:vAlign w:val="center"/>
          </w:tcPr>
          <w:p w:rsidR="005B5D7B" w:rsidRDefault="00DD1C04">
            <w:pPr>
              <w:jc w:val="right"/>
            </w:pPr>
            <w:r>
              <w:rPr>
                <w:color w:val="000000"/>
                <w:sz w:val="24"/>
              </w:rPr>
              <w:t>39,904,000.00</w:t>
            </w:r>
          </w:p>
        </w:tc>
        <w:tc>
          <w:tcPr>
            <w:tcW w:w="1389" w:type="dxa"/>
            <w:vAlign w:val="center"/>
          </w:tcPr>
          <w:p w:rsidR="005B5D7B" w:rsidRDefault="00DD1C04">
            <w:pPr>
              <w:jc w:val="right"/>
            </w:pPr>
            <w:r>
              <w:rPr>
                <w:color w:val="000000"/>
                <w:sz w:val="24"/>
              </w:rPr>
              <w:t>9.39</w:t>
            </w:r>
          </w:p>
        </w:tc>
      </w:tr>
      <w:tr w:rsidR="005B5D7B">
        <w:trPr>
          <w:jc w:val="center"/>
        </w:trPr>
        <w:tc>
          <w:tcPr>
            <w:tcW w:w="1075" w:type="dxa"/>
            <w:vAlign w:val="center"/>
          </w:tcPr>
          <w:p w:rsidR="005B5D7B" w:rsidRDefault="00DD1C04">
            <w:pPr>
              <w:jc w:val="center"/>
            </w:pPr>
            <w:r>
              <w:rPr>
                <w:color w:val="000000"/>
                <w:sz w:val="24"/>
              </w:rPr>
              <w:t>2</w:t>
            </w:r>
          </w:p>
        </w:tc>
        <w:tc>
          <w:tcPr>
            <w:tcW w:w="1533" w:type="dxa"/>
            <w:vAlign w:val="center"/>
          </w:tcPr>
          <w:p w:rsidR="005B5D7B" w:rsidRDefault="00DD1C04">
            <w:pPr>
              <w:jc w:val="center"/>
            </w:pPr>
            <w:r>
              <w:rPr>
                <w:color w:val="000000"/>
                <w:sz w:val="24"/>
              </w:rPr>
              <w:t>101553002</w:t>
            </w:r>
          </w:p>
        </w:tc>
        <w:tc>
          <w:tcPr>
            <w:tcW w:w="1533" w:type="dxa"/>
            <w:vAlign w:val="center"/>
          </w:tcPr>
          <w:p w:rsidR="005B5D7B" w:rsidRDefault="00DD1C04">
            <w:pPr>
              <w:jc w:val="center"/>
            </w:pPr>
            <w:r>
              <w:rPr>
                <w:color w:val="000000"/>
                <w:sz w:val="24"/>
              </w:rPr>
              <w:t>15</w:t>
            </w:r>
            <w:r>
              <w:rPr>
                <w:color w:val="000000"/>
                <w:sz w:val="24"/>
              </w:rPr>
              <w:t>峰峰</w:t>
            </w:r>
            <w:r>
              <w:rPr>
                <w:color w:val="000000"/>
                <w:sz w:val="24"/>
              </w:rPr>
              <w:t>MTN001</w:t>
            </w:r>
          </w:p>
        </w:tc>
        <w:tc>
          <w:tcPr>
            <w:tcW w:w="1394" w:type="dxa"/>
            <w:vAlign w:val="center"/>
          </w:tcPr>
          <w:p w:rsidR="005B5D7B" w:rsidRDefault="00DD1C04">
            <w:pPr>
              <w:jc w:val="right"/>
            </w:pPr>
            <w:r>
              <w:rPr>
                <w:color w:val="000000"/>
                <w:sz w:val="24"/>
              </w:rPr>
              <w:t>400,000</w:t>
            </w:r>
          </w:p>
        </w:tc>
        <w:tc>
          <w:tcPr>
            <w:tcW w:w="1944" w:type="dxa"/>
            <w:vAlign w:val="center"/>
          </w:tcPr>
          <w:p w:rsidR="005B5D7B" w:rsidRDefault="00DD1C04">
            <w:pPr>
              <w:jc w:val="right"/>
            </w:pPr>
            <w:r>
              <w:rPr>
                <w:color w:val="000000"/>
                <w:sz w:val="24"/>
              </w:rPr>
              <w:t>39,816,000.00</w:t>
            </w:r>
          </w:p>
        </w:tc>
        <w:tc>
          <w:tcPr>
            <w:tcW w:w="1389" w:type="dxa"/>
            <w:vAlign w:val="center"/>
          </w:tcPr>
          <w:p w:rsidR="005B5D7B" w:rsidRDefault="00DD1C04">
            <w:pPr>
              <w:jc w:val="right"/>
            </w:pPr>
            <w:r>
              <w:rPr>
                <w:color w:val="000000"/>
                <w:sz w:val="24"/>
              </w:rPr>
              <w:t>9.37</w:t>
            </w:r>
          </w:p>
        </w:tc>
      </w:tr>
      <w:tr w:rsidR="005B5D7B">
        <w:trPr>
          <w:jc w:val="center"/>
        </w:trPr>
        <w:tc>
          <w:tcPr>
            <w:tcW w:w="1075" w:type="dxa"/>
            <w:vAlign w:val="center"/>
          </w:tcPr>
          <w:p w:rsidR="005B5D7B" w:rsidRDefault="00DD1C04">
            <w:pPr>
              <w:jc w:val="center"/>
            </w:pPr>
            <w:r>
              <w:rPr>
                <w:color w:val="000000"/>
                <w:sz w:val="24"/>
              </w:rPr>
              <w:t>3</w:t>
            </w:r>
          </w:p>
        </w:tc>
        <w:tc>
          <w:tcPr>
            <w:tcW w:w="1533" w:type="dxa"/>
            <w:vAlign w:val="center"/>
          </w:tcPr>
          <w:p w:rsidR="005B5D7B" w:rsidRDefault="00DD1C04">
            <w:pPr>
              <w:jc w:val="center"/>
            </w:pPr>
            <w:r>
              <w:rPr>
                <w:color w:val="000000"/>
                <w:sz w:val="24"/>
              </w:rPr>
              <w:t>122342</w:t>
            </w:r>
          </w:p>
        </w:tc>
        <w:tc>
          <w:tcPr>
            <w:tcW w:w="1533" w:type="dxa"/>
            <w:vAlign w:val="center"/>
          </w:tcPr>
          <w:p w:rsidR="005B5D7B" w:rsidRDefault="00DD1C04">
            <w:pPr>
              <w:jc w:val="center"/>
            </w:pPr>
            <w:r>
              <w:rPr>
                <w:color w:val="000000"/>
                <w:sz w:val="24"/>
              </w:rPr>
              <w:t>13</w:t>
            </w:r>
            <w:r>
              <w:rPr>
                <w:color w:val="000000"/>
                <w:sz w:val="24"/>
              </w:rPr>
              <w:t>包钢</w:t>
            </w:r>
            <w:r>
              <w:rPr>
                <w:color w:val="000000"/>
                <w:sz w:val="24"/>
              </w:rPr>
              <w:t>03</w:t>
            </w:r>
          </w:p>
        </w:tc>
        <w:tc>
          <w:tcPr>
            <w:tcW w:w="1394" w:type="dxa"/>
            <w:vAlign w:val="center"/>
          </w:tcPr>
          <w:p w:rsidR="005B5D7B" w:rsidRDefault="00DD1C04">
            <w:pPr>
              <w:jc w:val="right"/>
            </w:pPr>
            <w:r>
              <w:rPr>
                <w:color w:val="000000"/>
                <w:sz w:val="24"/>
              </w:rPr>
              <w:t>400,000</w:t>
            </w:r>
          </w:p>
        </w:tc>
        <w:tc>
          <w:tcPr>
            <w:tcW w:w="1944" w:type="dxa"/>
            <w:vAlign w:val="center"/>
          </w:tcPr>
          <w:p w:rsidR="005B5D7B" w:rsidRDefault="00DD1C04">
            <w:pPr>
              <w:jc w:val="right"/>
            </w:pPr>
            <w:r>
              <w:rPr>
                <w:color w:val="000000"/>
                <w:sz w:val="24"/>
              </w:rPr>
              <w:t>39,784,000.00</w:t>
            </w:r>
          </w:p>
        </w:tc>
        <w:tc>
          <w:tcPr>
            <w:tcW w:w="1389" w:type="dxa"/>
            <w:vAlign w:val="center"/>
          </w:tcPr>
          <w:p w:rsidR="005B5D7B" w:rsidRDefault="00DD1C04">
            <w:pPr>
              <w:jc w:val="right"/>
            </w:pPr>
            <w:r>
              <w:rPr>
                <w:color w:val="000000"/>
                <w:sz w:val="24"/>
              </w:rPr>
              <w:t>9.36</w:t>
            </w:r>
          </w:p>
        </w:tc>
      </w:tr>
      <w:tr w:rsidR="005B5D7B">
        <w:trPr>
          <w:jc w:val="center"/>
        </w:trPr>
        <w:tc>
          <w:tcPr>
            <w:tcW w:w="1075" w:type="dxa"/>
            <w:vAlign w:val="center"/>
          </w:tcPr>
          <w:p w:rsidR="005B5D7B" w:rsidRDefault="00DD1C04">
            <w:pPr>
              <w:jc w:val="center"/>
            </w:pPr>
            <w:r>
              <w:rPr>
                <w:color w:val="000000"/>
                <w:sz w:val="24"/>
              </w:rPr>
              <w:t>4</w:t>
            </w:r>
          </w:p>
        </w:tc>
        <w:tc>
          <w:tcPr>
            <w:tcW w:w="1533" w:type="dxa"/>
            <w:vAlign w:val="center"/>
          </w:tcPr>
          <w:p w:rsidR="005B5D7B" w:rsidRDefault="00DD1C04">
            <w:pPr>
              <w:jc w:val="center"/>
            </w:pPr>
            <w:r>
              <w:rPr>
                <w:color w:val="000000"/>
                <w:sz w:val="24"/>
              </w:rPr>
              <w:t>1280022</w:t>
            </w:r>
          </w:p>
        </w:tc>
        <w:tc>
          <w:tcPr>
            <w:tcW w:w="1533" w:type="dxa"/>
            <w:vAlign w:val="center"/>
          </w:tcPr>
          <w:p w:rsidR="005B5D7B" w:rsidRDefault="00DD1C04">
            <w:pPr>
              <w:jc w:val="center"/>
            </w:pPr>
            <w:r>
              <w:rPr>
                <w:color w:val="000000"/>
                <w:sz w:val="24"/>
              </w:rPr>
              <w:t>12</w:t>
            </w:r>
            <w:r>
              <w:rPr>
                <w:color w:val="000000"/>
                <w:sz w:val="24"/>
              </w:rPr>
              <w:t>晋江能源债</w:t>
            </w:r>
          </w:p>
        </w:tc>
        <w:tc>
          <w:tcPr>
            <w:tcW w:w="1394" w:type="dxa"/>
            <w:vAlign w:val="center"/>
          </w:tcPr>
          <w:p w:rsidR="005B5D7B" w:rsidRDefault="00DD1C04">
            <w:pPr>
              <w:jc w:val="right"/>
            </w:pPr>
            <w:r>
              <w:rPr>
                <w:color w:val="000000"/>
                <w:sz w:val="24"/>
              </w:rPr>
              <w:t>350,000</w:t>
            </w:r>
          </w:p>
        </w:tc>
        <w:tc>
          <w:tcPr>
            <w:tcW w:w="1944" w:type="dxa"/>
            <w:vAlign w:val="center"/>
          </w:tcPr>
          <w:p w:rsidR="005B5D7B" w:rsidRDefault="00DD1C04">
            <w:pPr>
              <w:jc w:val="right"/>
            </w:pPr>
            <w:r>
              <w:rPr>
                <w:color w:val="000000"/>
                <w:sz w:val="24"/>
              </w:rPr>
              <w:t>36,753,500.00</w:t>
            </w:r>
          </w:p>
        </w:tc>
        <w:tc>
          <w:tcPr>
            <w:tcW w:w="1389" w:type="dxa"/>
            <w:vAlign w:val="center"/>
          </w:tcPr>
          <w:p w:rsidR="005B5D7B" w:rsidRDefault="00DD1C04">
            <w:pPr>
              <w:jc w:val="right"/>
            </w:pPr>
            <w:r>
              <w:rPr>
                <w:color w:val="000000"/>
                <w:sz w:val="24"/>
              </w:rPr>
              <w:t>8.65</w:t>
            </w:r>
          </w:p>
        </w:tc>
      </w:tr>
      <w:tr w:rsidR="005B5D7B">
        <w:trPr>
          <w:jc w:val="center"/>
        </w:trPr>
        <w:tc>
          <w:tcPr>
            <w:tcW w:w="1075" w:type="dxa"/>
            <w:vAlign w:val="center"/>
          </w:tcPr>
          <w:p w:rsidR="005B5D7B" w:rsidRDefault="00DD1C04">
            <w:pPr>
              <w:jc w:val="center"/>
            </w:pPr>
            <w:r>
              <w:rPr>
                <w:color w:val="000000"/>
                <w:sz w:val="24"/>
              </w:rPr>
              <w:t>5</w:t>
            </w:r>
          </w:p>
        </w:tc>
        <w:tc>
          <w:tcPr>
            <w:tcW w:w="1533" w:type="dxa"/>
            <w:vAlign w:val="center"/>
          </w:tcPr>
          <w:p w:rsidR="005B5D7B" w:rsidRDefault="00DD1C04">
            <w:pPr>
              <w:jc w:val="center"/>
            </w:pPr>
            <w:r>
              <w:rPr>
                <w:color w:val="000000"/>
                <w:sz w:val="24"/>
              </w:rPr>
              <w:t>1180040</w:t>
            </w:r>
          </w:p>
        </w:tc>
        <w:tc>
          <w:tcPr>
            <w:tcW w:w="1533" w:type="dxa"/>
            <w:vAlign w:val="center"/>
          </w:tcPr>
          <w:p w:rsidR="005B5D7B" w:rsidRDefault="00DD1C04">
            <w:pPr>
              <w:jc w:val="center"/>
            </w:pPr>
            <w:r>
              <w:rPr>
                <w:color w:val="000000"/>
                <w:sz w:val="24"/>
              </w:rPr>
              <w:t>11</w:t>
            </w:r>
            <w:r>
              <w:rPr>
                <w:color w:val="000000"/>
                <w:sz w:val="24"/>
              </w:rPr>
              <w:t>绥化</w:t>
            </w:r>
            <w:proofErr w:type="gramStart"/>
            <w:r>
              <w:rPr>
                <w:color w:val="000000"/>
                <w:sz w:val="24"/>
              </w:rPr>
              <w:t>城投债</w:t>
            </w:r>
            <w:proofErr w:type="gramEnd"/>
          </w:p>
        </w:tc>
        <w:tc>
          <w:tcPr>
            <w:tcW w:w="1394" w:type="dxa"/>
            <w:vAlign w:val="center"/>
          </w:tcPr>
          <w:p w:rsidR="005B5D7B" w:rsidRDefault="00DD1C04">
            <w:pPr>
              <w:jc w:val="right"/>
            </w:pPr>
            <w:r>
              <w:rPr>
                <w:color w:val="000000"/>
                <w:sz w:val="24"/>
              </w:rPr>
              <w:t>350,000</w:t>
            </w:r>
          </w:p>
        </w:tc>
        <w:tc>
          <w:tcPr>
            <w:tcW w:w="1944" w:type="dxa"/>
            <w:vAlign w:val="center"/>
          </w:tcPr>
          <w:p w:rsidR="005B5D7B" w:rsidRDefault="00DD1C04">
            <w:pPr>
              <w:jc w:val="right"/>
            </w:pPr>
            <w:r>
              <w:rPr>
                <w:color w:val="000000"/>
                <w:sz w:val="24"/>
              </w:rPr>
              <w:t>35,525,000.00</w:t>
            </w:r>
          </w:p>
        </w:tc>
        <w:tc>
          <w:tcPr>
            <w:tcW w:w="1389" w:type="dxa"/>
            <w:vAlign w:val="center"/>
          </w:tcPr>
          <w:p w:rsidR="005B5D7B" w:rsidRDefault="00DD1C04">
            <w:pPr>
              <w:jc w:val="right"/>
            </w:pPr>
            <w:r>
              <w:rPr>
                <w:color w:val="000000"/>
                <w:sz w:val="24"/>
              </w:rPr>
              <w:t>8.36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F723F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376,006.92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10,102,096.22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10,478,103.14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w:t>
      </w:r>
      <w:proofErr w:type="gramStart"/>
      <w:r w:rsidRPr="007F52FA">
        <w:rPr>
          <w:rFonts w:eastAsiaTheme="minorEastAsia"/>
          <w:bCs/>
          <w:sz w:val="24"/>
        </w:rPr>
        <w:t>期末前</w:t>
      </w:r>
      <w:proofErr w:type="gramEnd"/>
      <w:r w:rsidRPr="007F52FA">
        <w:rPr>
          <w:rFonts w:eastAsiaTheme="minorEastAsia"/>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w:t>
      </w:r>
      <w:proofErr w:type="gramStart"/>
      <w:r w:rsidRPr="007F52FA">
        <w:rPr>
          <w:rFonts w:eastAsiaTheme="minorEastAsia"/>
          <w:sz w:val="24"/>
        </w:rPr>
        <w:t>期末前</w:t>
      </w:r>
      <w:proofErr w:type="gramEnd"/>
      <w:r w:rsidRPr="007F52FA">
        <w:rPr>
          <w:rFonts w:eastAsiaTheme="minorEastAsia"/>
          <w:sz w:val="24"/>
        </w:rPr>
        <w:t>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0673DA" w:rsidRPr="000673DA" w:rsidRDefault="000673DA" w:rsidP="00700B87">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w:t>
      </w:r>
      <w:r w:rsidR="00DD1C04">
        <w:rPr>
          <w:color w:val="000000"/>
          <w:kern w:val="0"/>
          <w:sz w:val="24"/>
          <w:szCs w:val="24"/>
        </w:rPr>
        <w:t>6</w:t>
      </w:r>
      <w:r w:rsidRPr="000673DA">
        <w:rPr>
          <w:color w:val="000000"/>
          <w:kern w:val="0"/>
          <w:sz w:val="24"/>
          <w:szCs w:val="24"/>
        </w:rPr>
        <w:t xml:space="preserve"> </w:t>
      </w:r>
      <w:r w:rsidRPr="000673DA">
        <w:rPr>
          <w:rFonts w:hAnsi="宋体"/>
          <w:sz w:val="24"/>
          <w:szCs w:val="24"/>
        </w:rPr>
        <w:t>基金管理人运用</w:t>
      </w:r>
      <w:proofErr w:type="gramStart"/>
      <w:r w:rsidRPr="000673DA">
        <w:rPr>
          <w:rFonts w:hAnsi="宋体"/>
          <w:sz w:val="24"/>
          <w:szCs w:val="24"/>
        </w:rPr>
        <w:t>固有资金</w:t>
      </w:r>
      <w:proofErr w:type="gramEnd"/>
      <w:r w:rsidRPr="000673DA">
        <w:rPr>
          <w:rFonts w:hAnsi="宋体"/>
          <w:sz w:val="24"/>
          <w:szCs w:val="24"/>
        </w:rPr>
        <w:t>投资本基金情况</w:t>
      </w:r>
    </w:p>
    <w:p w:rsidR="000673DA" w:rsidRPr="000673DA" w:rsidRDefault="00DD1C04"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w:t>
      </w:r>
      <w:proofErr w:type="gramStart"/>
      <w:r w:rsidRPr="00AE55CC">
        <w:rPr>
          <w:color w:val="000000"/>
          <w:sz w:val="24"/>
        </w:rPr>
        <w:t>固有资金</w:t>
      </w:r>
      <w:proofErr w:type="gramEnd"/>
      <w:r w:rsidRPr="00AE55CC">
        <w:rPr>
          <w:color w:val="000000"/>
          <w:sz w:val="24"/>
        </w:rPr>
        <w:t>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DD1C04" w:rsidP="00646AEE">
      <w:pPr>
        <w:autoSpaceDE w:val="0"/>
        <w:autoSpaceDN w:val="0"/>
        <w:adjustRightInd w:val="0"/>
        <w:spacing w:before="29" w:line="288" w:lineRule="auto"/>
        <w:jc w:val="left"/>
        <w:rPr>
          <w:b/>
          <w:color w:val="000000"/>
          <w:sz w:val="24"/>
        </w:rPr>
      </w:pPr>
      <w:r>
        <w:rPr>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w:t>
      </w:r>
      <w:proofErr w:type="gramStart"/>
      <w:r w:rsidR="000673DA" w:rsidRPr="008A3BCC">
        <w:rPr>
          <w:b/>
          <w:sz w:val="24"/>
        </w:rPr>
        <w:t>固有资金</w:t>
      </w:r>
      <w:proofErr w:type="gramEnd"/>
      <w:r w:rsidR="000673DA" w:rsidRPr="008A3BCC">
        <w:rPr>
          <w:b/>
          <w:sz w:val="24"/>
        </w:rPr>
        <w:t>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700B87">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DD1C04">
        <w:rPr>
          <w:rFonts w:eastAsiaTheme="minorEastAsia"/>
          <w:color w:val="000000"/>
          <w:kern w:val="0"/>
          <w:sz w:val="24"/>
          <w:szCs w:val="24"/>
        </w:rPr>
        <w:t>7</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w:t>
      </w:r>
      <w:proofErr w:type="gramStart"/>
      <w:r>
        <w:rPr>
          <w:rFonts w:eastAsiaTheme="minorEastAsia"/>
          <w:color w:val="000000"/>
          <w:sz w:val="24"/>
        </w:rPr>
        <w:t>中基协发</w:t>
      </w:r>
      <w:proofErr w:type="gramEnd"/>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700B87">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D1C04">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DD1C04"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8</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D1C04"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8</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D1C04"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8</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B5D7B" w:rsidRDefault="00DD1C0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597" w:rsidRDefault="00260597">
      <w:r>
        <w:separator/>
      </w:r>
    </w:p>
  </w:endnote>
  <w:endnote w:type="continuationSeparator" w:id="0">
    <w:p w:rsidR="00260597" w:rsidRDefault="00260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94008F">
      <w:rPr>
        <w:kern w:val="0"/>
        <w:szCs w:val="21"/>
      </w:rPr>
      <w:fldChar w:fldCharType="begin"/>
    </w:r>
    <w:r>
      <w:rPr>
        <w:kern w:val="0"/>
        <w:szCs w:val="21"/>
      </w:rPr>
      <w:instrText xml:space="preserve"> PAGE </w:instrText>
    </w:r>
    <w:r w:rsidR="0094008F">
      <w:rPr>
        <w:kern w:val="0"/>
        <w:szCs w:val="21"/>
      </w:rPr>
      <w:fldChar w:fldCharType="separate"/>
    </w:r>
    <w:r w:rsidR="00700B87">
      <w:rPr>
        <w:noProof/>
        <w:kern w:val="0"/>
        <w:szCs w:val="21"/>
      </w:rPr>
      <w:t>1</w:t>
    </w:r>
    <w:r w:rsidR="0094008F">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94008F">
      <w:rPr>
        <w:kern w:val="0"/>
        <w:szCs w:val="21"/>
      </w:rPr>
      <w:fldChar w:fldCharType="begin"/>
    </w:r>
    <w:r>
      <w:rPr>
        <w:kern w:val="0"/>
        <w:szCs w:val="21"/>
      </w:rPr>
      <w:instrText xml:space="preserve"> NUMPAGES </w:instrText>
    </w:r>
    <w:r w:rsidR="0094008F">
      <w:rPr>
        <w:kern w:val="0"/>
        <w:szCs w:val="21"/>
      </w:rPr>
      <w:fldChar w:fldCharType="separate"/>
    </w:r>
    <w:r w:rsidR="00700B87">
      <w:rPr>
        <w:noProof/>
        <w:kern w:val="0"/>
        <w:szCs w:val="21"/>
      </w:rPr>
      <w:t>11</w:t>
    </w:r>
    <w:r w:rsidR="0094008F">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94008F">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597" w:rsidRDefault="00260597">
      <w:r>
        <w:separator/>
      </w:r>
    </w:p>
  </w:footnote>
  <w:footnote w:type="continuationSeparator" w:id="0">
    <w:p w:rsidR="00260597" w:rsidRDefault="00260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94008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娅">
    <w15:presenceInfo w15:providerId="None" w15:userId="严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attachedTemplate r:id="rId1"/>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40EA"/>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4E1E"/>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0597"/>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16677"/>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5D7B"/>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004"/>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D83"/>
    <w:rsid w:val="006F1F1A"/>
    <w:rsid w:val="006F5AC2"/>
    <w:rsid w:val="006F6C28"/>
    <w:rsid w:val="007007EB"/>
    <w:rsid w:val="00700B87"/>
    <w:rsid w:val="00701EDB"/>
    <w:rsid w:val="00701F57"/>
    <w:rsid w:val="007032A6"/>
    <w:rsid w:val="00703E8A"/>
    <w:rsid w:val="00706046"/>
    <w:rsid w:val="007112F0"/>
    <w:rsid w:val="00711343"/>
    <w:rsid w:val="00713C57"/>
    <w:rsid w:val="00714309"/>
    <w:rsid w:val="0071450F"/>
    <w:rsid w:val="007166F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7F7163"/>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008F"/>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1129"/>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0503"/>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2B2B"/>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1C04"/>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13EB"/>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3F9"/>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62FC3-EC95-4792-AA6A-4224C95B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175</TotalTime>
  <Pages>11</Pages>
  <Words>937</Words>
  <Characters>5342</Characters>
  <Application>Microsoft Office Word</Application>
  <DocSecurity>0</DocSecurity>
  <Lines>44</Lines>
  <Paragraphs>12</Paragraphs>
  <ScaleCrop>false</ScaleCrop>
  <Company>TRT. Ltd. Co.</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史驰昊</cp:lastModifiedBy>
  <cp:revision>363</cp:revision>
  <cp:lastPrinted>2007-07-19T00:46:00Z</cp:lastPrinted>
  <dcterms:created xsi:type="dcterms:W3CDTF">2014-01-17T06:19:00Z</dcterms:created>
  <dcterms:modified xsi:type="dcterms:W3CDTF">2015-04-22T05:38:00Z</dcterms:modified>
</cp:coreProperties>
</file>