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61597" w:rsidRDefault="007E0B8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61597" w:rsidRDefault="007E0B8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61597" w:rsidRDefault="007E0B8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61597" w:rsidRDefault="007E0B8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61597" w:rsidRDefault="007E0B8C">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301,335,469.20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B7D01" w:rsidRPr="00414345" w:rsidTr="000B7D0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B7D01" w:rsidRPr="00414345" w:rsidTr="000B7D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35,843,639.55</w:t>
            </w:r>
          </w:p>
        </w:tc>
      </w:tr>
      <w:tr w:rsidR="000B7D01" w:rsidRPr="00414345" w:rsidTr="000B7D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33,458,918.94</w:t>
            </w:r>
          </w:p>
        </w:tc>
      </w:tr>
      <w:tr w:rsidR="000B7D01" w:rsidRPr="00414345" w:rsidTr="000B7D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0.1151</w:t>
            </w:r>
          </w:p>
        </w:tc>
      </w:tr>
      <w:tr w:rsidR="000B7D01" w:rsidRPr="00414345" w:rsidTr="000B7D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331,782,518.00</w:t>
            </w:r>
          </w:p>
        </w:tc>
      </w:tr>
      <w:tr w:rsidR="000B7D01" w:rsidRPr="00414345" w:rsidTr="000B7D0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1.101</w:t>
            </w:r>
          </w:p>
        </w:tc>
      </w:tr>
    </w:tbl>
    <w:p w:rsidR="00E61597" w:rsidRDefault="007E0B8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61597">
        <w:trPr>
          <w:jc w:val="center"/>
        </w:trPr>
        <w:tc>
          <w:tcPr>
            <w:tcW w:w="1701" w:type="dxa"/>
            <w:vAlign w:val="center"/>
          </w:tcPr>
          <w:p w:rsidR="00E61597" w:rsidRDefault="007E0B8C">
            <w:pPr>
              <w:jc w:val="left"/>
            </w:pPr>
            <w:r>
              <w:rPr>
                <w:color w:val="000000"/>
                <w:sz w:val="24"/>
                <w:szCs w:val="24"/>
              </w:rPr>
              <w:t>过去三个月</w:t>
            </w:r>
          </w:p>
        </w:tc>
        <w:tc>
          <w:tcPr>
            <w:tcW w:w="1045" w:type="dxa"/>
            <w:vAlign w:val="center"/>
          </w:tcPr>
          <w:p w:rsidR="00E61597" w:rsidRDefault="007E0B8C">
            <w:pPr>
              <w:jc w:val="center"/>
            </w:pPr>
            <w:r>
              <w:rPr>
                <w:color w:val="000000"/>
                <w:sz w:val="24"/>
                <w:szCs w:val="24"/>
              </w:rPr>
              <w:t>11.35%</w:t>
            </w:r>
          </w:p>
        </w:tc>
        <w:tc>
          <w:tcPr>
            <w:tcW w:w="1344" w:type="dxa"/>
            <w:vAlign w:val="center"/>
          </w:tcPr>
          <w:p w:rsidR="00E61597" w:rsidRDefault="007E0B8C">
            <w:pPr>
              <w:jc w:val="center"/>
            </w:pPr>
            <w:r>
              <w:rPr>
                <w:color w:val="000000"/>
                <w:sz w:val="24"/>
                <w:szCs w:val="24"/>
              </w:rPr>
              <w:t>0.63%</w:t>
            </w:r>
          </w:p>
        </w:tc>
        <w:tc>
          <w:tcPr>
            <w:tcW w:w="1194" w:type="dxa"/>
            <w:vAlign w:val="center"/>
          </w:tcPr>
          <w:p w:rsidR="00E61597" w:rsidRDefault="007E0B8C">
            <w:pPr>
              <w:jc w:val="center"/>
            </w:pPr>
            <w:r>
              <w:rPr>
                <w:color w:val="000000"/>
                <w:sz w:val="24"/>
                <w:szCs w:val="24"/>
              </w:rPr>
              <w:t>0.98%</w:t>
            </w:r>
          </w:p>
        </w:tc>
        <w:tc>
          <w:tcPr>
            <w:tcW w:w="1492" w:type="dxa"/>
            <w:vAlign w:val="center"/>
          </w:tcPr>
          <w:p w:rsidR="00E61597" w:rsidRDefault="007E0B8C">
            <w:pPr>
              <w:jc w:val="center"/>
            </w:pPr>
            <w:r>
              <w:rPr>
                <w:color w:val="000000"/>
                <w:sz w:val="24"/>
                <w:szCs w:val="24"/>
              </w:rPr>
              <w:t>0.01%</w:t>
            </w:r>
          </w:p>
        </w:tc>
        <w:tc>
          <w:tcPr>
            <w:tcW w:w="1194" w:type="dxa"/>
            <w:vAlign w:val="center"/>
          </w:tcPr>
          <w:p w:rsidR="00E61597" w:rsidRDefault="007E0B8C">
            <w:pPr>
              <w:jc w:val="center"/>
            </w:pPr>
            <w:r>
              <w:rPr>
                <w:color w:val="000000"/>
                <w:sz w:val="24"/>
                <w:szCs w:val="24"/>
              </w:rPr>
              <w:t>10.37%</w:t>
            </w:r>
          </w:p>
        </w:tc>
        <w:tc>
          <w:tcPr>
            <w:tcW w:w="898" w:type="dxa"/>
            <w:vAlign w:val="center"/>
          </w:tcPr>
          <w:p w:rsidR="00E61597" w:rsidRDefault="007E0B8C">
            <w:pPr>
              <w:jc w:val="center"/>
            </w:pPr>
            <w:r>
              <w:rPr>
                <w:color w:val="000000"/>
                <w:sz w:val="24"/>
                <w:szCs w:val="24"/>
              </w:rPr>
              <w:t>0.62%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bookmarkStart w:id="0" w:name="_GoBack"/>
      <w:bookmarkEnd w:id="0"/>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61597">
        <w:trPr>
          <w:jc w:val="center"/>
        </w:trPr>
        <w:tc>
          <w:tcPr>
            <w:tcW w:w="846" w:type="dxa"/>
            <w:vAlign w:val="center"/>
          </w:tcPr>
          <w:p w:rsidR="00E61597" w:rsidRDefault="007E0B8C">
            <w:pPr>
              <w:jc w:val="center"/>
            </w:pPr>
            <w:r>
              <w:rPr>
                <w:color w:val="000000"/>
                <w:sz w:val="24"/>
                <w:szCs w:val="24"/>
              </w:rPr>
              <w:t>项廷锋</w:t>
            </w:r>
          </w:p>
        </w:tc>
        <w:tc>
          <w:tcPr>
            <w:tcW w:w="845" w:type="dxa"/>
            <w:vAlign w:val="center"/>
          </w:tcPr>
          <w:p w:rsidR="00E61597" w:rsidRDefault="007E0B8C">
            <w:pPr>
              <w:jc w:val="center"/>
            </w:pPr>
            <w:r>
              <w:rPr>
                <w:color w:val="000000"/>
                <w:sz w:val="24"/>
                <w:szCs w:val="24"/>
              </w:rPr>
              <w:t>本基金、交银双利债券、交银荣安保本混合、交银荣泰保本混合、交银周期回报灵活配置混合的基金经理，公司投资总监</w:t>
            </w:r>
          </w:p>
        </w:tc>
        <w:tc>
          <w:tcPr>
            <w:tcW w:w="1549" w:type="dxa"/>
            <w:vAlign w:val="center"/>
          </w:tcPr>
          <w:p w:rsidR="00E61597" w:rsidRDefault="007E0B8C">
            <w:pPr>
              <w:jc w:val="center"/>
            </w:pPr>
            <w:r>
              <w:rPr>
                <w:color w:val="000000"/>
                <w:sz w:val="24"/>
                <w:szCs w:val="24"/>
              </w:rPr>
              <w:t>2013-04-24</w:t>
            </w:r>
          </w:p>
        </w:tc>
        <w:tc>
          <w:tcPr>
            <w:tcW w:w="1548" w:type="dxa"/>
            <w:vAlign w:val="center"/>
          </w:tcPr>
          <w:p w:rsidR="00E61597" w:rsidRDefault="007E0B8C">
            <w:pPr>
              <w:jc w:val="center"/>
            </w:pPr>
            <w:r>
              <w:rPr>
                <w:color w:val="000000"/>
                <w:sz w:val="24"/>
                <w:szCs w:val="24"/>
              </w:rPr>
              <w:t>-</w:t>
            </w:r>
          </w:p>
        </w:tc>
        <w:tc>
          <w:tcPr>
            <w:tcW w:w="1407" w:type="dxa"/>
            <w:vAlign w:val="center"/>
          </w:tcPr>
          <w:p w:rsidR="00E61597" w:rsidRDefault="007E0B8C">
            <w:pPr>
              <w:jc w:val="center"/>
            </w:pPr>
            <w:r>
              <w:rPr>
                <w:color w:val="000000"/>
                <w:sz w:val="24"/>
                <w:szCs w:val="24"/>
              </w:rPr>
              <w:t>16</w:t>
            </w:r>
            <w:r>
              <w:rPr>
                <w:color w:val="000000"/>
                <w:sz w:val="24"/>
                <w:szCs w:val="24"/>
              </w:rPr>
              <w:t>年</w:t>
            </w:r>
          </w:p>
        </w:tc>
        <w:tc>
          <w:tcPr>
            <w:tcW w:w="2673" w:type="dxa"/>
            <w:vAlign w:val="center"/>
          </w:tcPr>
          <w:p w:rsidR="00E61597" w:rsidRDefault="007E0B8C">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61597" w:rsidRDefault="007E0B8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61597" w:rsidRDefault="007E0B8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61597" w:rsidRDefault="007E0B8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61597" w:rsidRDefault="007E0B8C">
      <w:pPr>
        <w:spacing w:before="29" w:line="288" w:lineRule="auto"/>
        <w:ind w:firstLineChars="200" w:firstLine="480"/>
        <w:rPr>
          <w:color w:val="000000"/>
          <w:sz w:val="24"/>
          <w:szCs w:val="24"/>
        </w:rPr>
      </w:pPr>
      <w:r>
        <w:rPr>
          <w:color w:val="000000"/>
          <w:sz w:val="24"/>
          <w:szCs w:val="24"/>
        </w:rPr>
        <w:t>一季度经济增长压力较大，物价水平存通缩隐忧；与此同时，美联储退出</w:t>
      </w:r>
      <w:r>
        <w:rPr>
          <w:color w:val="000000"/>
          <w:sz w:val="24"/>
          <w:szCs w:val="24"/>
        </w:rPr>
        <w:t>QE</w:t>
      </w:r>
      <w:r>
        <w:rPr>
          <w:color w:val="000000"/>
          <w:sz w:val="24"/>
          <w:szCs w:val="24"/>
        </w:rPr>
        <w:t>后加息预期升温，欧元区开始启动</w:t>
      </w:r>
      <w:r>
        <w:rPr>
          <w:color w:val="000000"/>
          <w:sz w:val="24"/>
          <w:szCs w:val="24"/>
        </w:rPr>
        <w:t>QE</w:t>
      </w:r>
      <w:r>
        <w:rPr>
          <w:color w:val="000000"/>
          <w:sz w:val="24"/>
          <w:szCs w:val="24"/>
        </w:rPr>
        <w:t>，美元指数大涨、国际油价暴跌，热钱温和流出。中国政府坚持新常态的基本判断，一方面降准、降息、增加财政支出，着力于稳增长；另一方面通过成立</w:t>
      </w:r>
      <w:r>
        <w:rPr>
          <w:color w:val="000000"/>
          <w:sz w:val="24"/>
          <w:szCs w:val="24"/>
        </w:rPr>
        <w:t>“</w:t>
      </w:r>
      <w:r>
        <w:rPr>
          <w:color w:val="000000"/>
          <w:sz w:val="24"/>
          <w:szCs w:val="24"/>
        </w:rPr>
        <w:t>亚投行</w:t>
      </w:r>
      <w:r>
        <w:rPr>
          <w:color w:val="000000"/>
          <w:sz w:val="24"/>
          <w:szCs w:val="24"/>
        </w:rPr>
        <w:t>”</w:t>
      </w:r>
      <w:r>
        <w:rPr>
          <w:color w:val="000000"/>
          <w:sz w:val="24"/>
          <w:szCs w:val="24"/>
        </w:rPr>
        <w:t>、力推</w:t>
      </w:r>
      <w:r>
        <w:rPr>
          <w:color w:val="000000"/>
          <w:sz w:val="24"/>
          <w:szCs w:val="24"/>
        </w:rPr>
        <w:t>“</w:t>
      </w:r>
      <w:r>
        <w:rPr>
          <w:color w:val="000000"/>
          <w:sz w:val="24"/>
          <w:szCs w:val="24"/>
        </w:rPr>
        <w:t>一带一路</w:t>
      </w:r>
      <w:r>
        <w:rPr>
          <w:color w:val="000000"/>
          <w:sz w:val="24"/>
          <w:szCs w:val="24"/>
        </w:rPr>
        <w:t>”</w:t>
      </w:r>
      <w:r>
        <w:rPr>
          <w:color w:val="000000"/>
          <w:sz w:val="24"/>
          <w:szCs w:val="24"/>
        </w:rPr>
        <w:t>、债务置换、倡议</w:t>
      </w:r>
      <w:r>
        <w:rPr>
          <w:color w:val="000000"/>
          <w:sz w:val="24"/>
          <w:szCs w:val="24"/>
        </w:rPr>
        <w:t>“</w:t>
      </w:r>
      <w:r>
        <w:rPr>
          <w:color w:val="000000"/>
          <w:sz w:val="24"/>
          <w:szCs w:val="24"/>
        </w:rPr>
        <w:t>互联网</w:t>
      </w:r>
      <w:r>
        <w:rPr>
          <w:color w:val="000000"/>
          <w:sz w:val="24"/>
          <w:szCs w:val="24"/>
        </w:rPr>
        <w:t>+”</w:t>
      </w:r>
      <w:r>
        <w:rPr>
          <w:color w:val="000000"/>
          <w:sz w:val="24"/>
          <w:szCs w:val="24"/>
        </w:rPr>
        <w:t>等，力求化解经济金融风险，促进中国经济持续、有序转型。</w:t>
      </w:r>
    </w:p>
    <w:p w:rsidR="00E61597" w:rsidRDefault="007E0B8C">
      <w:pPr>
        <w:spacing w:before="29" w:line="288" w:lineRule="auto"/>
        <w:ind w:firstLineChars="200" w:firstLine="480"/>
        <w:rPr>
          <w:color w:val="000000"/>
          <w:sz w:val="24"/>
          <w:szCs w:val="24"/>
        </w:rPr>
      </w:pPr>
      <w:r>
        <w:rPr>
          <w:color w:val="000000"/>
          <w:sz w:val="24"/>
          <w:szCs w:val="24"/>
        </w:rPr>
        <w:t>股票市场方面，中国经济转型受益的行业，特别是互联网、科技股板块大幅上涨；而传统产业则得益于盘活存量，全面开花，也取得了不错的涨幅。债券市场方面，一季度债券市场呈现明显的</w:t>
      </w:r>
      <w:r>
        <w:rPr>
          <w:color w:val="000000"/>
          <w:sz w:val="24"/>
          <w:szCs w:val="24"/>
        </w:rPr>
        <w:t>V</w:t>
      </w:r>
      <w:r>
        <w:rPr>
          <w:color w:val="000000"/>
          <w:sz w:val="24"/>
          <w:szCs w:val="24"/>
        </w:rPr>
        <w:t>型走势，流动性是主因，</w:t>
      </w:r>
      <w:r>
        <w:rPr>
          <w:color w:val="000000"/>
          <w:sz w:val="24"/>
          <w:szCs w:val="24"/>
        </w:rPr>
        <w:t>IPO</w:t>
      </w:r>
      <w:r>
        <w:rPr>
          <w:color w:val="000000"/>
          <w:sz w:val="24"/>
          <w:szCs w:val="24"/>
        </w:rPr>
        <w:t>与债务置换导致了债券市场收益率的触底反弹，但总体不改我们年初关于市场震荡运行的判断。</w:t>
      </w:r>
    </w:p>
    <w:p w:rsidR="00E61597" w:rsidRDefault="007E0B8C">
      <w:pPr>
        <w:spacing w:before="29" w:line="288" w:lineRule="auto"/>
        <w:ind w:firstLineChars="200" w:firstLine="480"/>
        <w:rPr>
          <w:color w:val="000000"/>
          <w:sz w:val="24"/>
          <w:szCs w:val="24"/>
        </w:rPr>
      </w:pPr>
      <w:r>
        <w:rPr>
          <w:color w:val="000000"/>
          <w:sz w:val="24"/>
          <w:szCs w:val="24"/>
        </w:rPr>
        <w:t>操作策略方面，仍坚持一贯的绝对收益的组合管理理念，收益资产因看好权益资产的表现而取上限配置，结构略显均衡；保本资产采用了短久期、高等级、零杠杆的保守配置策略。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股票市场经过一季度的大幅度上涨，需警惕估值泡沫与技术性调整；中期而言，经济转型的大趋势已然确立，政经领域正在进行的史无前例大变革或将持续释放制度红利，值得期待。债券市场仍将维持震荡格局，但需特别警惕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1.101</w:t>
      </w:r>
      <w:r w:rsidRPr="00414345">
        <w:rPr>
          <w:color w:val="000000"/>
          <w:sz w:val="24"/>
          <w:szCs w:val="24"/>
        </w:rPr>
        <w:t>元，本报告期份额净值增长率为</w:t>
      </w:r>
      <w:r w:rsidRPr="00414345">
        <w:rPr>
          <w:color w:val="000000"/>
          <w:sz w:val="24"/>
          <w:szCs w:val="24"/>
        </w:rPr>
        <w:t>11.35%</w:t>
      </w:r>
      <w:r w:rsidRPr="00414345">
        <w:rPr>
          <w:color w:val="000000"/>
          <w:sz w:val="24"/>
          <w:szCs w:val="24"/>
        </w:rPr>
        <w:t>，同期业绩比较基准增长率为</w:t>
      </w:r>
      <w:r w:rsidRPr="00414345">
        <w:rPr>
          <w:color w:val="000000"/>
          <w:sz w:val="24"/>
          <w:szCs w:val="24"/>
        </w:rPr>
        <w:t>0.98%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90,388,632.09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90,388,632.09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145,002,865.40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41.93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145,002,865.40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41.93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58,500,298.35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16.92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48,726,645.58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14.09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3,227,746.99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0.93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345,846,188.41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33,691,769.07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5,412,000.00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3,674,977.30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20,542,000.00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8,707,000.00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2,588,271.00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1,437,300.00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2,053,914.72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3,108,400.00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2,182,000.00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90,388,632.09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27.24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61597">
        <w:trPr>
          <w:jc w:val="center"/>
        </w:trPr>
        <w:tc>
          <w:tcPr>
            <w:tcW w:w="855" w:type="dxa"/>
            <w:vAlign w:val="center"/>
          </w:tcPr>
          <w:p w:rsidR="00E61597" w:rsidRDefault="007E0B8C">
            <w:pPr>
              <w:jc w:val="center"/>
            </w:pPr>
            <w:r>
              <w:rPr>
                <w:color w:val="000000"/>
                <w:sz w:val="24"/>
                <w:szCs w:val="24"/>
              </w:rPr>
              <w:t>1</w:t>
            </w:r>
          </w:p>
        </w:tc>
        <w:tc>
          <w:tcPr>
            <w:tcW w:w="1334" w:type="dxa"/>
            <w:vAlign w:val="center"/>
          </w:tcPr>
          <w:p w:rsidR="00E61597" w:rsidRDefault="007E0B8C">
            <w:pPr>
              <w:jc w:val="center"/>
            </w:pPr>
            <w:r>
              <w:rPr>
                <w:color w:val="000000"/>
                <w:sz w:val="24"/>
                <w:szCs w:val="24"/>
              </w:rPr>
              <w:t>000599</w:t>
            </w:r>
          </w:p>
        </w:tc>
        <w:tc>
          <w:tcPr>
            <w:tcW w:w="1777" w:type="dxa"/>
            <w:vAlign w:val="center"/>
          </w:tcPr>
          <w:p w:rsidR="00E61597" w:rsidRDefault="007E0B8C">
            <w:pPr>
              <w:jc w:val="center"/>
            </w:pPr>
            <w:r>
              <w:rPr>
                <w:color w:val="000000"/>
                <w:sz w:val="24"/>
                <w:szCs w:val="24"/>
              </w:rPr>
              <w:t>青岛双星</w:t>
            </w:r>
          </w:p>
        </w:tc>
        <w:tc>
          <w:tcPr>
            <w:tcW w:w="1334" w:type="dxa"/>
            <w:vAlign w:val="center"/>
          </w:tcPr>
          <w:p w:rsidR="00E61597" w:rsidRDefault="007E0B8C">
            <w:pPr>
              <w:jc w:val="right"/>
            </w:pPr>
            <w:r>
              <w:rPr>
                <w:color w:val="000000"/>
                <w:sz w:val="24"/>
                <w:szCs w:val="24"/>
              </w:rPr>
              <w:t>743,800</w:t>
            </w:r>
          </w:p>
        </w:tc>
        <w:tc>
          <w:tcPr>
            <w:tcW w:w="1924" w:type="dxa"/>
            <w:vAlign w:val="center"/>
          </w:tcPr>
          <w:p w:rsidR="00E61597" w:rsidRDefault="007E0B8C">
            <w:pPr>
              <w:jc w:val="right"/>
            </w:pPr>
            <w:r>
              <w:rPr>
                <w:color w:val="000000"/>
                <w:sz w:val="24"/>
                <w:szCs w:val="24"/>
              </w:rPr>
              <w:t>8,613,204.00</w:t>
            </w:r>
          </w:p>
        </w:tc>
        <w:tc>
          <w:tcPr>
            <w:tcW w:w="1644" w:type="dxa"/>
            <w:vAlign w:val="center"/>
          </w:tcPr>
          <w:p w:rsidR="00E61597" w:rsidRDefault="007E0B8C">
            <w:pPr>
              <w:jc w:val="right"/>
            </w:pPr>
            <w:r>
              <w:rPr>
                <w:color w:val="000000"/>
                <w:sz w:val="24"/>
                <w:szCs w:val="24"/>
              </w:rPr>
              <w:t>2.60</w:t>
            </w:r>
          </w:p>
        </w:tc>
      </w:tr>
      <w:tr w:rsidR="00E61597">
        <w:trPr>
          <w:jc w:val="center"/>
        </w:trPr>
        <w:tc>
          <w:tcPr>
            <w:tcW w:w="855" w:type="dxa"/>
            <w:vAlign w:val="center"/>
          </w:tcPr>
          <w:p w:rsidR="00E61597" w:rsidRDefault="007E0B8C">
            <w:pPr>
              <w:jc w:val="center"/>
            </w:pPr>
            <w:r>
              <w:rPr>
                <w:color w:val="000000"/>
                <w:sz w:val="24"/>
                <w:szCs w:val="24"/>
              </w:rPr>
              <w:t>2</w:t>
            </w:r>
          </w:p>
        </w:tc>
        <w:tc>
          <w:tcPr>
            <w:tcW w:w="1334" w:type="dxa"/>
            <w:vAlign w:val="center"/>
          </w:tcPr>
          <w:p w:rsidR="00E61597" w:rsidRDefault="007E0B8C">
            <w:pPr>
              <w:jc w:val="center"/>
            </w:pPr>
            <w:r>
              <w:rPr>
                <w:color w:val="000000"/>
                <w:sz w:val="24"/>
                <w:szCs w:val="24"/>
              </w:rPr>
              <w:t>600958</w:t>
            </w:r>
          </w:p>
        </w:tc>
        <w:tc>
          <w:tcPr>
            <w:tcW w:w="1777" w:type="dxa"/>
            <w:vAlign w:val="center"/>
          </w:tcPr>
          <w:p w:rsidR="00E61597" w:rsidRDefault="007E0B8C">
            <w:pPr>
              <w:jc w:val="center"/>
            </w:pPr>
            <w:r>
              <w:rPr>
                <w:color w:val="000000"/>
                <w:sz w:val="24"/>
                <w:szCs w:val="24"/>
              </w:rPr>
              <w:t>东方证券</w:t>
            </w:r>
          </w:p>
        </w:tc>
        <w:tc>
          <w:tcPr>
            <w:tcW w:w="1334" w:type="dxa"/>
            <w:vAlign w:val="center"/>
          </w:tcPr>
          <w:p w:rsidR="00E61597" w:rsidRDefault="007E0B8C">
            <w:pPr>
              <w:jc w:val="right"/>
            </w:pPr>
            <w:r>
              <w:rPr>
                <w:color w:val="000000"/>
                <w:sz w:val="24"/>
                <w:szCs w:val="24"/>
              </w:rPr>
              <w:t>300,000</w:t>
            </w:r>
          </w:p>
        </w:tc>
        <w:tc>
          <w:tcPr>
            <w:tcW w:w="1924" w:type="dxa"/>
            <w:vAlign w:val="center"/>
          </w:tcPr>
          <w:p w:rsidR="00E61597" w:rsidRDefault="007E0B8C">
            <w:pPr>
              <w:jc w:val="right"/>
            </w:pPr>
            <w:r>
              <w:rPr>
                <w:color w:val="000000"/>
                <w:sz w:val="24"/>
                <w:szCs w:val="24"/>
              </w:rPr>
              <w:t>6,795,000.00</w:t>
            </w:r>
          </w:p>
        </w:tc>
        <w:tc>
          <w:tcPr>
            <w:tcW w:w="1644" w:type="dxa"/>
            <w:vAlign w:val="center"/>
          </w:tcPr>
          <w:p w:rsidR="00E61597" w:rsidRDefault="007E0B8C">
            <w:pPr>
              <w:jc w:val="right"/>
            </w:pPr>
            <w:r>
              <w:rPr>
                <w:color w:val="000000"/>
                <w:sz w:val="24"/>
                <w:szCs w:val="24"/>
              </w:rPr>
              <w:t>2.05</w:t>
            </w:r>
          </w:p>
        </w:tc>
      </w:tr>
      <w:tr w:rsidR="00E61597">
        <w:trPr>
          <w:jc w:val="center"/>
        </w:trPr>
        <w:tc>
          <w:tcPr>
            <w:tcW w:w="855" w:type="dxa"/>
            <w:vAlign w:val="center"/>
          </w:tcPr>
          <w:p w:rsidR="00E61597" w:rsidRDefault="007E0B8C">
            <w:pPr>
              <w:jc w:val="center"/>
            </w:pPr>
            <w:r>
              <w:rPr>
                <w:color w:val="000000"/>
                <w:sz w:val="24"/>
                <w:szCs w:val="24"/>
              </w:rPr>
              <w:t>3</w:t>
            </w:r>
          </w:p>
        </w:tc>
        <w:tc>
          <w:tcPr>
            <w:tcW w:w="1334" w:type="dxa"/>
            <w:vAlign w:val="center"/>
          </w:tcPr>
          <w:p w:rsidR="00E61597" w:rsidRDefault="007E0B8C">
            <w:pPr>
              <w:jc w:val="center"/>
            </w:pPr>
            <w:r>
              <w:rPr>
                <w:color w:val="000000"/>
                <w:sz w:val="24"/>
                <w:szCs w:val="24"/>
              </w:rPr>
              <w:t>300324</w:t>
            </w:r>
          </w:p>
        </w:tc>
        <w:tc>
          <w:tcPr>
            <w:tcW w:w="1777" w:type="dxa"/>
            <w:vAlign w:val="center"/>
          </w:tcPr>
          <w:p w:rsidR="00E61597" w:rsidRDefault="007E0B8C">
            <w:pPr>
              <w:jc w:val="center"/>
            </w:pPr>
            <w:r>
              <w:rPr>
                <w:color w:val="000000"/>
                <w:sz w:val="24"/>
                <w:szCs w:val="24"/>
              </w:rPr>
              <w:t>旋极信息</w:t>
            </w:r>
          </w:p>
        </w:tc>
        <w:tc>
          <w:tcPr>
            <w:tcW w:w="1334" w:type="dxa"/>
            <w:vAlign w:val="center"/>
          </w:tcPr>
          <w:p w:rsidR="00E61597" w:rsidRDefault="007E0B8C">
            <w:pPr>
              <w:jc w:val="right"/>
            </w:pPr>
            <w:r>
              <w:rPr>
                <w:color w:val="000000"/>
                <w:sz w:val="24"/>
                <w:szCs w:val="24"/>
              </w:rPr>
              <w:t>100,000</w:t>
            </w:r>
          </w:p>
        </w:tc>
        <w:tc>
          <w:tcPr>
            <w:tcW w:w="1924" w:type="dxa"/>
            <w:vAlign w:val="center"/>
          </w:tcPr>
          <w:p w:rsidR="00E61597" w:rsidRDefault="007E0B8C">
            <w:pPr>
              <w:jc w:val="right"/>
            </w:pPr>
            <w:r>
              <w:rPr>
                <w:color w:val="000000"/>
                <w:sz w:val="24"/>
                <w:szCs w:val="24"/>
              </w:rPr>
              <w:t>6,608,000.00</w:t>
            </w:r>
          </w:p>
        </w:tc>
        <w:tc>
          <w:tcPr>
            <w:tcW w:w="1644" w:type="dxa"/>
            <w:vAlign w:val="center"/>
          </w:tcPr>
          <w:p w:rsidR="00E61597" w:rsidRDefault="007E0B8C">
            <w:pPr>
              <w:jc w:val="right"/>
            </w:pPr>
            <w:r>
              <w:rPr>
                <w:color w:val="000000"/>
                <w:sz w:val="24"/>
                <w:szCs w:val="24"/>
              </w:rPr>
              <w:t>1.99</w:t>
            </w:r>
          </w:p>
        </w:tc>
      </w:tr>
      <w:tr w:rsidR="00E61597">
        <w:trPr>
          <w:jc w:val="center"/>
        </w:trPr>
        <w:tc>
          <w:tcPr>
            <w:tcW w:w="855" w:type="dxa"/>
            <w:vAlign w:val="center"/>
          </w:tcPr>
          <w:p w:rsidR="00E61597" w:rsidRDefault="007E0B8C">
            <w:pPr>
              <w:jc w:val="center"/>
            </w:pPr>
            <w:r>
              <w:rPr>
                <w:color w:val="000000"/>
                <w:sz w:val="24"/>
                <w:szCs w:val="24"/>
              </w:rPr>
              <w:t>4</w:t>
            </w:r>
          </w:p>
        </w:tc>
        <w:tc>
          <w:tcPr>
            <w:tcW w:w="1334" w:type="dxa"/>
            <w:vAlign w:val="center"/>
          </w:tcPr>
          <w:p w:rsidR="00E61597" w:rsidRDefault="007E0B8C">
            <w:pPr>
              <w:jc w:val="center"/>
            </w:pPr>
            <w:r>
              <w:rPr>
                <w:color w:val="000000"/>
                <w:sz w:val="24"/>
                <w:szCs w:val="24"/>
              </w:rPr>
              <w:t>600277</w:t>
            </w:r>
          </w:p>
        </w:tc>
        <w:tc>
          <w:tcPr>
            <w:tcW w:w="1777" w:type="dxa"/>
            <w:vAlign w:val="center"/>
          </w:tcPr>
          <w:p w:rsidR="00E61597" w:rsidRDefault="007E0B8C">
            <w:pPr>
              <w:jc w:val="center"/>
            </w:pPr>
            <w:r>
              <w:rPr>
                <w:color w:val="000000"/>
                <w:sz w:val="24"/>
                <w:szCs w:val="24"/>
              </w:rPr>
              <w:t>亿利能源</w:t>
            </w:r>
          </w:p>
        </w:tc>
        <w:tc>
          <w:tcPr>
            <w:tcW w:w="1334" w:type="dxa"/>
            <w:vAlign w:val="center"/>
          </w:tcPr>
          <w:p w:rsidR="00E61597" w:rsidRDefault="007E0B8C">
            <w:pPr>
              <w:jc w:val="right"/>
            </w:pPr>
            <w:r>
              <w:rPr>
                <w:color w:val="000000"/>
                <w:sz w:val="24"/>
                <w:szCs w:val="24"/>
              </w:rPr>
              <w:t>499,883</w:t>
            </w:r>
          </w:p>
        </w:tc>
        <w:tc>
          <w:tcPr>
            <w:tcW w:w="1924" w:type="dxa"/>
            <w:vAlign w:val="center"/>
          </w:tcPr>
          <w:p w:rsidR="00E61597" w:rsidRDefault="007E0B8C">
            <w:pPr>
              <w:jc w:val="right"/>
            </w:pPr>
            <w:r>
              <w:rPr>
                <w:color w:val="000000"/>
                <w:sz w:val="24"/>
                <w:szCs w:val="24"/>
              </w:rPr>
              <w:t>5,643,679.07</w:t>
            </w:r>
          </w:p>
        </w:tc>
        <w:tc>
          <w:tcPr>
            <w:tcW w:w="1644" w:type="dxa"/>
            <w:vAlign w:val="center"/>
          </w:tcPr>
          <w:p w:rsidR="00E61597" w:rsidRDefault="007E0B8C">
            <w:pPr>
              <w:jc w:val="right"/>
            </w:pPr>
            <w:r>
              <w:rPr>
                <w:color w:val="000000"/>
                <w:sz w:val="24"/>
                <w:szCs w:val="24"/>
              </w:rPr>
              <w:t>1.70</w:t>
            </w:r>
          </w:p>
        </w:tc>
      </w:tr>
      <w:tr w:rsidR="00E61597">
        <w:trPr>
          <w:jc w:val="center"/>
        </w:trPr>
        <w:tc>
          <w:tcPr>
            <w:tcW w:w="855" w:type="dxa"/>
            <w:vAlign w:val="center"/>
          </w:tcPr>
          <w:p w:rsidR="00E61597" w:rsidRDefault="007E0B8C">
            <w:pPr>
              <w:jc w:val="center"/>
            </w:pPr>
            <w:r>
              <w:rPr>
                <w:color w:val="000000"/>
                <w:sz w:val="24"/>
                <w:szCs w:val="24"/>
              </w:rPr>
              <w:t>5</w:t>
            </w:r>
          </w:p>
        </w:tc>
        <w:tc>
          <w:tcPr>
            <w:tcW w:w="1334" w:type="dxa"/>
            <w:vAlign w:val="center"/>
          </w:tcPr>
          <w:p w:rsidR="00E61597" w:rsidRDefault="007E0B8C">
            <w:pPr>
              <w:jc w:val="center"/>
            </w:pPr>
            <w:r>
              <w:rPr>
                <w:color w:val="000000"/>
                <w:sz w:val="24"/>
                <w:szCs w:val="24"/>
              </w:rPr>
              <w:t>000046</w:t>
            </w:r>
          </w:p>
        </w:tc>
        <w:tc>
          <w:tcPr>
            <w:tcW w:w="1777" w:type="dxa"/>
            <w:vAlign w:val="center"/>
          </w:tcPr>
          <w:p w:rsidR="00E61597" w:rsidRDefault="007E0B8C">
            <w:pPr>
              <w:jc w:val="center"/>
            </w:pPr>
            <w:r>
              <w:rPr>
                <w:color w:val="000000"/>
                <w:sz w:val="24"/>
                <w:szCs w:val="24"/>
              </w:rPr>
              <w:t>泛海控股</w:t>
            </w:r>
          </w:p>
        </w:tc>
        <w:tc>
          <w:tcPr>
            <w:tcW w:w="1334" w:type="dxa"/>
            <w:vAlign w:val="center"/>
          </w:tcPr>
          <w:p w:rsidR="00E61597" w:rsidRDefault="007E0B8C">
            <w:pPr>
              <w:jc w:val="right"/>
            </w:pPr>
            <w:r>
              <w:rPr>
                <w:color w:val="000000"/>
                <w:sz w:val="24"/>
                <w:szCs w:val="24"/>
              </w:rPr>
              <w:t>400,000</w:t>
            </w:r>
          </w:p>
        </w:tc>
        <w:tc>
          <w:tcPr>
            <w:tcW w:w="1924" w:type="dxa"/>
            <w:vAlign w:val="center"/>
          </w:tcPr>
          <w:p w:rsidR="00E61597" w:rsidRDefault="007E0B8C">
            <w:pPr>
              <w:jc w:val="right"/>
            </w:pPr>
            <w:r>
              <w:rPr>
                <w:color w:val="000000"/>
                <w:sz w:val="24"/>
                <w:szCs w:val="24"/>
              </w:rPr>
              <w:t>5,520,000.00</w:t>
            </w:r>
          </w:p>
        </w:tc>
        <w:tc>
          <w:tcPr>
            <w:tcW w:w="1644" w:type="dxa"/>
            <w:vAlign w:val="center"/>
          </w:tcPr>
          <w:p w:rsidR="00E61597" w:rsidRDefault="007E0B8C">
            <w:pPr>
              <w:jc w:val="right"/>
            </w:pPr>
            <w:r>
              <w:rPr>
                <w:color w:val="000000"/>
                <w:sz w:val="24"/>
                <w:szCs w:val="24"/>
              </w:rPr>
              <w:t>1.66</w:t>
            </w:r>
          </w:p>
        </w:tc>
      </w:tr>
      <w:tr w:rsidR="00E61597">
        <w:trPr>
          <w:jc w:val="center"/>
        </w:trPr>
        <w:tc>
          <w:tcPr>
            <w:tcW w:w="855" w:type="dxa"/>
            <w:vAlign w:val="center"/>
          </w:tcPr>
          <w:p w:rsidR="00E61597" w:rsidRDefault="007E0B8C">
            <w:pPr>
              <w:jc w:val="center"/>
            </w:pPr>
            <w:r>
              <w:rPr>
                <w:color w:val="000000"/>
                <w:sz w:val="24"/>
                <w:szCs w:val="24"/>
              </w:rPr>
              <w:t>6</w:t>
            </w:r>
          </w:p>
        </w:tc>
        <w:tc>
          <w:tcPr>
            <w:tcW w:w="1334" w:type="dxa"/>
            <w:vAlign w:val="center"/>
          </w:tcPr>
          <w:p w:rsidR="00E61597" w:rsidRDefault="007E0B8C">
            <w:pPr>
              <w:jc w:val="center"/>
            </w:pPr>
            <w:r>
              <w:rPr>
                <w:color w:val="000000"/>
                <w:sz w:val="24"/>
                <w:szCs w:val="24"/>
              </w:rPr>
              <w:t>300168</w:t>
            </w:r>
          </w:p>
        </w:tc>
        <w:tc>
          <w:tcPr>
            <w:tcW w:w="1777" w:type="dxa"/>
            <w:vAlign w:val="center"/>
          </w:tcPr>
          <w:p w:rsidR="00E61597" w:rsidRDefault="007E0B8C">
            <w:pPr>
              <w:jc w:val="center"/>
            </w:pPr>
            <w:r>
              <w:rPr>
                <w:color w:val="000000"/>
                <w:sz w:val="24"/>
                <w:szCs w:val="24"/>
              </w:rPr>
              <w:t>万达信息</w:t>
            </w:r>
          </w:p>
        </w:tc>
        <w:tc>
          <w:tcPr>
            <w:tcW w:w="1334" w:type="dxa"/>
            <w:vAlign w:val="center"/>
          </w:tcPr>
          <w:p w:rsidR="00E61597" w:rsidRDefault="007E0B8C">
            <w:pPr>
              <w:jc w:val="right"/>
            </w:pPr>
            <w:r>
              <w:rPr>
                <w:color w:val="000000"/>
                <w:sz w:val="24"/>
                <w:szCs w:val="24"/>
              </w:rPr>
              <w:t>60,000</w:t>
            </w:r>
          </w:p>
        </w:tc>
        <w:tc>
          <w:tcPr>
            <w:tcW w:w="1924" w:type="dxa"/>
            <w:vAlign w:val="center"/>
          </w:tcPr>
          <w:p w:rsidR="00E61597" w:rsidRDefault="007E0B8C">
            <w:pPr>
              <w:jc w:val="right"/>
            </w:pPr>
            <w:r>
              <w:rPr>
                <w:color w:val="000000"/>
                <w:sz w:val="24"/>
                <w:szCs w:val="24"/>
              </w:rPr>
              <w:t>3,958,800.00</w:t>
            </w:r>
          </w:p>
        </w:tc>
        <w:tc>
          <w:tcPr>
            <w:tcW w:w="1644" w:type="dxa"/>
            <w:vAlign w:val="center"/>
          </w:tcPr>
          <w:p w:rsidR="00E61597" w:rsidRDefault="007E0B8C">
            <w:pPr>
              <w:jc w:val="right"/>
            </w:pPr>
            <w:r>
              <w:rPr>
                <w:color w:val="000000"/>
                <w:sz w:val="24"/>
                <w:szCs w:val="24"/>
              </w:rPr>
              <w:t>1.19</w:t>
            </w:r>
          </w:p>
        </w:tc>
      </w:tr>
      <w:tr w:rsidR="00E61597">
        <w:trPr>
          <w:jc w:val="center"/>
        </w:trPr>
        <w:tc>
          <w:tcPr>
            <w:tcW w:w="855" w:type="dxa"/>
            <w:vAlign w:val="center"/>
          </w:tcPr>
          <w:p w:rsidR="00E61597" w:rsidRDefault="007E0B8C">
            <w:pPr>
              <w:jc w:val="center"/>
            </w:pPr>
            <w:r>
              <w:rPr>
                <w:color w:val="000000"/>
                <w:sz w:val="24"/>
                <w:szCs w:val="24"/>
              </w:rPr>
              <w:t>7</w:t>
            </w:r>
          </w:p>
        </w:tc>
        <w:tc>
          <w:tcPr>
            <w:tcW w:w="1334" w:type="dxa"/>
            <w:vAlign w:val="center"/>
          </w:tcPr>
          <w:p w:rsidR="00E61597" w:rsidRDefault="007E0B8C">
            <w:pPr>
              <w:jc w:val="center"/>
            </w:pPr>
            <w:r>
              <w:rPr>
                <w:color w:val="000000"/>
                <w:sz w:val="24"/>
                <w:szCs w:val="24"/>
              </w:rPr>
              <w:t>300010</w:t>
            </w:r>
          </w:p>
        </w:tc>
        <w:tc>
          <w:tcPr>
            <w:tcW w:w="1777" w:type="dxa"/>
            <w:vAlign w:val="center"/>
          </w:tcPr>
          <w:p w:rsidR="00E61597" w:rsidRDefault="007E0B8C">
            <w:pPr>
              <w:jc w:val="center"/>
            </w:pPr>
            <w:r>
              <w:rPr>
                <w:color w:val="000000"/>
                <w:sz w:val="24"/>
                <w:szCs w:val="24"/>
              </w:rPr>
              <w:t>立思辰</w:t>
            </w:r>
          </w:p>
        </w:tc>
        <w:tc>
          <w:tcPr>
            <w:tcW w:w="1334" w:type="dxa"/>
            <w:vAlign w:val="center"/>
          </w:tcPr>
          <w:p w:rsidR="00E61597" w:rsidRDefault="007E0B8C">
            <w:pPr>
              <w:jc w:val="right"/>
            </w:pPr>
            <w:r>
              <w:rPr>
                <w:color w:val="000000"/>
                <w:sz w:val="24"/>
                <w:szCs w:val="24"/>
              </w:rPr>
              <w:t>80,000</w:t>
            </w:r>
          </w:p>
        </w:tc>
        <w:tc>
          <w:tcPr>
            <w:tcW w:w="1924" w:type="dxa"/>
            <w:vAlign w:val="center"/>
          </w:tcPr>
          <w:p w:rsidR="00E61597" w:rsidRDefault="007E0B8C">
            <w:pPr>
              <w:jc w:val="right"/>
            </w:pPr>
            <w:r>
              <w:rPr>
                <w:color w:val="000000"/>
                <w:sz w:val="24"/>
                <w:szCs w:val="24"/>
              </w:rPr>
              <w:t>3,794,400.00</w:t>
            </w:r>
          </w:p>
        </w:tc>
        <w:tc>
          <w:tcPr>
            <w:tcW w:w="1644" w:type="dxa"/>
            <w:vAlign w:val="center"/>
          </w:tcPr>
          <w:p w:rsidR="00E61597" w:rsidRDefault="007E0B8C">
            <w:pPr>
              <w:jc w:val="right"/>
            </w:pPr>
            <w:r>
              <w:rPr>
                <w:color w:val="000000"/>
                <w:sz w:val="24"/>
                <w:szCs w:val="24"/>
              </w:rPr>
              <w:t>1.14</w:t>
            </w:r>
          </w:p>
        </w:tc>
      </w:tr>
      <w:tr w:rsidR="00E61597">
        <w:trPr>
          <w:jc w:val="center"/>
        </w:trPr>
        <w:tc>
          <w:tcPr>
            <w:tcW w:w="855" w:type="dxa"/>
            <w:vAlign w:val="center"/>
          </w:tcPr>
          <w:p w:rsidR="00E61597" w:rsidRDefault="007E0B8C">
            <w:pPr>
              <w:jc w:val="center"/>
            </w:pPr>
            <w:r>
              <w:rPr>
                <w:color w:val="000000"/>
                <w:sz w:val="24"/>
                <w:szCs w:val="24"/>
              </w:rPr>
              <w:t>8</w:t>
            </w:r>
          </w:p>
        </w:tc>
        <w:tc>
          <w:tcPr>
            <w:tcW w:w="1334" w:type="dxa"/>
            <w:vAlign w:val="center"/>
          </w:tcPr>
          <w:p w:rsidR="00E61597" w:rsidRDefault="007E0B8C">
            <w:pPr>
              <w:jc w:val="center"/>
            </w:pPr>
            <w:r>
              <w:rPr>
                <w:color w:val="000000"/>
                <w:sz w:val="24"/>
                <w:szCs w:val="24"/>
              </w:rPr>
              <w:t>600570</w:t>
            </w:r>
          </w:p>
        </w:tc>
        <w:tc>
          <w:tcPr>
            <w:tcW w:w="1777" w:type="dxa"/>
            <w:vAlign w:val="center"/>
          </w:tcPr>
          <w:p w:rsidR="00E61597" w:rsidRDefault="007E0B8C">
            <w:pPr>
              <w:jc w:val="center"/>
            </w:pPr>
            <w:r>
              <w:rPr>
                <w:color w:val="000000"/>
                <w:sz w:val="24"/>
                <w:szCs w:val="24"/>
              </w:rPr>
              <w:t>恒生电子</w:t>
            </w:r>
          </w:p>
        </w:tc>
        <w:tc>
          <w:tcPr>
            <w:tcW w:w="1334" w:type="dxa"/>
            <w:vAlign w:val="center"/>
          </w:tcPr>
          <w:p w:rsidR="00E61597" w:rsidRDefault="007E0B8C">
            <w:pPr>
              <w:jc w:val="right"/>
            </w:pPr>
            <w:r>
              <w:rPr>
                <w:color w:val="000000"/>
                <w:sz w:val="24"/>
                <w:szCs w:val="24"/>
              </w:rPr>
              <w:t>30,000</w:t>
            </w:r>
          </w:p>
        </w:tc>
        <w:tc>
          <w:tcPr>
            <w:tcW w:w="1924" w:type="dxa"/>
            <w:vAlign w:val="center"/>
          </w:tcPr>
          <w:p w:rsidR="00E61597" w:rsidRDefault="007E0B8C">
            <w:pPr>
              <w:jc w:val="right"/>
            </w:pPr>
            <w:r>
              <w:rPr>
                <w:color w:val="000000"/>
                <w:sz w:val="24"/>
                <w:szCs w:val="24"/>
              </w:rPr>
              <w:t>3,266,400.00</w:t>
            </w:r>
          </w:p>
        </w:tc>
        <w:tc>
          <w:tcPr>
            <w:tcW w:w="1644" w:type="dxa"/>
            <w:vAlign w:val="center"/>
          </w:tcPr>
          <w:p w:rsidR="00E61597" w:rsidRDefault="007E0B8C">
            <w:pPr>
              <w:jc w:val="right"/>
            </w:pPr>
            <w:r>
              <w:rPr>
                <w:color w:val="000000"/>
                <w:sz w:val="24"/>
                <w:szCs w:val="24"/>
              </w:rPr>
              <w:t>0.98</w:t>
            </w:r>
          </w:p>
        </w:tc>
      </w:tr>
      <w:tr w:rsidR="00E61597">
        <w:trPr>
          <w:jc w:val="center"/>
        </w:trPr>
        <w:tc>
          <w:tcPr>
            <w:tcW w:w="855" w:type="dxa"/>
            <w:vAlign w:val="center"/>
          </w:tcPr>
          <w:p w:rsidR="00E61597" w:rsidRDefault="007E0B8C">
            <w:pPr>
              <w:jc w:val="center"/>
            </w:pPr>
            <w:r>
              <w:rPr>
                <w:color w:val="000000"/>
                <w:sz w:val="24"/>
                <w:szCs w:val="24"/>
              </w:rPr>
              <w:t>9</w:t>
            </w:r>
          </w:p>
        </w:tc>
        <w:tc>
          <w:tcPr>
            <w:tcW w:w="1334" w:type="dxa"/>
            <w:vAlign w:val="center"/>
          </w:tcPr>
          <w:p w:rsidR="00E61597" w:rsidRDefault="007E0B8C">
            <w:pPr>
              <w:jc w:val="center"/>
            </w:pPr>
            <w:r>
              <w:rPr>
                <w:color w:val="000000"/>
                <w:sz w:val="24"/>
                <w:szCs w:val="24"/>
              </w:rPr>
              <w:t>600219</w:t>
            </w:r>
          </w:p>
        </w:tc>
        <w:tc>
          <w:tcPr>
            <w:tcW w:w="1777" w:type="dxa"/>
            <w:vAlign w:val="center"/>
          </w:tcPr>
          <w:p w:rsidR="00E61597" w:rsidRDefault="007E0B8C">
            <w:pPr>
              <w:jc w:val="center"/>
            </w:pPr>
            <w:r>
              <w:rPr>
                <w:color w:val="000000"/>
                <w:sz w:val="24"/>
                <w:szCs w:val="24"/>
              </w:rPr>
              <w:t>南山铝业</w:t>
            </w:r>
          </w:p>
        </w:tc>
        <w:tc>
          <w:tcPr>
            <w:tcW w:w="1334" w:type="dxa"/>
            <w:vAlign w:val="center"/>
          </w:tcPr>
          <w:p w:rsidR="00E61597" w:rsidRDefault="007E0B8C">
            <w:pPr>
              <w:jc w:val="right"/>
            </w:pPr>
            <w:r>
              <w:rPr>
                <w:color w:val="000000"/>
                <w:sz w:val="24"/>
                <w:szCs w:val="24"/>
              </w:rPr>
              <w:t>300,000</w:t>
            </w:r>
          </w:p>
        </w:tc>
        <w:tc>
          <w:tcPr>
            <w:tcW w:w="1924" w:type="dxa"/>
            <w:vAlign w:val="center"/>
          </w:tcPr>
          <w:p w:rsidR="00E61597" w:rsidRDefault="007E0B8C">
            <w:pPr>
              <w:jc w:val="right"/>
            </w:pPr>
            <w:r>
              <w:rPr>
                <w:color w:val="000000"/>
                <w:sz w:val="24"/>
                <w:szCs w:val="24"/>
              </w:rPr>
              <w:t>3,246,000.00</w:t>
            </w:r>
          </w:p>
        </w:tc>
        <w:tc>
          <w:tcPr>
            <w:tcW w:w="1644" w:type="dxa"/>
            <w:vAlign w:val="center"/>
          </w:tcPr>
          <w:p w:rsidR="00E61597" w:rsidRDefault="007E0B8C">
            <w:pPr>
              <w:jc w:val="right"/>
            </w:pPr>
            <w:r>
              <w:rPr>
                <w:color w:val="000000"/>
                <w:sz w:val="24"/>
                <w:szCs w:val="24"/>
              </w:rPr>
              <w:t>0.98</w:t>
            </w:r>
          </w:p>
        </w:tc>
      </w:tr>
      <w:tr w:rsidR="00E61597">
        <w:trPr>
          <w:jc w:val="center"/>
        </w:trPr>
        <w:tc>
          <w:tcPr>
            <w:tcW w:w="855" w:type="dxa"/>
            <w:vAlign w:val="center"/>
          </w:tcPr>
          <w:p w:rsidR="00E61597" w:rsidRDefault="007E0B8C">
            <w:pPr>
              <w:jc w:val="center"/>
            </w:pPr>
            <w:r>
              <w:rPr>
                <w:color w:val="000000"/>
                <w:sz w:val="24"/>
                <w:szCs w:val="24"/>
              </w:rPr>
              <w:t>10</w:t>
            </w:r>
          </w:p>
        </w:tc>
        <w:tc>
          <w:tcPr>
            <w:tcW w:w="1334" w:type="dxa"/>
            <w:vAlign w:val="center"/>
          </w:tcPr>
          <w:p w:rsidR="00E61597" w:rsidRDefault="007E0B8C">
            <w:pPr>
              <w:jc w:val="center"/>
            </w:pPr>
            <w:r>
              <w:rPr>
                <w:color w:val="000000"/>
                <w:sz w:val="24"/>
                <w:szCs w:val="24"/>
              </w:rPr>
              <w:t>601989</w:t>
            </w:r>
          </w:p>
        </w:tc>
        <w:tc>
          <w:tcPr>
            <w:tcW w:w="1777" w:type="dxa"/>
            <w:vAlign w:val="center"/>
          </w:tcPr>
          <w:p w:rsidR="00E61597" w:rsidRDefault="007E0B8C">
            <w:pPr>
              <w:jc w:val="center"/>
            </w:pPr>
            <w:r>
              <w:rPr>
                <w:color w:val="000000"/>
                <w:sz w:val="24"/>
                <w:szCs w:val="24"/>
              </w:rPr>
              <w:t>中国重工</w:t>
            </w:r>
          </w:p>
        </w:tc>
        <w:tc>
          <w:tcPr>
            <w:tcW w:w="1334" w:type="dxa"/>
            <w:vAlign w:val="center"/>
          </w:tcPr>
          <w:p w:rsidR="00E61597" w:rsidRDefault="007E0B8C">
            <w:pPr>
              <w:jc w:val="right"/>
            </w:pPr>
            <w:r>
              <w:rPr>
                <w:color w:val="000000"/>
                <w:sz w:val="24"/>
                <w:szCs w:val="24"/>
              </w:rPr>
              <w:t>300,000</w:t>
            </w:r>
          </w:p>
        </w:tc>
        <w:tc>
          <w:tcPr>
            <w:tcW w:w="1924" w:type="dxa"/>
            <w:vAlign w:val="center"/>
          </w:tcPr>
          <w:p w:rsidR="00E61597" w:rsidRDefault="007E0B8C">
            <w:pPr>
              <w:jc w:val="right"/>
            </w:pPr>
            <w:r>
              <w:rPr>
                <w:color w:val="000000"/>
                <w:sz w:val="24"/>
                <w:szCs w:val="24"/>
              </w:rPr>
              <w:t>3,012,000.00</w:t>
            </w:r>
          </w:p>
        </w:tc>
        <w:tc>
          <w:tcPr>
            <w:tcW w:w="1644" w:type="dxa"/>
            <w:vAlign w:val="center"/>
          </w:tcPr>
          <w:p w:rsidR="00E61597" w:rsidRDefault="007E0B8C">
            <w:pPr>
              <w:jc w:val="right"/>
            </w:pPr>
            <w:r>
              <w:rPr>
                <w:color w:val="000000"/>
                <w:sz w:val="24"/>
                <w:szCs w:val="24"/>
              </w:rPr>
              <w:t>0.91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132,580,000.00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132,580,000.00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11,070,400.00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1,352,465.40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0.41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145,002,865.40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43.70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61597">
        <w:trPr>
          <w:jc w:val="center"/>
        </w:trPr>
        <w:tc>
          <w:tcPr>
            <w:tcW w:w="850" w:type="dxa"/>
            <w:vAlign w:val="center"/>
          </w:tcPr>
          <w:p w:rsidR="00E61597" w:rsidRDefault="007E0B8C">
            <w:pPr>
              <w:jc w:val="center"/>
            </w:pPr>
            <w:r>
              <w:rPr>
                <w:color w:val="000000"/>
                <w:sz w:val="24"/>
                <w:szCs w:val="24"/>
              </w:rPr>
              <w:t>1</w:t>
            </w:r>
          </w:p>
        </w:tc>
        <w:tc>
          <w:tcPr>
            <w:tcW w:w="1475" w:type="dxa"/>
            <w:vAlign w:val="center"/>
          </w:tcPr>
          <w:p w:rsidR="00E61597" w:rsidRDefault="007E0B8C">
            <w:pPr>
              <w:jc w:val="center"/>
            </w:pPr>
            <w:r>
              <w:rPr>
                <w:color w:val="000000"/>
                <w:sz w:val="24"/>
                <w:szCs w:val="24"/>
              </w:rPr>
              <w:t>140445</w:t>
            </w:r>
          </w:p>
        </w:tc>
        <w:tc>
          <w:tcPr>
            <w:tcW w:w="1769" w:type="dxa"/>
            <w:vAlign w:val="center"/>
          </w:tcPr>
          <w:p w:rsidR="00E61597" w:rsidRDefault="007E0B8C">
            <w:pPr>
              <w:jc w:val="center"/>
            </w:pPr>
            <w:r>
              <w:rPr>
                <w:color w:val="000000"/>
                <w:sz w:val="24"/>
                <w:szCs w:val="24"/>
              </w:rPr>
              <w:t>14</w:t>
            </w:r>
            <w:r>
              <w:rPr>
                <w:color w:val="000000"/>
                <w:sz w:val="24"/>
                <w:szCs w:val="24"/>
              </w:rPr>
              <w:t>农发</w:t>
            </w:r>
            <w:r>
              <w:rPr>
                <w:color w:val="000000"/>
                <w:sz w:val="24"/>
                <w:szCs w:val="24"/>
              </w:rPr>
              <w:t>45</w:t>
            </w:r>
          </w:p>
        </w:tc>
        <w:tc>
          <w:tcPr>
            <w:tcW w:w="1387" w:type="dxa"/>
            <w:vAlign w:val="center"/>
          </w:tcPr>
          <w:p w:rsidR="00E61597" w:rsidRDefault="007E0B8C">
            <w:pPr>
              <w:jc w:val="right"/>
            </w:pPr>
            <w:r>
              <w:rPr>
                <w:color w:val="000000"/>
                <w:sz w:val="24"/>
                <w:szCs w:val="24"/>
              </w:rPr>
              <w:t>400,000</w:t>
            </w:r>
          </w:p>
        </w:tc>
        <w:tc>
          <w:tcPr>
            <w:tcW w:w="2150" w:type="dxa"/>
            <w:vAlign w:val="center"/>
          </w:tcPr>
          <w:p w:rsidR="00E61597" w:rsidRDefault="007E0B8C">
            <w:pPr>
              <w:jc w:val="right"/>
            </w:pPr>
            <w:r>
              <w:rPr>
                <w:color w:val="000000"/>
                <w:sz w:val="24"/>
                <w:szCs w:val="24"/>
              </w:rPr>
              <w:t>40,420,000.00</w:t>
            </w:r>
          </w:p>
        </w:tc>
        <w:tc>
          <w:tcPr>
            <w:tcW w:w="1237" w:type="dxa"/>
            <w:vAlign w:val="center"/>
          </w:tcPr>
          <w:p w:rsidR="00E61597" w:rsidRDefault="007E0B8C">
            <w:pPr>
              <w:jc w:val="right"/>
            </w:pPr>
            <w:r>
              <w:rPr>
                <w:color w:val="000000"/>
                <w:sz w:val="24"/>
                <w:szCs w:val="24"/>
              </w:rPr>
              <w:t>12.18</w:t>
            </w:r>
          </w:p>
        </w:tc>
      </w:tr>
      <w:tr w:rsidR="00E61597">
        <w:trPr>
          <w:jc w:val="center"/>
        </w:trPr>
        <w:tc>
          <w:tcPr>
            <w:tcW w:w="850" w:type="dxa"/>
            <w:vAlign w:val="center"/>
          </w:tcPr>
          <w:p w:rsidR="00E61597" w:rsidRDefault="007E0B8C">
            <w:pPr>
              <w:jc w:val="center"/>
            </w:pPr>
            <w:r>
              <w:rPr>
                <w:color w:val="000000"/>
                <w:sz w:val="24"/>
                <w:szCs w:val="24"/>
              </w:rPr>
              <w:t>2</w:t>
            </w:r>
          </w:p>
        </w:tc>
        <w:tc>
          <w:tcPr>
            <w:tcW w:w="1475" w:type="dxa"/>
            <w:vAlign w:val="center"/>
          </w:tcPr>
          <w:p w:rsidR="00E61597" w:rsidRDefault="007E0B8C">
            <w:pPr>
              <w:jc w:val="center"/>
            </w:pPr>
            <w:r>
              <w:rPr>
                <w:color w:val="000000"/>
                <w:sz w:val="24"/>
                <w:szCs w:val="24"/>
              </w:rPr>
              <w:t>140402</w:t>
            </w:r>
          </w:p>
        </w:tc>
        <w:tc>
          <w:tcPr>
            <w:tcW w:w="1769" w:type="dxa"/>
            <w:vAlign w:val="center"/>
          </w:tcPr>
          <w:p w:rsidR="00E61597" w:rsidRDefault="007E0B8C">
            <w:pPr>
              <w:jc w:val="center"/>
            </w:pPr>
            <w:r>
              <w:rPr>
                <w:color w:val="000000"/>
                <w:sz w:val="24"/>
                <w:szCs w:val="24"/>
              </w:rPr>
              <w:t>14</w:t>
            </w:r>
            <w:r>
              <w:rPr>
                <w:color w:val="000000"/>
                <w:sz w:val="24"/>
                <w:szCs w:val="24"/>
              </w:rPr>
              <w:t>农发</w:t>
            </w:r>
            <w:r>
              <w:rPr>
                <w:color w:val="000000"/>
                <w:sz w:val="24"/>
                <w:szCs w:val="24"/>
              </w:rPr>
              <w:t>02</w:t>
            </w:r>
          </w:p>
        </w:tc>
        <w:tc>
          <w:tcPr>
            <w:tcW w:w="1387" w:type="dxa"/>
            <w:vAlign w:val="center"/>
          </w:tcPr>
          <w:p w:rsidR="00E61597" w:rsidRDefault="007E0B8C">
            <w:pPr>
              <w:jc w:val="right"/>
            </w:pPr>
            <w:r>
              <w:rPr>
                <w:color w:val="000000"/>
                <w:sz w:val="24"/>
                <w:szCs w:val="24"/>
              </w:rPr>
              <w:t>300,000</w:t>
            </w:r>
          </w:p>
        </w:tc>
        <w:tc>
          <w:tcPr>
            <w:tcW w:w="2150" w:type="dxa"/>
            <w:vAlign w:val="center"/>
          </w:tcPr>
          <w:p w:rsidR="00E61597" w:rsidRDefault="007E0B8C">
            <w:pPr>
              <w:jc w:val="right"/>
            </w:pPr>
            <w:r>
              <w:rPr>
                <w:color w:val="000000"/>
                <w:sz w:val="24"/>
                <w:szCs w:val="24"/>
              </w:rPr>
              <w:t>31,500,000.00</w:t>
            </w:r>
          </w:p>
        </w:tc>
        <w:tc>
          <w:tcPr>
            <w:tcW w:w="1237" w:type="dxa"/>
            <w:vAlign w:val="center"/>
          </w:tcPr>
          <w:p w:rsidR="00E61597" w:rsidRDefault="007E0B8C">
            <w:pPr>
              <w:jc w:val="right"/>
            </w:pPr>
            <w:r>
              <w:rPr>
                <w:color w:val="000000"/>
                <w:sz w:val="24"/>
                <w:szCs w:val="24"/>
              </w:rPr>
              <w:t>9.49</w:t>
            </w:r>
          </w:p>
        </w:tc>
      </w:tr>
      <w:tr w:rsidR="00E61597">
        <w:trPr>
          <w:jc w:val="center"/>
        </w:trPr>
        <w:tc>
          <w:tcPr>
            <w:tcW w:w="850" w:type="dxa"/>
            <w:vAlign w:val="center"/>
          </w:tcPr>
          <w:p w:rsidR="00E61597" w:rsidRDefault="007E0B8C">
            <w:pPr>
              <w:jc w:val="center"/>
            </w:pPr>
            <w:r>
              <w:rPr>
                <w:color w:val="000000"/>
                <w:sz w:val="24"/>
                <w:szCs w:val="24"/>
              </w:rPr>
              <w:t>3</w:t>
            </w:r>
          </w:p>
        </w:tc>
        <w:tc>
          <w:tcPr>
            <w:tcW w:w="1475" w:type="dxa"/>
            <w:vAlign w:val="center"/>
          </w:tcPr>
          <w:p w:rsidR="00E61597" w:rsidRDefault="007E0B8C">
            <w:pPr>
              <w:jc w:val="center"/>
            </w:pPr>
            <w:r>
              <w:rPr>
                <w:color w:val="000000"/>
                <w:sz w:val="24"/>
                <w:szCs w:val="24"/>
              </w:rPr>
              <w:t>140368</w:t>
            </w:r>
          </w:p>
        </w:tc>
        <w:tc>
          <w:tcPr>
            <w:tcW w:w="1769" w:type="dxa"/>
            <w:vAlign w:val="center"/>
          </w:tcPr>
          <w:p w:rsidR="00E61597" w:rsidRDefault="007E0B8C">
            <w:pPr>
              <w:jc w:val="center"/>
            </w:pPr>
            <w:r>
              <w:rPr>
                <w:color w:val="000000"/>
                <w:sz w:val="24"/>
                <w:szCs w:val="24"/>
              </w:rPr>
              <w:t>14</w:t>
            </w:r>
            <w:r>
              <w:rPr>
                <w:color w:val="000000"/>
                <w:sz w:val="24"/>
                <w:szCs w:val="24"/>
              </w:rPr>
              <w:t>进出</w:t>
            </w:r>
            <w:r>
              <w:rPr>
                <w:color w:val="000000"/>
                <w:sz w:val="24"/>
                <w:szCs w:val="24"/>
              </w:rPr>
              <w:t>68</w:t>
            </w:r>
          </w:p>
        </w:tc>
        <w:tc>
          <w:tcPr>
            <w:tcW w:w="1387" w:type="dxa"/>
            <w:vAlign w:val="center"/>
          </w:tcPr>
          <w:p w:rsidR="00E61597" w:rsidRDefault="007E0B8C">
            <w:pPr>
              <w:jc w:val="right"/>
            </w:pPr>
            <w:r>
              <w:rPr>
                <w:color w:val="000000"/>
                <w:sz w:val="24"/>
                <w:szCs w:val="24"/>
              </w:rPr>
              <w:t>300,000</w:t>
            </w:r>
          </w:p>
        </w:tc>
        <w:tc>
          <w:tcPr>
            <w:tcW w:w="2150" w:type="dxa"/>
            <w:vAlign w:val="center"/>
          </w:tcPr>
          <w:p w:rsidR="00E61597" w:rsidRDefault="007E0B8C">
            <w:pPr>
              <w:jc w:val="right"/>
            </w:pPr>
            <w:r>
              <w:rPr>
                <w:color w:val="000000"/>
                <w:sz w:val="24"/>
                <w:szCs w:val="24"/>
              </w:rPr>
              <w:t>29,952,000.00</w:t>
            </w:r>
          </w:p>
        </w:tc>
        <w:tc>
          <w:tcPr>
            <w:tcW w:w="1237" w:type="dxa"/>
            <w:vAlign w:val="center"/>
          </w:tcPr>
          <w:p w:rsidR="00E61597" w:rsidRDefault="007E0B8C">
            <w:pPr>
              <w:jc w:val="right"/>
            </w:pPr>
            <w:r>
              <w:rPr>
                <w:color w:val="000000"/>
                <w:sz w:val="24"/>
                <w:szCs w:val="24"/>
              </w:rPr>
              <w:t>9.03</w:t>
            </w:r>
          </w:p>
        </w:tc>
      </w:tr>
      <w:tr w:rsidR="00E61597">
        <w:trPr>
          <w:jc w:val="center"/>
        </w:trPr>
        <w:tc>
          <w:tcPr>
            <w:tcW w:w="850" w:type="dxa"/>
            <w:vAlign w:val="center"/>
          </w:tcPr>
          <w:p w:rsidR="00E61597" w:rsidRDefault="007E0B8C">
            <w:pPr>
              <w:jc w:val="center"/>
            </w:pPr>
            <w:r>
              <w:rPr>
                <w:color w:val="000000"/>
                <w:sz w:val="24"/>
                <w:szCs w:val="24"/>
              </w:rPr>
              <w:t>4</w:t>
            </w:r>
          </w:p>
        </w:tc>
        <w:tc>
          <w:tcPr>
            <w:tcW w:w="1475" w:type="dxa"/>
            <w:vAlign w:val="center"/>
          </w:tcPr>
          <w:p w:rsidR="00E61597" w:rsidRDefault="007E0B8C">
            <w:pPr>
              <w:jc w:val="center"/>
            </w:pPr>
            <w:r>
              <w:rPr>
                <w:color w:val="000000"/>
                <w:sz w:val="24"/>
                <w:szCs w:val="24"/>
              </w:rPr>
              <w:t>140439</w:t>
            </w:r>
          </w:p>
        </w:tc>
        <w:tc>
          <w:tcPr>
            <w:tcW w:w="1769" w:type="dxa"/>
            <w:vAlign w:val="center"/>
          </w:tcPr>
          <w:p w:rsidR="00E61597" w:rsidRDefault="007E0B8C">
            <w:pPr>
              <w:jc w:val="center"/>
            </w:pPr>
            <w:r>
              <w:rPr>
                <w:color w:val="000000"/>
                <w:sz w:val="24"/>
                <w:szCs w:val="24"/>
              </w:rPr>
              <w:t>14</w:t>
            </w:r>
            <w:r>
              <w:rPr>
                <w:color w:val="000000"/>
                <w:sz w:val="24"/>
                <w:szCs w:val="24"/>
              </w:rPr>
              <w:t>农发</w:t>
            </w:r>
            <w:r>
              <w:rPr>
                <w:color w:val="000000"/>
                <w:sz w:val="24"/>
                <w:szCs w:val="24"/>
              </w:rPr>
              <w:t>39</w:t>
            </w:r>
          </w:p>
        </w:tc>
        <w:tc>
          <w:tcPr>
            <w:tcW w:w="1387" w:type="dxa"/>
            <w:vAlign w:val="center"/>
          </w:tcPr>
          <w:p w:rsidR="00E61597" w:rsidRDefault="007E0B8C">
            <w:pPr>
              <w:jc w:val="right"/>
            </w:pPr>
            <w:r>
              <w:rPr>
                <w:color w:val="000000"/>
                <w:sz w:val="24"/>
                <w:szCs w:val="24"/>
              </w:rPr>
              <w:t>200,000</w:t>
            </w:r>
          </w:p>
        </w:tc>
        <w:tc>
          <w:tcPr>
            <w:tcW w:w="2150" w:type="dxa"/>
            <w:vAlign w:val="center"/>
          </w:tcPr>
          <w:p w:rsidR="00E61597" w:rsidRDefault="007E0B8C">
            <w:pPr>
              <w:jc w:val="right"/>
            </w:pPr>
            <w:r>
              <w:rPr>
                <w:color w:val="000000"/>
                <w:sz w:val="24"/>
                <w:szCs w:val="24"/>
              </w:rPr>
              <w:t>20,464,000.00</w:t>
            </w:r>
          </w:p>
        </w:tc>
        <w:tc>
          <w:tcPr>
            <w:tcW w:w="1237" w:type="dxa"/>
            <w:vAlign w:val="center"/>
          </w:tcPr>
          <w:p w:rsidR="00E61597" w:rsidRDefault="007E0B8C">
            <w:pPr>
              <w:jc w:val="right"/>
            </w:pPr>
            <w:r>
              <w:rPr>
                <w:color w:val="000000"/>
                <w:sz w:val="24"/>
                <w:szCs w:val="24"/>
              </w:rPr>
              <w:t>6.17</w:t>
            </w:r>
          </w:p>
        </w:tc>
      </w:tr>
      <w:tr w:rsidR="00E61597">
        <w:trPr>
          <w:jc w:val="center"/>
        </w:trPr>
        <w:tc>
          <w:tcPr>
            <w:tcW w:w="850" w:type="dxa"/>
            <w:vAlign w:val="center"/>
          </w:tcPr>
          <w:p w:rsidR="00E61597" w:rsidRDefault="007E0B8C">
            <w:pPr>
              <w:jc w:val="center"/>
            </w:pPr>
            <w:r>
              <w:rPr>
                <w:color w:val="000000"/>
                <w:sz w:val="24"/>
                <w:szCs w:val="24"/>
              </w:rPr>
              <w:t>5</w:t>
            </w:r>
          </w:p>
        </w:tc>
        <w:tc>
          <w:tcPr>
            <w:tcW w:w="1475" w:type="dxa"/>
            <w:vAlign w:val="center"/>
          </w:tcPr>
          <w:p w:rsidR="00E61597" w:rsidRDefault="007E0B8C">
            <w:pPr>
              <w:jc w:val="center"/>
            </w:pPr>
            <w:r>
              <w:rPr>
                <w:color w:val="000000"/>
                <w:sz w:val="24"/>
                <w:szCs w:val="24"/>
              </w:rPr>
              <w:t>122266</w:t>
            </w:r>
          </w:p>
        </w:tc>
        <w:tc>
          <w:tcPr>
            <w:tcW w:w="1769" w:type="dxa"/>
            <w:vAlign w:val="center"/>
          </w:tcPr>
          <w:p w:rsidR="00E61597" w:rsidRDefault="007E0B8C">
            <w:pPr>
              <w:jc w:val="center"/>
            </w:pPr>
            <w:r>
              <w:rPr>
                <w:color w:val="000000"/>
                <w:sz w:val="24"/>
                <w:szCs w:val="24"/>
              </w:rPr>
              <w:t>13</w:t>
            </w:r>
            <w:r>
              <w:rPr>
                <w:color w:val="000000"/>
                <w:sz w:val="24"/>
                <w:szCs w:val="24"/>
              </w:rPr>
              <w:t>中信</w:t>
            </w:r>
            <w:r>
              <w:rPr>
                <w:color w:val="000000"/>
                <w:sz w:val="24"/>
                <w:szCs w:val="24"/>
              </w:rPr>
              <w:t>03</w:t>
            </w:r>
          </w:p>
        </w:tc>
        <w:tc>
          <w:tcPr>
            <w:tcW w:w="1387" w:type="dxa"/>
            <w:vAlign w:val="center"/>
          </w:tcPr>
          <w:p w:rsidR="00E61597" w:rsidRDefault="007E0B8C">
            <w:pPr>
              <w:jc w:val="right"/>
            </w:pPr>
            <w:r>
              <w:rPr>
                <w:color w:val="000000"/>
                <w:sz w:val="24"/>
                <w:szCs w:val="24"/>
              </w:rPr>
              <w:t>110,000</w:t>
            </w:r>
          </w:p>
        </w:tc>
        <w:tc>
          <w:tcPr>
            <w:tcW w:w="2150" w:type="dxa"/>
            <w:vAlign w:val="center"/>
          </w:tcPr>
          <w:p w:rsidR="00E61597" w:rsidRDefault="007E0B8C">
            <w:pPr>
              <w:jc w:val="right"/>
            </w:pPr>
            <w:r>
              <w:rPr>
                <w:color w:val="000000"/>
                <w:sz w:val="24"/>
                <w:szCs w:val="24"/>
              </w:rPr>
              <w:t>11,070,400.00</w:t>
            </w:r>
          </w:p>
        </w:tc>
        <w:tc>
          <w:tcPr>
            <w:tcW w:w="1237" w:type="dxa"/>
            <w:vAlign w:val="center"/>
          </w:tcPr>
          <w:p w:rsidR="00E61597" w:rsidRDefault="007E0B8C">
            <w:pPr>
              <w:jc w:val="right"/>
            </w:pPr>
            <w:r>
              <w:rPr>
                <w:color w:val="000000"/>
                <w:sz w:val="24"/>
                <w:szCs w:val="24"/>
              </w:rPr>
              <w:t>3.34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13</w:t>
      </w:r>
      <w:r w:rsidRPr="00BE5388">
        <w:rPr>
          <w:bCs/>
          <w:color w:val="000000"/>
          <w:kern w:val="0"/>
          <w:sz w:val="24"/>
          <w:szCs w:val="24"/>
        </w:rPr>
        <w:t>中信</w:t>
      </w:r>
      <w:r w:rsidRPr="00BE5388">
        <w:rPr>
          <w:bCs/>
          <w:color w:val="000000"/>
          <w:kern w:val="0"/>
          <w:sz w:val="24"/>
          <w:szCs w:val="24"/>
        </w:rPr>
        <w:t>03</w:t>
      </w:r>
      <w:r w:rsidRPr="00BE5388">
        <w:rPr>
          <w:bCs/>
          <w:color w:val="000000"/>
          <w:kern w:val="0"/>
          <w:sz w:val="24"/>
          <w:szCs w:val="24"/>
        </w:rPr>
        <w:t>（证券代码：</w:t>
      </w:r>
      <w:r w:rsidRPr="00BE5388">
        <w:rPr>
          <w:bCs/>
          <w:color w:val="000000"/>
          <w:kern w:val="0"/>
          <w:sz w:val="24"/>
          <w:szCs w:val="24"/>
        </w:rPr>
        <w:t>122266</w:t>
      </w:r>
      <w:r w:rsidRPr="00BE5388">
        <w:rPr>
          <w:bCs/>
          <w:color w:val="000000"/>
          <w:kern w:val="0"/>
          <w:sz w:val="24"/>
          <w:szCs w:val="24"/>
        </w:rPr>
        <w:t>）外，未出现被监管部门立案调查，或在报告编制日前一年内受到公开谴责、处罚的情形。</w:t>
      </w:r>
    </w:p>
    <w:p w:rsidR="00E61597" w:rsidRDefault="007E0B8C">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13</w:t>
      </w:r>
      <w:r>
        <w:rPr>
          <w:bCs/>
          <w:color w:val="000000"/>
          <w:kern w:val="0"/>
          <w:sz w:val="24"/>
          <w:szCs w:val="24"/>
        </w:rPr>
        <w:t>中信</w:t>
      </w:r>
      <w:r>
        <w:rPr>
          <w:bCs/>
          <w:color w:val="000000"/>
          <w:kern w:val="0"/>
          <w:sz w:val="24"/>
          <w:szCs w:val="24"/>
        </w:rPr>
        <w:t>03</w:t>
      </w:r>
      <w:r>
        <w:rPr>
          <w:bCs/>
          <w:color w:val="000000"/>
          <w:kern w:val="0"/>
          <w:sz w:val="24"/>
          <w:szCs w:val="24"/>
        </w:rPr>
        <w:t>（证券代码：</w:t>
      </w:r>
      <w:r>
        <w:rPr>
          <w:bCs/>
          <w:color w:val="000000"/>
          <w:kern w:val="0"/>
          <w:sz w:val="24"/>
          <w:szCs w:val="24"/>
        </w:rPr>
        <w:t>122266</w:t>
      </w:r>
      <w:r>
        <w:rPr>
          <w:bCs/>
          <w:color w:val="000000"/>
          <w:kern w:val="0"/>
          <w:sz w:val="24"/>
          <w:szCs w:val="24"/>
        </w:rPr>
        <w:t>）的发行主体中信证券于</w:t>
      </w:r>
      <w:r>
        <w:rPr>
          <w:bCs/>
          <w:color w:val="000000"/>
          <w:kern w:val="0"/>
          <w:sz w:val="24"/>
          <w:szCs w:val="24"/>
        </w:rPr>
        <w:t>2015</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18</w:t>
      </w:r>
      <w:r>
        <w:rPr>
          <w:bCs/>
          <w:color w:val="000000"/>
          <w:kern w:val="0"/>
          <w:sz w:val="24"/>
          <w:szCs w:val="24"/>
        </w:rPr>
        <w:t>日公告称，公司因存在为到期融资融券合约展期的问题，被中国证监会采取暂停新开融资融券客户信用账户</w:t>
      </w:r>
      <w:r>
        <w:rPr>
          <w:bCs/>
          <w:color w:val="000000"/>
          <w:kern w:val="0"/>
          <w:sz w:val="24"/>
          <w:szCs w:val="24"/>
        </w:rPr>
        <w:t>3</w:t>
      </w:r>
      <w:r>
        <w:rPr>
          <w:bCs/>
          <w:color w:val="000000"/>
          <w:kern w:val="0"/>
          <w:sz w:val="24"/>
          <w:szCs w:val="24"/>
        </w:rPr>
        <w:t>个月的行政监管措施。</w:t>
      </w:r>
    </w:p>
    <w:p w:rsidR="00E61597" w:rsidRDefault="007E0B8C">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126,009.33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2,931,793.28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169,944.38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3,227,746.99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E61597">
        <w:trPr>
          <w:jc w:val="center"/>
        </w:trPr>
        <w:tc>
          <w:tcPr>
            <w:tcW w:w="1129" w:type="dxa"/>
            <w:vAlign w:val="center"/>
          </w:tcPr>
          <w:p w:rsidR="00E61597" w:rsidRDefault="007E0B8C">
            <w:pPr>
              <w:jc w:val="center"/>
            </w:pPr>
            <w:r>
              <w:rPr>
                <w:color w:val="000000"/>
                <w:sz w:val="24"/>
                <w:szCs w:val="24"/>
              </w:rPr>
              <w:t>1</w:t>
            </w:r>
          </w:p>
        </w:tc>
        <w:tc>
          <w:tcPr>
            <w:tcW w:w="1356" w:type="dxa"/>
            <w:vAlign w:val="center"/>
          </w:tcPr>
          <w:p w:rsidR="00E61597" w:rsidRDefault="007E0B8C">
            <w:pPr>
              <w:jc w:val="center"/>
            </w:pPr>
            <w:r>
              <w:rPr>
                <w:color w:val="000000"/>
                <w:sz w:val="24"/>
                <w:szCs w:val="24"/>
              </w:rPr>
              <w:t>300168</w:t>
            </w:r>
          </w:p>
        </w:tc>
        <w:tc>
          <w:tcPr>
            <w:tcW w:w="1355" w:type="dxa"/>
            <w:vAlign w:val="center"/>
          </w:tcPr>
          <w:p w:rsidR="00E61597" w:rsidRDefault="007E0B8C">
            <w:pPr>
              <w:jc w:val="center"/>
            </w:pPr>
            <w:r>
              <w:rPr>
                <w:color w:val="000000"/>
                <w:sz w:val="24"/>
                <w:szCs w:val="24"/>
              </w:rPr>
              <w:t>万达信息</w:t>
            </w:r>
          </w:p>
        </w:tc>
        <w:tc>
          <w:tcPr>
            <w:tcW w:w="1880" w:type="dxa"/>
            <w:vAlign w:val="center"/>
          </w:tcPr>
          <w:p w:rsidR="00E61597" w:rsidRDefault="007E0B8C">
            <w:pPr>
              <w:jc w:val="right"/>
            </w:pPr>
            <w:r>
              <w:rPr>
                <w:color w:val="000000"/>
                <w:sz w:val="24"/>
                <w:szCs w:val="24"/>
              </w:rPr>
              <w:t>3,958,800.00</w:t>
            </w:r>
          </w:p>
        </w:tc>
        <w:tc>
          <w:tcPr>
            <w:tcW w:w="1724" w:type="dxa"/>
            <w:vAlign w:val="center"/>
          </w:tcPr>
          <w:p w:rsidR="00E61597" w:rsidRDefault="007E0B8C">
            <w:pPr>
              <w:jc w:val="right"/>
            </w:pPr>
            <w:r>
              <w:rPr>
                <w:color w:val="000000"/>
                <w:sz w:val="24"/>
                <w:szCs w:val="24"/>
              </w:rPr>
              <w:t>1.19</w:t>
            </w:r>
          </w:p>
        </w:tc>
        <w:tc>
          <w:tcPr>
            <w:tcW w:w="1424" w:type="dxa"/>
            <w:vAlign w:val="center"/>
          </w:tcPr>
          <w:p w:rsidR="00E61597" w:rsidRDefault="007E0B8C">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295,417,100.29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35,755,405.33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29,837,036.42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301,335,469.20</w:t>
            </w:r>
          </w:p>
        </w:tc>
      </w:tr>
    </w:tbl>
    <w:p w:rsidR="00E61597" w:rsidRDefault="007E0B8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E61597" w:rsidRDefault="007E0B8C">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E61597" w:rsidRDefault="007E0B8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E61597" w:rsidRDefault="007E0B8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E61597" w:rsidRDefault="007E0B8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E61597" w:rsidRDefault="007E0B8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E61597" w:rsidRDefault="007E0B8C">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E61597" w:rsidRDefault="007E0B8C">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E61597" w:rsidRDefault="007E0B8C">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E61597" w:rsidRDefault="007E0B8C">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E61597" w:rsidRDefault="007E0B8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66B" w:rsidRDefault="006F566B" w:rsidP="00876D65">
      <w:r>
        <w:separator/>
      </w:r>
    </w:p>
  </w:endnote>
  <w:endnote w:type="continuationSeparator" w:id="0">
    <w:p w:rsidR="006F566B" w:rsidRDefault="006F566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6F566B">
      <w:rPr>
        <w:noProof/>
        <w:kern w:val="0"/>
        <w:szCs w:val="21"/>
      </w:rPr>
      <w:t>1</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6F566B">
      <w:rPr>
        <w:noProof/>
        <w:kern w:val="0"/>
        <w:szCs w:val="21"/>
      </w:rPr>
      <w:t>1</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66B" w:rsidRDefault="006F566B" w:rsidP="00876D65">
      <w:r>
        <w:separator/>
      </w:r>
    </w:p>
  </w:footnote>
  <w:footnote w:type="continuationSeparator" w:id="0">
    <w:p w:rsidR="006F566B" w:rsidRDefault="006F566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B7D01"/>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66B"/>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0B8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F25C7"/>
    <w:rsid w:val="00E02660"/>
    <w:rsid w:val="00E215BA"/>
    <w:rsid w:val="00E36549"/>
    <w:rsid w:val="00E40D31"/>
    <w:rsid w:val="00E41260"/>
    <w:rsid w:val="00E44E18"/>
    <w:rsid w:val="00E52DBC"/>
    <w:rsid w:val="00E54301"/>
    <w:rsid w:val="00E54BF5"/>
    <w:rsid w:val="00E554A1"/>
    <w:rsid w:val="00E55ABD"/>
    <w:rsid w:val="00E60817"/>
    <w:rsid w:val="00E6159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00171E-F7EA-4471-8AE1-60DC0DBA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177F7-6D7F-498E-8680-1D148F2BA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12</Pages>
  <Words>1125</Words>
  <Characters>6417</Characters>
  <Application>Microsoft Office Word</Application>
  <DocSecurity>0</DocSecurity>
  <Lines>53</Lines>
  <Paragraphs>15</Paragraphs>
  <ScaleCrop>false</ScaleCrop>
  <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560</cp:revision>
  <dcterms:created xsi:type="dcterms:W3CDTF">2012-10-16T06:07:00Z</dcterms:created>
  <dcterms:modified xsi:type="dcterms:W3CDTF">2015-04-16T02:28:00Z</dcterms:modified>
</cp:coreProperties>
</file>