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38372"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7E466EB9"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6F12A5E4" w14:textId="77777777"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14:paraId="3973113E"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0E694347"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7746C6C4" w14:textId="77777777"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14:paraId="71445472" w14:textId="77777777"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14:paraId="6568945F" w14:textId="77777777"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14:paraId="7810DD32" w14:textId="77777777" w:rsidR="009A2283" w:rsidRPr="007F52FA" w:rsidRDefault="009A2283" w:rsidP="007C14DF">
      <w:pPr>
        <w:spacing w:before="29" w:line="288" w:lineRule="auto"/>
        <w:jc w:val="center"/>
        <w:rPr>
          <w:rFonts w:eastAsiaTheme="minorEastAsia"/>
          <w:b/>
          <w:color w:val="000000"/>
          <w:sz w:val="24"/>
        </w:rPr>
      </w:pPr>
    </w:p>
    <w:p w14:paraId="3A02BB74" w14:textId="77777777" w:rsidR="009A2283" w:rsidRPr="00657487" w:rsidRDefault="009A2283" w:rsidP="007C14DF">
      <w:pPr>
        <w:spacing w:before="29" w:line="288" w:lineRule="auto"/>
        <w:jc w:val="center"/>
        <w:rPr>
          <w:rFonts w:eastAsiaTheme="minorEastAsia"/>
          <w:b/>
          <w:color w:val="000000"/>
          <w:sz w:val="24"/>
        </w:rPr>
      </w:pPr>
    </w:p>
    <w:p w14:paraId="15DE2763" w14:textId="77777777" w:rsidR="009A2283" w:rsidRPr="007F52FA" w:rsidRDefault="009A2283" w:rsidP="007C14DF">
      <w:pPr>
        <w:spacing w:before="29" w:line="288" w:lineRule="auto"/>
        <w:jc w:val="center"/>
        <w:rPr>
          <w:rFonts w:eastAsiaTheme="minorEastAsia"/>
          <w:b/>
          <w:color w:val="000000"/>
          <w:sz w:val="24"/>
        </w:rPr>
      </w:pPr>
    </w:p>
    <w:p w14:paraId="0699B711" w14:textId="77777777" w:rsidR="009A2283" w:rsidRPr="007F52FA" w:rsidRDefault="009A2283" w:rsidP="007C14DF">
      <w:pPr>
        <w:spacing w:before="29" w:line="288" w:lineRule="auto"/>
        <w:jc w:val="center"/>
        <w:rPr>
          <w:rFonts w:eastAsiaTheme="minorEastAsia"/>
          <w:b/>
          <w:color w:val="000000"/>
          <w:sz w:val="24"/>
        </w:rPr>
      </w:pPr>
    </w:p>
    <w:p w14:paraId="5210C032" w14:textId="77777777" w:rsidR="009A2283" w:rsidRPr="007F52FA" w:rsidRDefault="009A2283" w:rsidP="007C14DF">
      <w:pPr>
        <w:spacing w:before="29" w:line="288" w:lineRule="auto"/>
        <w:jc w:val="center"/>
        <w:rPr>
          <w:rFonts w:eastAsiaTheme="minorEastAsia"/>
          <w:b/>
          <w:color w:val="000000"/>
          <w:sz w:val="24"/>
        </w:rPr>
      </w:pPr>
    </w:p>
    <w:p w14:paraId="67AA20C5" w14:textId="77777777" w:rsidR="009A2283" w:rsidRPr="007F52FA" w:rsidRDefault="009A2283" w:rsidP="007C14DF">
      <w:pPr>
        <w:spacing w:before="29" w:line="288" w:lineRule="auto"/>
        <w:jc w:val="center"/>
        <w:rPr>
          <w:rFonts w:eastAsiaTheme="minorEastAsia"/>
          <w:b/>
          <w:color w:val="000000"/>
          <w:sz w:val="24"/>
        </w:rPr>
      </w:pPr>
    </w:p>
    <w:p w14:paraId="04B800E8" w14:textId="77777777" w:rsidR="009A2283" w:rsidRPr="007F52FA" w:rsidRDefault="009A2283" w:rsidP="007C14DF">
      <w:pPr>
        <w:spacing w:before="29" w:line="288" w:lineRule="auto"/>
        <w:jc w:val="center"/>
        <w:rPr>
          <w:rFonts w:eastAsiaTheme="minorEastAsia"/>
          <w:b/>
          <w:color w:val="000000"/>
          <w:sz w:val="24"/>
        </w:rPr>
      </w:pPr>
    </w:p>
    <w:p w14:paraId="220787DE" w14:textId="77777777" w:rsidR="009A2283" w:rsidRPr="007F52FA" w:rsidRDefault="009A2283" w:rsidP="007C14DF">
      <w:pPr>
        <w:spacing w:before="29" w:line="288" w:lineRule="auto"/>
        <w:jc w:val="center"/>
        <w:rPr>
          <w:rFonts w:eastAsiaTheme="minorEastAsia"/>
          <w:b/>
          <w:color w:val="000000"/>
          <w:sz w:val="24"/>
        </w:rPr>
      </w:pPr>
    </w:p>
    <w:p w14:paraId="15F42359" w14:textId="77777777" w:rsidR="009A2283" w:rsidRPr="007F52FA" w:rsidRDefault="009A2283" w:rsidP="007C14DF">
      <w:pPr>
        <w:spacing w:before="29" w:line="288" w:lineRule="auto"/>
        <w:jc w:val="center"/>
        <w:rPr>
          <w:rFonts w:eastAsiaTheme="minorEastAsia"/>
          <w:b/>
          <w:color w:val="000000"/>
          <w:sz w:val="24"/>
        </w:rPr>
      </w:pPr>
    </w:p>
    <w:p w14:paraId="51FCBCB0" w14:textId="77777777" w:rsidR="009A2283" w:rsidRPr="007F52FA" w:rsidRDefault="009A2283" w:rsidP="007C14DF">
      <w:pPr>
        <w:spacing w:before="29" w:line="288" w:lineRule="auto"/>
        <w:jc w:val="center"/>
        <w:rPr>
          <w:rFonts w:eastAsiaTheme="minorEastAsia"/>
          <w:b/>
          <w:color w:val="000000"/>
          <w:sz w:val="24"/>
        </w:rPr>
      </w:pPr>
    </w:p>
    <w:p w14:paraId="67DF7DFB" w14:textId="77777777" w:rsidR="00E27360" w:rsidRPr="007F52FA" w:rsidRDefault="00E27360" w:rsidP="007C14DF">
      <w:pPr>
        <w:spacing w:before="29" w:line="288" w:lineRule="auto"/>
        <w:jc w:val="center"/>
        <w:rPr>
          <w:rFonts w:eastAsiaTheme="minorEastAsia"/>
          <w:b/>
          <w:color w:val="000000"/>
          <w:sz w:val="24"/>
        </w:rPr>
      </w:pPr>
    </w:p>
    <w:p w14:paraId="03F1026B" w14:textId="77777777" w:rsidR="009A2283" w:rsidRPr="007F52FA" w:rsidRDefault="009A2283" w:rsidP="007C14DF">
      <w:pPr>
        <w:spacing w:before="29" w:line="288" w:lineRule="auto"/>
        <w:jc w:val="center"/>
        <w:rPr>
          <w:rFonts w:eastAsiaTheme="minorEastAsia"/>
          <w:b/>
          <w:color w:val="000000"/>
          <w:sz w:val="24"/>
        </w:rPr>
      </w:pPr>
    </w:p>
    <w:p w14:paraId="4FF67C7E" w14:textId="77777777" w:rsidR="009A2283" w:rsidRPr="007F52FA" w:rsidRDefault="009A2283" w:rsidP="007C14DF">
      <w:pPr>
        <w:spacing w:before="29" w:line="288" w:lineRule="auto"/>
        <w:jc w:val="center"/>
        <w:rPr>
          <w:rFonts w:eastAsiaTheme="minorEastAsia"/>
          <w:b/>
          <w:color w:val="000000"/>
          <w:sz w:val="24"/>
        </w:rPr>
      </w:pPr>
    </w:p>
    <w:p w14:paraId="3E12BB66" w14:textId="77777777" w:rsidR="009A2283" w:rsidRPr="007F52FA" w:rsidRDefault="009A2283" w:rsidP="007C14DF">
      <w:pPr>
        <w:spacing w:before="29" w:line="288" w:lineRule="auto"/>
        <w:rPr>
          <w:color w:val="000000"/>
          <w:sz w:val="24"/>
        </w:rPr>
      </w:pPr>
    </w:p>
    <w:p w14:paraId="6FAC18C9"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14:paraId="383FC3F7"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14:paraId="014DB8C5" w14:textId="77777777"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14:paraId="1DB60F79" w14:textId="77777777" w:rsidR="009238DB" w:rsidRPr="007F52FA" w:rsidRDefault="009238DB" w:rsidP="002665CF">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14:paraId="6C7C4762"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76CB694E"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14:paraId="7493D0BD"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14:paraId="65BBE928"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14:paraId="74EC7F2A"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14:paraId="2FD77415" w14:textId="77777777"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14:paraId="778D0CFD" w14:textId="77777777" w:rsidR="00740635" w:rsidRPr="007F52FA" w:rsidRDefault="00740635" w:rsidP="007C14DF">
      <w:pPr>
        <w:spacing w:before="29" w:line="288" w:lineRule="auto"/>
        <w:ind w:firstLineChars="200" w:firstLine="480"/>
        <w:rPr>
          <w:rFonts w:eastAsiaTheme="minorEastAsia"/>
          <w:color w:val="000000"/>
          <w:sz w:val="24"/>
        </w:rPr>
      </w:pPr>
    </w:p>
    <w:p w14:paraId="79382B0F" w14:textId="77777777" w:rsidR="009238DB" w:rsidRPr="007F52FA" w:rsidRDefault="009238DB" w:rsidP="002665C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14:paraId="06E6DCB3" w14:textId="77777777" w:rsidTr="009416C9">
        <w:trPr>
          <w:jc w:val="center"/>
        </w:trPr>
        <w:tc>
          <w:tcPr>
            <w:tcW w:w="3023" w:type="dxa"/>
            <w:vAlign w:val="center"/>
          </w:tcPr>
          <w:p w14:paraId="7AD8E70A" w14:textId="77777777"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14:paraId="6E246FEE" w14:textId="77777777"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14:paraId="3D179098" w14:textId="77777777" w:rsidTr="009416C9">
        <w:trPr>
          <w:jc w:val="center"/>
        </w:trPr>
        <w:tc>
          <w:tcPr>
            <w:tcW w:w="3023" w:type="dxa"/>
            <w:vAlign w:val="center"/>
          </w:tcPr>
          <w:p w14:paraId="61AD6D68" w14:textId="77777777"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14:paraId="554B1954" w14:textId="77777777"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14:paraId="0489ECCC" w14:textId="77777777" w:rsidTr="009416C9">
        <w:trPr>
          <w:jc w:val="center"/>
        </w:trPr>
        <w:tc>
          <w:tcPr>
            <w:tcW w:w="3023" w:type="dxa"/>
            <w:vAlign w:val="center"/>
          </w:tcPr>
          <w:p w14:paraId="4C12F255" w14:textId="77777777"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14:paraId="0DE77BED"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14:paraId="29E8954D" w14:textId="77777777" w:rsidTr="009416C9">
        <w:trPr>
          <w:jc w:val="center"/>
        </w:trPr>
        <w:tc>
          <w:tcPr>
            <w:tcW w:w="3023" w:type="dxa"/>
            <w:vAlign w:val="center"/>
          </w:tcPr>
          <w:p w14:paraId="3A4DFC57" w14:textId="77777777"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14:paraId="5CD67237" w14:textId="77777777"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14:paraId="7EBB496B" w14:textId="77777777" w:rsidTr="009416C9">
        <w:trPr>
          <w:jc w:val="center"/>
        </w:trPr>
        <w:tc>
          <w:tcPr>
            <w:tcW w:w="3023" w:type="dxa"/>
            <w:vAlign w:val="center"/>
          </w:tcPr>
          <w:p w14:paraId="5AB48556" w14:textId="77777777"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14:paraId="5A6C1054"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131,069,990.32</w:t>
            </w:r>
            <w:r w:rsidRPr="007F52FA">
              <w:rPr>
                <w:color w:val="000000"/>
                <w:kern w:val="0"/>
                <w:sz w:val="24"/>
              </w:rPr>
              <w:t>份</w:t>
            </w:r>
          </w:p>
        </w:tc>
      </w:tr>
      <w:tr w:rsidR="008532F3" w:rsidRPr="007F52FA" w14:paraId="78325DDB" w14:textId="77777777" w:rsidTr="009416C9">
        <w:trPr>
          <w:jc w:val="center"/>
        </w:trPr>
        <w:tc>
          <w:tcPr>
            <w:tcW w:w="3023" w:type="dxa"/>
            <w:vAlign w:val="center"/>
          </w:tcPr>
          <w:p w14:paraId="71FC8514" w14:textId="77777777"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14:paraId="7F8A502A"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14:paraId="48B28528" w14:textId="77777777" w:rsidTr="009416C9">
        <w:trPr>
          <w:jc w:val="center"/>
        </w:trPr>
        <w:tc>
          <w:tcPr>
            <w:tcW w:w="3023" w:type="dxa"/>
            <w:vAlign w:val="center"/>
          </w:tcPr>
          <w:p w14:paraId="3F478B7A" w14:textId="77777777"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14:paraId="36BE96F8"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14:paraId="10FAF5FE" w14:textId="77777777" w:rsidTr="009416C9">
        <w:trPr>
          <w:jc w:val="center"/>
        </w:trPr>
        <w:tc>
          <w:tcPr>
            <w:tcW w:w="3023" w:type="dxa"/>
            <w:vAlign w:val="center"/>
          </w:tcPr>
          <w:p w14:paraId="03AB19F0" w14:textId="77777777"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14:paraId="560ECDD3"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14:paraId="707B2F39" w14:textId="77777777" w:rsidTr="009416C9">
        <w:trPr>
          <w:jc w:val="center"/>
        </w:trPr>
        <w:tc>
          <w:tcPr>
            <w:tcW w:w="3023" w:type="dxa"/>
            <w:vAlign w:val="center"/>
          </w:tcPr>
          <w:p w14:paraId="06BBB8B1" w14:textId="77777777"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14:paraId="6AA9003E"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14:paraId="6FE0E6B0" w14:textId="77777777" w:rsidTr="009416C9">
        <w:trPr>
          <w:jc w:val="center"/>
        </w:trPr>
        <w:tc>
          <w:tcPr>
            <w:tcW w:w="3023" w:type="dxa"/>
            <w:vAlign w:val="center"/>
          </w:tcPr>
          <w:p w14:paraId="40CFA2B4" w14:textId="77777777"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14:paraId="78A1BD1C"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14:paraId="4FA786BF" w14:textId="77777777" w:rsidTr="009416C9">
        <w:trPr>
          <w:jc w:val="center"/>
        </w:trPr>
        <w:tc>
          <w:tcPr>
            <w:tcW w:w="3023" w:type="dxa"/>
            <w:vAlign w:val="center"/>
          </w:tcPr>
          <w:p w14:paraId="21FED02C" w14:textId="77777777"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14:paraId="4784E08E"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14:paraId="7FE38EE2" w14:textId="77777777" w:rsidTr="009416C9">
        <w:trPr>
          <w:jc w:val="center"/>
        </w:trPr>
        <w:tc>
          <w:tcPr>
            <w:tcW w:w="3023" w:type="dxa"/>
            <w:vAlign w:val="center"/>
          </w:tcPr>
          <w:p w14:paraId="68E91B16" w14:textId="77777777"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14:paraId="51C102B1" w14:textId="77777777"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14:paraId="7491291F" w14:textId="77777777"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14:paraId="441EE7EB" w14:textId="77777777" w:rsidTr="009416C9">
        <w:trPr>
          <w:jc w:val="center"/>
        </w:trPr>
        <w:tc>
          <w:tcPr>
            <w:tcW w:w="3023" w:type="dxa"/>
            <w:vAlign w:val="center"/>
          </w:tcPr>
          <w:p w14:paraId="57ED616C"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14:paraId="48BF46AC" w14:textId="77777777"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14:paraId="6D07178A" w14:textId="77777777"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14:paraId="1741A18B" w14:textId="77777777" w:rsidTr="009416C9">
        <w:trPr>
          <w:jc w:val="center"/>
        </w:trPr>
        <w:tc>
          <w:tcPr>
            <w:tcW w:w="3023" w:type="dxa"/>
            <w:vAlign w:val="center"/>
          </w:tcPr>
          <w:p w14:paraId="70B3F3AA"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14:paraId="4297C408" w14:textId="77777777" w:rsidR="00C23B30" w:rsidRPr="007F52FA" w:rsidRDefault="00C23B30" w:rsidP="007C14DF">
            <w:pPr>
              <w:spacing w:before="29" w:line="288" w:lineRule="auto"/>
              <w:jc w:val="left"/>
              <w:rPr>
                <w:sz w:val="24"/>
              </w:rPr>
            </w:pPr>
            <w:r w:rsidRPr="007F52FA">
              <w:rPr>
                <w:sz w:val="24"/>
              </w:rPr>
              <w:t>125,849,496.85</w:t>
            </w:r>
            <w:r w:rsidRPr="007F52FA">
              <w:rPr>
                <w:color w:val="000000"/>
                <w:kern w:val="0"/>
                <w:sz w:val="24"/>
              </w:rPr>
              <w:t>份</w:t>
            </w:r>
          </w:p>
        </w:tc>
        <w:tc>
          <w:tcPr>
            <w:tcW w:w="3048" w:type="dxa"/>
            <w:vAlign w:val="center"/>
          </w:tcPr>
          <w:p w14:paraId="534849BC" w14:textId="77777777" w:rsidR="00C23B30" w:rsidRPr="007F52FA" w:rsidRDefault="00C23B30" w:rsidP="007C14DF">
            <w:pPr>
              <w:spacing w:before="29" w:line="288" w:lineRule="auto"/>
              <w:jc w:val="left"/>
              <w:rPr>
                <w:sz w:val="24"/>
              </w:rPr>
            </w:pPr>
            <w:r w:rsidRPr="007F52FA">
              <w:rPr>
                <w:sz w:val="24"/>
              </w:rPr>
              <w:t>5,220,493.47</w:t>
            </w:r>
            <w:r w:rsidRPr="007F52FA">
              <w:rPr>
                <w:color w:val="000000"/>
                <w:kern w:val="0"/>
                <w:sz w:val="24"/>
              </w:rPr>
              <w:t>份</w:t>
            </w:r>
          </w:p>
        </w:tc>
      </w:tr>
    </w:tbl>
    <w:p w14:paraId="4BDF08B8" w14:textId="77777777" w:rsidR="007C5591" w:rsidRDefault="002665C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14:paraId="465E4FAA" w14:textId="77777777"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14:paraId="2B22F7EA" w14:textId="77777777" w:rsidR="00740635" w:rsidRPr="007F52FA" w:rsidRDefault="00740635" w:rsidP="007C14DF">
      <w:pPr>
        <w:autoSpaceDE w:val="0"/>
        <w:autoSpaceDN w:val="0"/>
        <w:adjustRightInd w:val="0"/>
        <w:spacing w:before="29" w:line="288" w:lineRule="auto"/>
        <w:jc w:val="left"/>
        <w:rPr>
          <w:rFonts w:eastAsiaTheme="minorEastAsia"/>
          <w:color w:val="000000"/>
          <w:sz w:val="24"/>
        </w:rPr>
      </w:pPr>
    </w:p>
    <w:p w14:paraId="778D8699" w14:textId="77777777" w:rsidR="009238DB" w:rsidRPr="007F52FA" w:rsidRDefault="009238DB" w:rsidP="002665C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14:paraId="0B719D7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14:paraId="20B17CEC" w14:textId="77777777"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14:paraId="0EF96167" w14:textId="77777777" w:rsidTr="007A5233">
        <w:trPr>
          <w:jc w:val="center"/>
        </w:trPr>
        <w:tc>
          <w:tcPr>
            <w:tcW w:w="3402" w:type="dxa"/>
            <w:vMerge w:val="restart"/>
            <w:vAlign w:val="center"/>
          </w:tcPr>
          <w:p w14:paraId="54123C28" w14:textId="77777777"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14:paraId="5A9A9CE0" w14:textId="77777777"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14:paraId="78812F1D" w14:textId="77777777"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14:paraId="33068648" w14:textId="77777777" w:rsidTr="007A5233">
        <w:trPr>
          <w:jc w:val="center"/>
        </w:trPr>
        <w:tc>
          <w:tcPr>
            <w:tcW w:w="3402" w:type="dxa"/>
            <w:vMerge/>
            <w:vAlign w:val="center"/>
          </w:tcPr>
          <w:p w14:paraId="101A5542" w14:textId="77777777" w:rsidR="009E549D" w:rsidRPr="007F52FA" w:rsidRDefault="009E549D" w:rsidP="007C14DF">
            <w:pPr>
              <w:adjustRightInd w:val="0"/>
              <w:spacing w:before="29" w:line="288" w:lineRule="auto"/>
              <w:ind w:left="17"/>
              <w:jc w:val="center"/>
              <w:rPr>
                <w:kern w:val="0"/>
                <w:sz w:val="24"/>
              </w:rPr>
            </w:pPr>
          </w:p>
        </w:tc>
        <w:tc>
          <w:tcPr>
            <w:tcW w:w="2481" w:type="dxa"/>
            <w:vAlign w:val="center"/>
          </w:tcPr>
          <w:p w14:paraId="5D45783A" w14:textId="77777777"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14:paraId="4D222C33" w14:textId="77777777"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14:paraId="4C7FCB1C" w14:textId="77777777" w:rsidTr="007A5233">
        <w:trPr>
          <w:jc w:val="center"/>
        </w:trPr>
        <w:tc>
          <w:tcPr>
            <w:tcW w:w="3402" w:type="dxa"/>
            <w:vAlign w:val="center"/>
          </w:tcPr>
          <w:p w14:paraId="1C5A4543" w14:textId="77777777"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14:paraId="4E1FCB4B"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2,539,162.51</w:t>
            </w:r>
          </w:p>
        </w:tc>
        <w:tc>
          <w:tcPr>
            <w:tcW w:w="2481" w:type="dxa"/>
            <w:vAlign w:val="center"/>
          </w:tcPr>
          <w:p w14:paraId="34C6DFAD"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750,575.15</w:t>
            </w:r>
          </w:p>
        </w:tc>
      </w:tr>
      <w:tr w:rsidR="005F293E" w:rsidRPr="007F52FA" w14:paraId="0ABDC366" w14:textId="77777777" w:rsidTr="007A5233">
        <w:trPr>
          <w:jc w:val="center"/>
        </w:trPr>
        <w:tc>
          <w:tcPr>
            <w:tcW w:w="3402" w:type="dxa"/>
            <w:vAlign w:val="center"/>
          </w:tcPr>
          <w:p w14:paraId="5D9FD427" w14:textId="77777777"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14:paraId="579AB3FC"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2,665,032.33</w:t>
            </w:r>
          </w:p>
        </w:tc>
        <w:tc>
          <w:tcPr>
            <w:tcW w:w="2481" w:type="dxa"/>
            <w:vAlign w:val="center"/>
          </w:tcPr>
          <w:p w14:paraId="64F79FE3"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1,049,325.03</w:t>
            </w:r>
          </w:p>
        </w:tc>
      </w:tr>
      <w:tr w:rsidR="005F293E" w:rsidRPr="007F52FA" w14:paraId="19AA2A46" w14:textId="77777777" w:rsidTr="007A5233">
        <w:trPr>
          <w:jc w:val="center"/>
        </w:trPr>
        <w:tc>
          <w:tcPr>
            <w:tcW w:w="3402" w:type="dxa"/>
            <w:vAlign w:val="center"/>
          </w:tcPr>
          <w:p w14:paraId="2CFDE42A" w14:textId="77777777"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14:paraId="2326FD5F"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0.0209</w:t>
            </w:r>
          </w:p>
        </w:tc>
        <w:tc>
          <w:tcPr>
            <w:tcW w:w="2481" w:type="dxa"/>
            <w:vAlign w:val="center"/>
          </w:tcPr>
          <w:p w14:paraId="29D2DE62"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0.0198</w:t>
            </w:r>
          </w:p>
        </w:tc>
      </w:tr>
      <w:tr w:rsidR="005F293E" w:rsidRPr="007F52FA" w14:paraId="02A1747F" w14:textId="77777777" w:rsidTr="007A5233">
        <w:trPr>
          <w:jc w:val="center"/>
        </w:trPr>
        <w:tc>
          <w:tcPr>
            <w:tcW w:w="3402" w:type="dxa"/>
            <w:vAlign w:val="center"/>
          </w:tcPr>
          <w:p w14:paraId="30247CA6" w14:textId="77777777"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14:paraId="02CEAF25"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133,957,111.33</w:t>
            </w:r>
          </w:p>
        </w:tc>
        <w:tc>
          <w:tcPr>
            <w:tcW w:w="2481" w:type="dxa"/>
            <w:vAlign w:val="center"/>
          </w:tcPr>
          <w:p w14:paraId="4E21D2D1"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5,489,477.22</w:t>
            </w:r>
          </w:p>
        </w:tc>
      </w:tr>
      <w:tr w:rsidR="005F293E" w:rsidRPr="007F52FA" w14:paraId="3E4F4D0D" w14:textId="77777777" w:rsidTr="007A5233">
        <w:trPr>
          <w:trHeight w:val="158"/>
          <w:jc w:val="center"/>
        </w:trPr>
        <w:tc>
          <w:tcPr>
            <w:tcW w:w="3402" w:type="dxa"/>
            <w:vAlign w:val="center"/>
          </w:tcPr>
          <w:p w14:paraId="06FEEB15" w14:textId="77777777"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14:paraId="7C8D27EB"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1.064</w:t>
            </w:r>
          </w:p>
        </w:tc>
        <w:tc>
          <w:tcPr>
            <w:tcW w:w="2481" w:type="dxa"/>
            <w:vAlign w:val="center"/>
          </w:tcPr>
          <w:p w14:paraId="4E416868"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1.052</w:t>
            </w:r>
          </w:p>
        </w:tc>
      </w:tr>
    </w:tbl>
    <w:p w14:paraId="034BBB73" w14:textId="77777777" w:rsidR="007C5591" w:rsidRDefault="002665C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14:paraId="0B62E872" w14:textId="77777777"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14:paraId="6C7C23B2"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71726308"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14:paraId="4C4E12E1" w14:textId="77777777"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14:paraId="6A372E02" w14:textId="77777777"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25B0CEC5" w14:textId="77777777" w:rsidTr="00054F34">
        <w:trPr>
          <w:jc w:val="center"/>
        </w:trPr>
        <w:tc>
          <w:tcPr>
            <w:tcW w:w="1290" w:type="dxa"/>
            <w:vAlign w:val="center"/>
          </w:tcPr>
          <w:p w14:paraId="61ECEE9F"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598B392E"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14:paraId="4D1D775F"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7E79534C"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0F7D7802"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14:paraId="5B719FB2"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14:paraId="310847A2"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C5591" w14:paraId="0CA2D8C9" w14:textId="77777777">
        <w:trPr>
          <w:jc w:val="center"/>
        </w:trPr>
        <w:tc>
          <w:tcPr>
            <w:tcW w:w="1266" w:type="dxa"/>
            <w:vAlign w:val="center"/>
          </w:tcPr>
          <w:p w14:paraId="0AF928E5" w14:textId="77777777" w:rsidR="007C5591" w:rsidRDefault="002665CF">
            <w:pPr>
              <w:jc w:val="left"/>
            </w:pPr>
            <w:r>
              <w:rPr>
                <w:color w:val="000000"/>
                <w:sz w:val="24"/>
              </w:rPr>
              <w:t>过去三个月</w:t>
            </w:r>
          </w:p>
        </w:tc>
        <w:tc>
          <w:tcPr>
            <w:tcW w:w="1267" w:type="dxa"/>
            <w:vAlign w:val="center"/>
          </w:tcPr>
          <w:p w14:paraId="13A29E0E" w14:textId="77777777" w:rsidR="007C5591" w:rsidRDefault="002665CF">
            <w:pPr>
              <w:jc w:val="center"/>
            </w:pPr>
            <w:r>
              <w:rPr>
                <w:color w:val="000000"/>
                <w:sz w:val="24"/>
              </w:rPr>
              <w:t>1.90%</w:t>
            </w:r>
          </w:p>
        </w:tc>
        <w:tc>
          <w:tcPr>
            <w:tcW w:w="1267" w:type="dxa"/>
            <w:vAlign w:val="center"/>
          </w:tcPr>
          <w:p w14:paraId="60962FCA" w14:textId="77777777" w:rsidR="007C5591" w:rsidRDefault="002665CF">
            <w:pPr>
              <w:jc w:val="center"/>
            </w:pPr>
            <w:r>
              <w:rPr>
                <w:color w:val="000000"/>
                <w:sz w:val="24"/>
              </w:rPr>
              <w:t>0.19%</w:t>
            </w:r>
          </w:p>
        </w:tc>
        <w:tc>
          <w:tcPr>
            <w:tcW w:w="1267" w:type="dxa"/>
            <w:vAlign w:val="center"/>
          </w:tcPr>
          <w:p w14:paraId="7CB434C4" w14:textId="77777777" w:rsidR="007C5591" w:rsidRDefault="002665CF">
            <w:pPr>
              <w:jc w:val="center"/>
            </w:pPr>
            <w:r>
              <w:rPr>
                <w:color w:val="000000"/>
                <w:sz w:val="24"/>
              </w:rPr>
              <w:t>-0.15%</w:t>
            </w:r>
          </w:p>
        </w:tc>
        <w:tc>
          <w:tcPr>
            <w:tcW w:w="1267" w:type="dxa"/>
            <w:vAlign w:val="center"/>
          </w:tcPr>
          <w:p w14:paraId="285941FC" w14:textId="77777777" w:rsidR="007C5591" w:rsidRDefault="002665CF">
            <w:pPr>
              <w:jc w:val="center"/>
            </w:pPr>
            <w:r>
              <w:rPr>
                <w:color w:val="000000"/>
                <w:sz w:val="24"/>
              </w:rPr>
              <w:t>0.09%</w:t>
            </w:r>
          </w:p>
        </w:tc>
        <w:tc>
          <w:tcPr>
            <w:tcW w:w="1267" w:type="dxa"/>
            <w:vAlign w:val="center"/>
          </w:tcPr>
          <w:p w14:paraId="034520EA" w14:textId="77777777" w:rsidR="007C5591" w:rsidRDefault="002665CF">
            <w:pPr>
              <w:jc w:val="center"/>
            </w:pPr>
            <w:r>
              <w:rPr>
                <w:color w:val="000000"/>
                <w:sz w:val="24"/>
              </w:rPr>
              <w:t>2.05%</w:t>
            </w:r>
          </w:p>
        </w:tc>
        <w:tc>
          <w:tcPr>
            <w:tcW w:w="1267" w:type="dxa"/>
            <w:vAlign w:val="center"/>
          </w:tcPr>
          <w:p w14:paraId="0E0C659C" w14:textId="77777777" w:rsidR="007C5591" w:rsidRDefault="002665CF">
            <w:pPr>
              <w:jc w:val="center"/>
            </w:pPr>
            <w:r>
              <w:rPr>
                <w:color w:val="000000"/>
                <w:sz w:val="24"/>
              </w:rPr>
              <w:t>0.10%</w:t>
            </w:r>
          </w:p>
        </w:tc>
      </w:tr>
    </w:tbl>
    <w:p w14:paraId="5E634998" w14:textId="77777777"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14:paraId="220B3D5D" w14:textId="77777777"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6ADD5E59" w14:textId="77777777" w:rsidTr="00054F34">
        <w:trPr>
          <w:jc w:val="center"/>
        </w:trPr>
        <w:tc>
          <w:tcPr>
            <w:tcW w:w="1290" w:type="dxa"/>
            <w:vAlign w:val="center"/>
          </w:tcPr>
          <w:p w14:paraId="243DD6E7"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736A25A5"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14:paraId="4A3320F4"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26840DC7"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33115CAB"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14:paraId="3C1CC9A3"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14:paraId="377050ED"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C5591" w14:paraId="6B2E32DF" w14:textId="77777777">
        <w:trPr>
          <w:jc w:val="center"/>
        </w:trPr>
        <w:tc>
          <w:tcPr>
            <w:tcW w:w="1266" w:type="dxa"/>
            <w:vAlign w:val="center"/>
          </w:tcPr>
          <w:p w14:paraId="49797CC2" w14:textId="77777777" w:rsidR="007C5591" w:rsidRDefault="002665CF">
            <w:pPr>
              <w:jc w:val="left"/>
            </w:pPr>
            <w:r>
              <w:rPr>
                <w:color w:val="000000"/>
                <w:sz w:val="24"/>
              </w:rPr>
              <w:t>过去三个月</w:t>
            </w:r>
          </w:p>
        </w:tc>
        <w:tc>
          <w:tcPr>
            <w:tcW w:w="1267" w:type="dxa"/>
            <w:vAlign w:val="center"/>
          </w:tcPr>
          <w:p w14:paraId="54B40534" w14:textId="77777777" w:rsidR="007C5591" w:rsidRDefault="002665CF">
            <w:pPr>
              <w:jc w:val="center"/>
            </w:pPr>
            <w:r>
              <w:rPr>
                <w:color w:val="000000"/>
                <w:sz w:val="24"/>
              </w:rPr>
              <w:t>1.93%</w:t>
            </w:r>
          </w:p>
        </w:tc>
        <w:tc>
          <w:tcPr>
            <w:tcW w:w="1267" w:type="dxa"/>
            <w:vAlign w:val="center"/>
          </w:tcPr>
          <w:p w14:paraId="193876DB" w14:textId="77777777" w:rsidR="007C5591" w:rsidRDefault="002665CF">
            <w:pPr>
              <w:jc w:val="center"/>
            </w:pPr>
            <w:r>
              <w:rPr>
                <w:color w:val="000000"/>
                <w:sz w:val="24"/>
              </w:rPr>
              <w:t>0.19%</w:t>
            </w:r>
          </w:p>
        </w:tc>
        <w:tc>
          <w:tcPr>
            <w:tcW w:w="1267" w:type="dxa"/>
            <w:vAlign w:val="center"/>
          </w:tcPr>
          <w:p w14:paraId="263476AB" w14:textId="77777777" w:rsidR="007C5591" w:rsidRDefault="002665CF">
            <w:pPr>
              <w:jc w:val="center"/>
            </w:pPr>
            <w:r>
              <w:rPr>
                <w:color w:val="000000"/>
                <w:sz w:val="24"/>
              </w:rPr>
              <w:t>-0.15%</w:t>
            </w:r>
          </w:p>
        </w:tc>
        <w:tc>
          <w:tcPr>
            <w:tcW w:w="1267" w:type="dxa"/>
            <w:vAlign w:val="center"/>
          </w:tcPr>
          <w:p w14:paraId="45B9400F" w14:textId="77777777" w:rsidR="007C5591" w:rsidRDefault="002665CF">
            <w:pPr>
              <w:jc w:val="center"/>
            </w:pPr>
            <w:r>
              <w:rPr>
                <w:color w:val="000000"/>
                <w:sz w:val="24"/>
              </w:rPr>
              <w:t>0.09%</w:t>
            </w:r>
          </w:p>
        </w:tc>
        <w:tc>
          <w:tcPr>
            <w:tcW w:w="1267" w:type="dxa"/>
            <w:vAlign w:val="center"/>
          </w:tcPr>
          <w:p w14:paraId="6EDB534B" w14:textId="77777777" w:rsidR="007C5591" w:rsidRDefault="002665CF">
            <w:pPr>
              <w:jc w:val="center"/>
            </w:pPr>
            <w:r>
              <w:rPr>
                <w:color w:val="000000"/>
                <w:sz w:val="24"/>
              </w:rPr>
              <w:t>2.08%</w:t>
            </w:r>
          </w:p>
        </w:tc>
        <w:tc>
          <w:tcPr>
            <w:tcW w:w="1267" w:type="dxa"/>
            <w:vAlign w:val="center"/>
          </w:tcPr>
          <w:p w14:paraId="6F1747E6" w14:textId="77777777" w:rsidR="007C5591" w:rsidRDefault="002665CF">
            <w:pPr>
              <w:jc w:val="center"/>
            </w:pPr>
            <w:r>
              <w:rPr>
                <w:color w:val="000000"/>
                <w:sz w:val="24"/>
              </w:rPr>
              <w:t>0.10%</w:t>
            </w:r>
          </w:p>
        </w:tc>
      </w:tr>
    </w:tbl>
    <w:p w14:paraId="666279A3" w14:textId="77777777"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14:paraId="6AE16051" w14:textId="77777777"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14:paraId="6338F82A" w14:textId="77777777"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14:paraId="1B953D19" w14:textId="77777777"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14:paraId="4755B9C1" w14:textId="77777777"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3EC3FA81" w14:textId="77777777"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14:paraId="7F6DF516" w14:textId="77777777"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108D94F4" wp14:editId="22980FC3">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38603F1C" w14:textId="77777777" w:rsidR="009238DB" w:rsidRPr="007F52FA" w:rsidRDefault="0042785F" w:rsidP="00C65D8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5F61E139" w14:textId="77777777" w:rsidR="0042785F" w:rsidRPr="007F52FA" w:rsidRDefault="0042785F" w:rsidP="007C14DF">
      <w:pPr>
        <w:pStyle w:val="20"/>
        <w:spacing w:before="29" w:line="288" w:lineRule="auto"/>
        <w:ind w:firstLineChars="0" w:firstLine="0"/>
        <w:rPr>
          <w:rFonts w:ascii="Times New Roman" w:hAnsi="Times New Roman"/>
          <w:color w:val="000000"/>
        </w:rPr>
      </w:pPr>
    </w:p>
    <w:p w14:paraId="490A2F8F" w14:textId="77777777"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14:paraId="26CF5159" w14:textId="77777777"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3EA16B61" wp14:editId="51A14347">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14:paraId="7A709959" w14:textId="77777777" w:rsidR="0042785F" w:rsidRPr="007F52FA" w:rsidRDefault="00FE7FBD" w:rsidP="00C65D8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283D92FE" w14:textId="77777777" w:rsidR="006C5BC9" w:rsidRPr="007F52FA" w:rsidRDefault="006C5BC9" w:rsidP="007C14DF">
      <w:pPr>
        <w:tabs>
          <w:tab w:val="left" w:pos="1800"/>
        </w:tabs>
        <w:spacing w:before="29" w:line="288" w:lineRule="auto"/>
        <w:rPr>
          <w:rFonts w:eastAsiaTheme="minorEastAsia"/>
          <w:color w:val="000000"/>
          <w:sz w:val="24"/>
        </w:rPr>
      </w:pPr>
    </w:p>
    <w:p w14:paraId="5D3CD5B1" w14:textId="77777777" w:rsidR="009238DB" w:rsidRPr="007F52FA" w:rsidRDefault="009238DB" w:rsidP="002665C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14:paraId="01DEC2B8"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14:paraId="6C6D1667" w14:textId="77777777" w:rsidTr="00370FE2">
        <w:trPr>
          <w:jc w:val="center"/>
        </w:trPr>
        <w:tc>
          <w:tcPr>
            <w:tcW w:w="952" w:type="dxa"/>
            <w:vMerge w:val="restart"/>
            <w:vAlign w:val="center"/>
          </w:tcPr>
          <w:p w14:paraId="59E0B108"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14:paraId="1BF475D9"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14:paraId="0C59CC9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14:paraId="6C099C22"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14:paraId="47B7ACCD"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14:paraId="19B6838E" w14:textId="77777777" w:rsidTr="00370FE2">
        <w:trPr>
          <w:jc w:val="center"/>
        </w:trPr>
        <w:tc>
          <w:tcPr>
            <w:tcW w:w="952" w:type="dxa"/>
            <w:vMerge/>
            <w:vAlign w:val="center"/>
          </w:tcPr>
          <w:p w14:paraId="300156C5"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14:paraId="3E6A8607"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14:paraId="17A498CE"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14:paraId="2086DDA5"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14:paraId="70F1CF5E"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14:paraId="07AD2D7B"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C5591" w14:paraId="4245963B" w14:textId="77777777">
        <w:trPr>
          <w:jc w:val="center"/>
        </w:trPr>
        <w:tc>
          <w:tcPr>
            <w:tcW w:w="946" w:type="dxa"/>
            <w:vAlign w:val="center"/>
          </w:tcPr>
          <w:p w14:paraId="09E19716" w14:textId="77777777" w:rsidR="007C5591" w:rsidRDefault="002665CF">
            <w:pPr>
              <w:jc w:val="center"/>
            </w:pPr>
            <w:r>
              <w:rPr>
                <w:color w:val="000000"/>
                <w:sz w:val="24"/>
              </w:rPr>
              <w:t>林洪钧</w:t>
            </w:r>
          </w:p>
        </w:tc>
        <w:tc>
          <w:tcPr>
            <w:tcW w:w="924" w:type="dxa"/>
            <w:vAlign w:val="center"/>
          </w:tcPr>
          <w:p w14:paraId="2E6DD8D2" w14:textId="77777777" w:rsidR="007C5591" w:rsidRDefault="002665CF">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天债券、交银现金宝货币的基金经理，公司固定收益部助理总经理</w:t>
            </w:r>
          </w:p>
        </w:tc>
        <w:tc>
          <w:tcPr>
            <w:tcW w:w="1202" w:type="dxa"/>
            <w:vAlign w:val="center"/>
          </w:tcPr>
          <w:p w14:paraId="4723C21C" w14:textId="77777777" w:rsidR="007C5591" w:rsidRDefault="002665CF">
            <w:pPr>
              <w:jc w:val="center"/>
            </w:pPr>
            <w:r>
              <w:rPr>
                <w:color w:val="000000"/>
                <w:sz w:val="24"/>
              </w:rPr>
              <w:t>2014-03-31</w:t>
            </w:r>
          </w:p>
        </w:tc>
        <w:tc>
          <w:tcPr>
            <w:tcW w:w="1300" w:type="dxa"/>
            <w:vAlign w:val="center"/>
          </w:tcPr>
          <w:p w14:paraId="41DA9380" w14:textId="77777777" w:rsidR="007C5591" w:rsidRDefault="002665CF">
            <w:pPr>
              <w:jc w:val="center"/>
            </w:pPr>
            <w:r>
              <w:rPr>
                <w:color w:val="000000"/>
                <w:sz w:val="24"/>
              </w:rPr>
              <w:t>-</w:t>
            </w:r>
          </w:p>
        </w:tc>
        <w:tc>
          <w:tcPr>
            <w:tcW w:w="1245" w:type="dxa"/>
            <w:vAlign w:val="center"/>
          </w:tcPr>
          <w:p w14:paraId="79595B7B" w14:textId="77777777" w:rsidR="007C5591" w:rsidRDefault="002665CF">
            <w:pPr>
              <w:jc w:val="center"/>
            </w:pPr>
            <w:r>
              <w:rPr>
                <w:color w:val="000000"/>
                <w:sz w:val="24"/>
              </w:rPr>
              <w:t>11</w:t>
            </w:r>
            <w:r>
              <w:rPr>
                <w:color w:val="000000"/>
                <w:sz w:val="24"/>
              </w:rPr>
              <w:t>年</w:t>
            </w:r>
          </w:p>
        </w:tc>
        <w:tc>
          <w:tcPr>
            <w:tcW w:w="3251" w:type="dxa"/>
            <w:vAlign w:val="center"/>
          </w:tcPr>
          <w:p w14:paraId="7417708C" w14:textId="77777777" w:rsidR="007C5591" w:rsidRDefault="002665CF">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14:paraId="02A13A84" w14:textId="77777777"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14:paraId="7E4E8EB3" w14:textId="77777777"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14:paraId="26C5647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14:paraId="7DAAED62" w14:textId="77777777"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2161BA7F" w14:textId="77777777" w:rsidR="009238DB" w:rsidRPr="007F52FA" w:rsidRDefault="009238DB" w:rsidP="007C14DF">
      <w:pPr>
        <w:autoSpaceDE w:val="0"/>
        <w:autoSpaceDN w:val="0"/>
        <w:adjustRightInd w:val="0"/>
        <w:spacing w:before="29" w:line="288" w:lineRule="auto"/>
        <w:jc w:val="left"/>
        <w:rPr>
          <w:color w:val="000000"/>
          <w:kern w:val="0"/>
          <w:sz w:val="24"/>
        </w:rPr>
      </w:pPr>
    </w:p>
    <w:p w14:paraId="3D3C5136"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14:paraId="4E044B80" w14:textId="77777777"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14:paraId="15D140E6" w14:textId="77777777" w:rsidR="007C5591" w:rsidRDefault="002665C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7B37167" w14:textId="77777777" w:rsidR="007C5591" w:rsidRDefault="002665C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A123896" w14:textId="77777777" w:rsidR="007C5591" w:rsidRDefault="002665C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811A6DD" w14:textId="77777777"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14:paraId="283B33FE" w14:textId="77777777"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14:paraId="02466A99" w14:textId="77777777"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14:paraId="62742275" w14:textId="77777777" w:rsidR="009238DB" w:rsidRPr="007F52FA" w:rsidRDefault="009238DB" w:rsidP="007C14DF">
      <w:pPr>
        <w:autoSpaceDE w:val="0"/>
        <w:autoSpaceDN w:val="0"/>
        <w:adjustRightInd w:val="0"/>
        <w:spacing w:before="29" w:line="288" w:lineRule="auto"/>
        <w:jc w:val="left"/>
        <w:rPr>
          <w:color w:val="000000"/>
          <w:kern w:val="0"/>
          <w:sz w:val="24"/>
        </w:rPr>
      </w:pPr>
    </w:p>
    <w:p w14:paraId="1C5AC929" w14:textId="77777777"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14:paraId="61E3EE87" w14:textId="77777777" w:rsidR="007C5591" w:rsidRDefault="002665CF">
      <w:pPr>
        <w:spacing w:before="29" w:line="288" w:lineRule="auto"/>
        <w:ind w:firstLineChars="200" w:firstLine="480"/>
        <w:rPr>
          <w:color w:val="000000"/>
          <w:sz w:val="24"/>
        </w:rPr>
      </w:pPr>
      <w:r>
        <w:rPr>
          <w:color w:val="000000"/>
          <w:sz w:val="24"/>
        </w:rPr>
        <w:t>本报告期内，经济增长动能呈现进一步疲弱态势。</w:t>
      </w:r>
      <w:r>
        <w:rPr>
          <w:color w:val="000000"/>
          <w:sz w:val="24"/>
        </w:rPr>
        <w:t>1</w:t>
      </w:r>
      <w:r>
        <w:rPr>
          <w:color w:val="000000"/>
          <w:sz w:val="24"/>
        </w:rPr>
        <w:t>、</w:t>
      </w:r>
      <w:r>
        <w:rPr>
          <w:color w:val="000000"/>
          <w:sz w:val="24"/>
        </w:rPr>
        <w:t>2</w:t>
      </w:r>
      <w:r>
        <w:rPr>
          <w:color w:val="000000"/>
          <w:sz w:val="24"/>
        </w:rPr>
        <w:t>月工业增加值急速下滑至</w:t>
      </w:r>
      <w:r>
        <w:rPr>
          <w:color w:val="000000"/>
          <w:sz w:val="24"/>
        </w:rPr>
        <w:t>6.8</w:t>
      </w:r>
      <w:r>
        <w:rPr>
          <w:color w:val="000000"/>
          <w:sz w:val="24"/>
        </w:rPr>
        <w:t>，中采</w:t>
      </w:r>
      <w:r>
        <w:rPr>
          <w:color w:val="000000"/>
          <w:sz w:val="24"/>
        </w:rPr>
        <w:t>PMI</w:t>
      </w:r>
      <w:r>
        <w:rPr>
          <w:color w:val="000000"/>
          <w:sz w:val="24"/>
        </w:rPr>
        <w:t>在</w:t>
      </w:r>
      <w:r>
        <w:rPr>
          <w:color w:val="000000"/>
          <w:sz w:val="24"/>
        </w:rPr>
        <w:t>1</w:t>
      </w:r>
      <w:r>
        <w:rPr>
          <w:color w:val="000000"/>
          <w:sz w:val="24"/>
        </w:rPr>
        <w:t>、</w:t>
      </w:r>
      <w:r>
        <w:rPr>
          <w:color w:val="000000"/>
          <w:sz w:val="24"/>
        </w:rPr>
        <w:t>2</w:t>
      </w:r>
      <w:r>
        <w:rPr>
          <w:color w:val="000000"/>
          <w:sz w:val="24"/>
        </w:rPr>
        <w:t>月份跌破</w:t>
      </w:r>
      <w:r>
        <w:rPr>
          <w:color w:val="000000"/>
          <w:sz w:val="24"/>
        </w:rPr>
        <w:t>50</w:t>
      </w:r>
      <w:r>
        <w:rPr>
          <w:color w:val="000000"/>
          <w:sz w:val="24"/>
        </w:rPr>
        <w:t>枯荣线，分别为</w:t>
      </w:r>
      <w:r>
        <w:rPr>
          <w:color w:val="000000"/>
          <w:sz w:val="24"/>
        </w:rPr>
        <w:t>49.8</w:t>
      </w:r>
      <w:r>
        <w:rPr>
          <w:color w:val="000000"/>
          <w:sz w:val="24"/>
        </w:rPr>
        <w:t>、</w:t>
      </w:r>
      <w:r>
        <w:rPr>
          <w:color w:val="000000"/>
          <w:sz w:val="24"/>
        </w:rPr>
        <w:t>49.9</w:t>
      </w:r>
      <w:r>
        <w:rPr>
          <w:color w:val="000000"/>
          <w:sz w:val="24"/>
        </w:rPr>
        <w:t>，</w:t>
      </w:r>
      <w:r>
        <w:rPr>
          <w:color w:val="000000"/>
          <w:sz w:val="24"/>
        </w:rPr>
        <w:t>3</w:t>
      </w:r>
      <w:r>
        <w:rPr>
          <w:color w:val="000000"/>
          <w:sz w:val="24"/>
        </w:rPr>
        <w:t>月份稍有反弹至</w:t>
      </w:r>
      <w:r>
        <w:rPr>
          <w:color w:val="000000"/>
          <w:sz w:val="24"/>
        </w:rPr>
        <w:t>50.1</w:t>
      </w:r>
      <w:r>
        <w:rPr>
          <w:color w:val="000000"/>
          <w:sz w:val="24"/>
        </w:rPr>
        <w:t>；从金融数据上看，</w:t>
      </w:r>
      <w:r>
        <w:rPr>
          <w:color w:val="000000"/>
          <w:sz w:val="24"/>
        </w:rPr>
        <w:t>2</w:t>
      </w:r>
      <w:r>
        <w:rPr>
          <w:color w:val="000000"/>
          <w:sz w:val="24"/>
        </w:rPr>
        <w:t>月新增信贷</w:t>
      </w:r>
      <w:r>
        <w:rPr>
          <w:color w:val="000000"/>
          <w:sz w:val="24"/>
        </w:rPr>
        <w:t>11437</w:t>
      </w:r>
      <w:r>
        <w:rPr>
          <w:color w:val="000000"/>
          <w:sz w:val="24"/>
        </w:rPr>
        <w:t>亿，社会融资规模</w:t>
      </w:r>
      <w:r>
        <w:rPr>
          <w:color w:val="000000"/>
          <w:sz w:val="24"/>
        </w:rPr>
        <w:t>13532</w:t>
      </w:r>
      <w:r>
        <w:rPr>
          <w:color w:val="000000"/>
          <w:sz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rPr>
        <w:t>50BP</w:t>
      </w:r>
      <w:r>
        <w:rPr>
          <w:color w:val="000000"/>
          <w:sz w:val="24"/>
        </w:rPr>
        <w:t>至</w:t>
      </w:r>
      <w:r>
        <w:rPr>
          <w:color w:val="000000"/>
          <w:sz w:val="24"/>
        </w:rPr>
        <w:t>19.5%</w:t>
      </w:r>
      <w:r>
        <w:rPr>
          <w:color w:val="000000"/>
          <w:sz w:val="24"/>
        </w:rPr>
        <w:t>，并在</w:t>
      </w:r>
      <w:r>
        <w:rPr>
          <w:color w:val="000000"/>
          <w:sz w:val="24"/>
        </w:rPr>
        <w:t>3</w:t>
      </w:r>
      <w:r>
        <w:rPr>
          <w:color w:val="000000"/>
          <w:sz w:val="24"/>
        </w:rPr>
        <w:t>月份降息</w:t>
      </w:r>
      <w:r>
        <w:rPr>
          <w:color w:val="000000"/>
          <w:sz w:val="24"/>
        </w:rPr>
        <w:t>25BP</w:t>
      </w:r>
      <w:r>
        <w:rPr>
          <w:color w:val="000000"/>
          <w:sz w:val="24"/>
        </w:rPr>
        <w:t>至</w:t>
      </w:r>
      <w:r>
        <w:rPr>
          <w:color w:val="000000"/>
          <w:sz w:val="24"/>
        </w:rPr>
        <w:t>2.5%</w:t>
      </w:r>
      <w:r>
        <w:rPr>
          <w:color w:val="000000"/>
          <w:sz w:val="24"/>
        </w:rPr>
        <w:t>。其他政策层面，</w:t>
      </w:r>
      <w:r>
        <w:rPr>
          <w:color w:val="000000"/>
          <w:sz w:val="24"/>
        </w:rPr>
        <w:t>3</w:t>
      </w:r>
      <w:r>
        <w:rPr>
          <w:color w:val="000000"/>
          <w:sz w:val="24"/>
        </w:rPr>
        <w:t>月</w:t>
      </w:r>
      <w:r>
        <w:rPr>
          <w:color w:val="000000"/>
          <w:sz w:val="24"/>
        </w:rPr>
        <w:t>30</w:t>
      </w:r>
      <w:r>
        <w:rPr>
          <w:color w:val="000000"/>
          <w:sz w:val="24"/>
        </w:rPr>
        <w:t>日房地产新政也将对稳增长起到一定作用。而通胀在一季度较为稳定，</w:t>
      </w:r>
      <w:r>
        <w:rPr>
          <w:color w:val="000000"/>
          <w:sz w:val="24"/>
        </w:rPr>
        <w:t>CPI 1</w:t>
      </w:r>
      <w:r>
        <w:rPr>
          <w:color w:val="000000"/>
          <w:sz w:val="24"/>
        </w:rPr>
        <w:t>月份</w:t>
      </w:r>
      <w:r>
        <w:rPr>
          <w:color w:val="000000"/>
          <w:sz w:val="24"/>
        </w:rPr>
        <w:t>0.76%</w:t>
      </w:r>
      <w:r>
        <w:rPr>
          <w:color w:val="000000"/>
          <w:sz w:val="24"/>
        </w:rPr>
        <w:t>，</w:t>
      </w:r>
      <w:r>
        <w:rPr>
          <w:color w:val="000000"/>
          <w:sz w:val="24"/>
        </w:rPr>
        <w:t>2</w:t>
      </w:r>
      <w:r>
        <w:rPr>
          <w:color w:val="000000"/>
          <w:sz w:val="24"/>
        </w:rPr>
        <w:t>月受春节等季节性因素影响上升至</w:t>
      </w:r>
      <w:r>
        <w:rPr>
          <w:color w:val="000000"/>
          <w:sz w:val="24"/>
        </w:rPr>
        <w:t>1.43%</w:t>
      </w:r>
      <w:r>
        <w:rPr>
          <w:color w:val="000000"/>
          <w:sz w:val="24"/>
        </w:rPr>
        <w:t>，但仍处于较低水平。较低的通胀也给后续的货币政策提供了较好的基础。</w:t>
      </w:r>
    </w:p>
    <w:p w14:paraId="00429992" w14:textId="77777777" w:rsidR="007C5591" w:rsidRDefault="002665CF">
      <w:pPr>
        <w:spacing w:before="29" w:line="288" w:lineRule="auto"/>
        <w:ind w:firstLineChars="200" w:firstLine="480"/>
        <w:rPr>
          <w:color w:val="000000"/>
          <w:sz w:val="24"/>
        </w:rPr>
      </w:pPr>
      <w:r>
        <w:rPr>
          <w:color w:val="000000"/>
          <w:sz w:val="24"/>
        </w:rPr>
        <w:t>本报告期内，债券市场受权益市场的扰动尤为明显，跷跷板效应在一季度显示的较为明显。债券市场在一季度呈现了完全倒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2015</w:t>
      </w:r>
      <w:r>
        <w:rPr>
          <w:color w:val="000000"/>
          <w:sz w:val="24"/>
        </w:rPr>
        <w:t>年第一期</w:t>
      </w:r>
      <w:r>
        <w:rPr>
          <w:color w:val="000000"/>
          <w:sz w:val="24"/>
        </w:rPr>
        <w:t>10</w:t>
      </w:r>
      <w:r>
        <w:rPr>
          <w:color w:val="000000"/>
          <w:sz w:val="24"/>
        </w:rPr>
        <w:t>年国开债（</w:t>
      </w:r>
      <w:r>
        <w:rPr>
          <w:color w:val="000000"/>
          <w:sz w:val="24"/>
        </w:rPr>
        <w:t>150205</w:t>
      </w:r>
      <w:r>
        <w:rPr>
          <w:color w:val="000000"/>
          <w:sz w:val="24"/>
        </w:rPr>
        <w:t>）在</w:t>
      </w:r>
      <w:r>
        <w:rPr>
          <w:color w:val="000000"/>
          <w:sz w:val="24"/>
        </w:rPr>
        <w:t>2</w:t>
      </w:r>
      <w:r>
        <w:rPr>
          <w:color w:val="000000"/>
          <w:sz w:val="24"/>
        </w:rPr>
        <w:t>月初发行票面为</w:t>
      </w:r>
      <w:r>
        <w:rPr>
          <w:color w:val="000000"/>
          <w:sz w:val="24"/>
        </w:rPr>
        <w:t>3.81%</w:t>
      </w:r>
      <w:r>
        <w:rPr>
          <w:color w:val="000000"/>
          <w:sz w:val="24"/>
        </w:rPr>
        <w:t>，在</w:t>
      </w:r>
      <w:r>
        <w:rPr>
          <w:color w:val="000000"/>
          <w:sz w:val="24"/>
        </w:rPr>
        <w:t>2</w:t>
      </w:r>
      <w:r>
        <w:rPr>
          <w:color w:val="000000"/>
          <w:sz w:val="24"/>
        </w:rPr>
        <w:t>月中上旬收益一度下行至</w:t>
      </w:r>
      <w:r>
        <w:rPr>
          <w:color w:val="000000"/>
          <w:sz w:val="24"/>
        </w:rPr>
        <w:t>3.65%</w:t>
      </w:r>
      <w:r>
        <w:rPr>
          <w:color w:val="000000"/>
          <w:sz w:val="24"/>
        </w:rPr>
        <w:t>附近，但在</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新股回报较高以及权益资产的良好表现，债券市场承受较大的压力，机构在资产配置时，债券资产的配置也受到一定挤压，债市的需求端受到一定的影响；除了需求受压之外，供给端是造成</w:t>
      </w:r>
      <w:r>
        <w:rPr>
          <w:color w:val="000000"/>
          <w:sz w:val="24"/>
        </w:rPr>
        <w:t>3</w:t>
      </w:r>
      <w:r>
        <w:rPr>
          <w:color w:val="000000"/>
          <w:sz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rPr>
        <w:t>0.32%</w:t>
      </w:r>
      <w:r>
        <w:rPr>
          <w:color w:val="000000"/>
          <w:sz w:val="24"/>
        </w:rPr>
        <w:t>，绝大部分收益发生在</w:t>
      </w:r>
      <w:r>
        <w:rPr>
          <w:color w:val="000000"/>
          <w:sz w:val="24"/>
        </w:rPr>
        <w:t>1</w:t>
      </w:r>
      <w:r>
        <w:rPr>
          <w:color w:val="000000"/>
          <w:sz w:val="24"/>
        </w:rPr>
        <w:t>月份及</w:t>
      </w:r>
      <w:r>
        <w:rPr>
          <w:color w:val="000000"/>
          <w:sz w:val="24"/>
        </w:rPr>
        <w:t>2</w:t>
      </w:r>
      <w:r>
        <w:rPr>
          <w:color w:val="000000"/>
          <w:sz w:val="24"/>
        </w:rPr>
        <w:t>月上半月。</w:t>
      </w:r>
    </w:p>
    <w:p w14:paraId="160A386E" w14:textId="77777777" w:rsidR="007C5591" w:rsidRDefault="002665CF">
      <w:pPr>
        <w:spacing w:before="29" w:line="288" w:lineRule="auto"/>
        <w:ind w:firstLineChars="200" w:firstLine="480"/>
        <w:rPr>
          <w:color w:val="000000"/>
          <w:sz w:val="24"/>
        </w:rPr>
      </w:pPr>
      <w:r>
        <w:rPr>
          <w:color w:val="000000"/>
          <w:sz w:val="24"/>
        </w:rPr>
        <w:t>本基金本报告期内保持较高的债券仓位，基金净值增长的主要收益来自于较高的城投债票息收入，以及基金在</w:t>
      </w:r>
      <w:r>
        <w:rPr>
          <w:color w:val="000000"/>
          <w:sz w:val="24"/>
        </w:rPr>
        <w:t>1</w:t>
      </w:r>
      <w:r>
        <w:rPr>
          <w:color w:val="000000"/>
          <w:sz w:val="24"/>
        </w:rPr>
        <w:t>、</w:t>
      </w:r>
      <w:r>
        <w:rPr>
          <w:color w:val="000000"/>
          <w:sz w:val="24"/>
        </w:rPr>
        <w:t>2</w:t>
      </w:r>
      <w:r>
        <w:rPr>
          <w:color w:val="000000"/>
          <w:sz w:val="24"/>
        </w:rPr>
        <w:t>月份收益下行过程中获得的资本利得。</w:t>
      </w:r>
    </w:p>
    <w:p w14:paraId="212384E5" w14:textId="77777777" w:rsidR="00952A72" w:rsidRPr="007F52FA" w:rsidRDefault="00323F25" w:rsidP="007C14DF">
      <w:pPr>
        <w:spacing w:before="29" w:line="288" w:lineRule="auto"/>
        <w:ind w:firstLineChars="200" w:firstLine="480"/>
        <w:rPr>
          <w:color w:val="000000"/>
          <w:sz w:val="24"/>
        </w:rPr>
      </w:pPr>
      <w:r w:rsidRPr="007F52FA">
        <w:rPr>
          <w:color w:val="000000"/>
          <w:sz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7F52FA">
        <w:rPr>
          <w:color w:val="000000"/>
          <w:sz w:val="24"/>
        </w:rPr>
        <w:t>3.9—4.4</w:t>
      </w:r>
      <w:r w:rsidRPr="007F52FA">
        <w:rPr>
          <w:color w:val="000000"/>
          <w:sz w:val="24"/>
        </w:rPr>
        <w:t>之间宽幅震荡，各种因素的互相干扰或将导致二季度债券收益率波动加大，同时也会增加债券市场的交易性机会。组合管理方面，本组合计划将适当降低组合久期与杠杆，同时将增加交易性的仓位，争取获得收益震荡过程中的超额收益。</w:t>
      </w:r>
    </w:p>
    <w:p w14:paraId="6AADF81F" w14:textId="77777777" w:rsidR="00EC41BC" w:rsidRPr="007F52FA" w:rsidRDefault="00EC41BC" w:rsidP="007C14DF">
      <w:pPr>
        <w:spacing w:before="29" w:line="288" w:lineRule="auto"/>
        <w:ind w:firstLineChars="200" w:firstLine="480"/>
        <w:rPr>
          <w:color w:val="000000"/>
          <w:sz w:val="24"/>
        </w:rPr>
      </w:pPr>
    </w:p>
    <w:p w14:paraId="2F14B2C0" w14:textId="77777777"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14:paraId="481A4265" w14:textId="77777777"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1.064</w:t>
      </w:r>
      <w:r w:rsidRPr="007F52FA">
        <w:rPr>
          <w:color w:val="000000"/>
          <w:sz w:val="24"/>
        </w:rPr>
        <w:t>元，本报告期份额净值增长率为</w:t>
      </w:r>
      <w:r w:rsidRPr="007F52FA">
        <w:rPr>
          <w:color w:val="000000"/>
          <w:sz w:val="24"/>
        </w:rPr>
        <w:t>1.90%</w:t>
      </w:r>
      <w:r w:rsidRPr="007F52FA">
        <w:rPr>
          <w:color w:val="000000"/>
          <w:sz w:val="24"/>
        </w:rPr>
        <w:t>，同期业绩比较基准增长率为</w:t>
      </w:r>
      <w:r w:rsidRPr="007F52FA">
        <w:rPr>
          <w:color w:val="000000"/>
          <w:sz w:val="24"/>
        </w:rPr>
        <w:t>-0.15%</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1.052</w:t>
      </w:r>
      <w:r w:rsidRPr="007F52FA">
        <w:rPr>
          <w:color w:val="000000"/>
          <w:sz w:val="24"/>
        </w:rPr>
        <w:t>元，本报告期份额净值增长率为</w:t>
      </w:r>
      <w:r w:rsidRPr="007F52FA">
        <w:rPr>
          <w:color w:val="000000"/>
          <w:sz w:val="24"/>
        </w:rPr>
        <w:t>1.93%</w:t>
      </w:r>
      <w:r w:rsidRPr="007F52FA">
        <w:rPr>
          <w:color w:val="000000"/>
          <w:sz w:val="24"/>
        </w:rPr>
        <w:t>，同期业绩比较基准增长率为</w:t>
      </w:r>
      <w:r w:rsidRPr="007F52FA">
        <w:rPr>
          <w:color w:val="000000"/>
          <w:sz w:val="24"/>
        </w:rPr>
        <w:t>-0.15%</w:t>
      </w:r>
      <w:r w:rsidRPr="007F52FA">
        <w:rPr>
          <w:color w:val="000000"/>
          <w:sz w:val="24"/>
        </w:rPr>
        <w:t>。</w:t>
      </w:r>
    </w:p>
    <w:p w14:paraId="327203F2" w14:textId="77777777" w:rsidR="00400FA6" w:rsidRPr="007F52FA" w:rsidRDefault="00400FA6" w:rsidP="007C14DF">
      <w:pPr>
        <w:spacing w:before="29" w:line="288" w:lineRule="auto"/>
        <w:ind w:firstLineChars="200" w:firstLine="480"/>
        <w:rPr>
          <w:color w:val="000000"/>
          <w:sz w:val="24"/>
        </w:rPr>
      </w:pPr>
    </w:p>
    <w:p w14:paraId="5B0E19ED" w14:textId="77777777"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47059015" w14:textId="77777777"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14:paraId="3B75608D" w14:textId="77777777" w:rsidR="00400FA6" w:rsidRPr="007F52FA" w:rsidRDefault="00400FA6" w:rsidP="007C14DF">
      <w:pPr>
        <w:spacing w:before="29" w:line="288" w:lineRule="auto"/>
        <w:ind w:firstLineChars="200" w:firstLine="480"/>
        <w:rPr>
          <w:color w:val="000000"/>
          <w:sz w:val="24"/>
        </w:rPr>
      </w:pPr>
    </w:p>
    <w:p w14:paraId="2105E2C8" w14:textId="77777777" w:rsidR="009238DB" w:rsidRPr="007F52FA" w:rsidRDefault="00FF5FC7" w:rsidP="002665CF">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14:paraId="79D9D929"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14:paraId="3C0BBCB8" w14:textId="77777777" w:rsidTr="005A677E">
        <w:trPr>
          <w:jc w:val="center"/>
        </w:trPr>
        <w:tc>
          <w:tcPr>
            <w:tcW w:w="720" w:type="dxa"/>
            <w:vAlign w:val="center"/>
          </w:tcPr>
          <w:p w14:paraId="356CF72D" w14:textId="77777777"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14:paraId="305347CD" w14:textId="77777777"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14:paraId="05F63DC5" w14:textId="77777777"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14:paraId="52AC6E2E" w14:textId="77777777"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14:paraId="652A2457" w14:textId="77777777" w:rsidTr="005A677E">
        <w:trPr>
          <w:jc w:val="center"/>
        </w:trPr>
        <w:tc>
          <w:tcPr>
            <w:tcW w:w="720" w:type="dxa"/>
            <w:vAlign w:val="center"/>
          </w:tcPr>
          <w:p w14:paraId="2953A8CD" w14:textId="77777777"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14:paraId="097F7EAB" w14:textId="77777777"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14:paraId="7B2B1074"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3E232408"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49671556" w14:textId="77777777" w:rsidTr="005A677E">
        <w:trPr>
          <w:jc w:val="center"/>
        </w:trPr>
        <w:tc>
          <w:tcPr>
            <w:tcW w:w="720" w:type="dxa"/>
            <w:vAlign w:val="center"/>
          </w:tcPr>
          <w:p w14:paraId="1CC10ADA"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34CA2097" w14:textId="77777777"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14:paraId="49512110"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486E4558"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2C08B679" w14:textId="77777777" w:rsidTr="005A677E">
        <w:trPr>
          <w:jc w:val="center"/>
        </w:trPr>
        <w:tc>
          <w:tcPr>
            <w:tcW w:w="720" w:type="dxa"/>
            <w:vAlign w:val="center"/>
          </w:tcPr>
          <w:p w14:paraId="12AA7251" w14:textId="77777777"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14:paraId="2FF03A62" w14:textId="77777777"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14:paraId="2DFC9AD8" w14:textId="77777777" w:rsidR="00323F25" w:rsidRPr="007F52FA" w:rsidRDefault="00323F25" w:rsidP="007C14DF">
            <w:pPr>
              <w:spacing w:before="29" w:line="288" w:lineRule="auto"/>
              <w:ind w:left="17"/>
              <w:jc w:val="right"/>
              <w:rPr>
                <w:color w:val="000000"/>
                <w:sz w:val="24"/>
              </w:rPr>
            </w:pPr>
            <w:r w:rsidRPr="007F52FA">
              <w:rPr>
                <w:color w:val="000000"/>
                <w:sz w:val="24"/>
              </w:rPr>
              <w:t>302,258,789.70</w:t>
            </w:r>
          </w:p>
        </w:tc>
        <w:tc>
          <w:tcPr>
            <w:tcW w:w="1757" w:type="dxa"/>
            <w:vAlign w:val="center"/>
          </w:tcPr>
          <w:p w14:paraId="4ECD10C2" w14:textId="77777777" w:rsidR="00323F25" w:rsidRPr="007F52FA" w:rsidRDefault="00323F25" w:rsidP="007C14DF">
            <w:pPr>
              <w:spacing w:before="29" w:line="288" w:lineRule="auto"/>
              <w:ind w:left="17"/>
              <w:jc w:val="right"/>
              <w:rPr>
                <w:color w:val="000000"/>
                <w:sz w:val="24"/>
              </w:rPr>
            </w:pPr>
            <w:r w:rsidRPr="007F52FA">
              <w:rPr>
                <w:color w:val="000000"/>
                <w:sz w:val="24"/>
              </w:rPr>
              <w:t>90.76</w:t>
            </w:r>
          </w:p>
        </w:tc>
      </w:tr>
      <w:tr w:rsidR="00323F25" w:rsidRPr="007F52FA" w14:paraId="0CA3654B" w14:textId="77777777" w:rsidTr="005A677E">
        <w:trPr>
          <w:jc w:val="center"/>
        </w:trPr>
        <w:tc>
          <w:tcPr>
            <w:tcW w:w="720" w:type="dxa"/>
            <w:vAlign w:val="center"/>
          </w:tcPr>
          <w:p w14:paraId="654D0B2F"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57B2F200" w14:textId="77777777"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14:paraId="06FAC15F" w14:textId="77777777" w:rsidR="00323F25" w:rsidRPr="007F52FA" w:rsidRDefault="00323F25" w:rsidP="007C14DF">
            <w:pPr>
              <w:spacing w:before="29" w:line="288" w:lineRule="auto"/>
              <w:ind w:left="17"/>
              <w:jc w:val="right"/>
              <w:rPr>
                <w:color w:val="000000"/>
                <w:sz w:val="24"/>
              </w:rPr>
            </w:pPr>
            <w:r w:rsidRPr="007F52FA">
              <w:rPr>
                <w:color w:val="000000"/>
                <w:sz w:val="24"/>
              </w:rPr>
              <w:t>302,258,789.70</w:t>
            </w:r>
          </w:p>
        </w:tc>
        <w:tc>
          <w:tcPr>
            <w:tcW w:w="1757" w:type="dxa"/>
            <w:vAlign w:val="center"/>
          </w:tcPr>
          <w:p w14:paraId="5CD9050B" w14:textId="77777777" w:rsidR="00323F25" w:rsidRPr="007F52FA" w:rsidRDefault="00323F25" w:rsidP="007C14DF">
            <w:pPr>
              <w:spacing w:before="29" w:line="288" w:lineRule="auto"/>
              <w:ind w:left="17"/>
              <w:jc w:val="right"/>
              <w:rPr>
                <w:color w:val="000000"/>
                <w:sz w:val="24"/>
              </w:rPr>
            </w:pPr>
            <w:r w:rsidRPr="007F52FA">
              <w:rPr>
                <w:color w:val="000000"/>
                <w:sz w:val="24"/>
              </w:rPr>
              <w:t>90.76</w:t>
            </w:r>
          </w:p>
        </w:tc>
      </w:tr>
      <w:tr w:rsidR="00323F25" w:rsidRPr="007F52FA" w14:paraId="58FC003B" w14:textId="77777777" w:rsidTr="005A677E">
        <w:trPr>
          <w:jc w:val="center"/>
        </w:trPr>
        <w:tc>
          <w:tcPr>
            <w:tcW w:w="720" w:type="dxa"/>
            <w:vAlign w:val="center"/>
          </w:tcPr>
          <w:p w14:paraId="7371B01B"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6B7DEF0C" w14:textId="77777777"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14:paraId="59488749"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4E7AD2F6"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14:paraId="69609949" w14:textId="77777777" w:rsidTr="005A677E">
        <w:trPr>
          <w:jc w:val="center"/>
        </w:trPr>
        <w:tc>
          <w:tcPr>
            <w:tcW w:w="720" w:type="dxa"/>
            <w:vAlign w:val="center"/>
          </w:tcPr>
          <w:p w14:paraId="56A1C19B" w14:textId="77777777"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14:paraId="168D3FE9" w14:textId="77777777"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14:paraId="43D99700"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14:paraId="0D82AE2C" w14:textId="77777777"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14:paraId="2E01937F" w14:textId="77777777" w:rsidTr="005A677E">
        <w:trPr>
          <w:jc w:val="center"/>
        </w:trPr>
        <w:tc>
          <w:tcPr>
            <w:tcW w:w="720" w:type="dxa"/>
            <w:vAlign w:val="center"/>
          </w:tcPr>
          <w:p w14:paraId="39E5746A" w14:textId="77777777"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14:paraId="32AFD9C1" w14:textId="77777777"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14:paraId="1F419363"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31C00160"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19F3F631" w14:textId="77777777" w:rsidTr="005A677E">
        <w:trPr>
          <w:jc w:val="center"/>
        </w:trPr>
        <w:tc>
          <w:tcPr>
            <w:tcW w:w="720" w:type="dxa"/>
            <w:vAlign w:val="center"/>
          </w:tcPr>
          <w:p w14:paraId="0D843DE4" w14:textId="77777777"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14:paraId="254703A2" w14:textId="77777777"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14:paraId="30633359"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68B59A79"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20363063" w14:textId="77777777" w:rsidTr="005A677E">
        <w:trPr>
          <w:jc w:val="center"/>
        </w:trPr>
        <w:tc>
          <w:tcPr>
            <w:tcW w:w="720" w:type="dxa"/>
            <w:vAlign w:val="center"/>
          </w:tcPr>
          <w:p w14:paraId="3F386E4C" w14:textId="77777777" w:rsidR="00323F25" w:rsidRPr="007F52FA" w:rsidRDefault="00323F25" w:rsidP="007C14DF">
            <w:pPr>
              <w:spacing w:before="29" w:line="288" w:lineRule="auto"/>
              <w:ind w:left="17"/>
              <w:jc w:val="center"/>
              <w:rPr>
                <w:color w:val="000000"/>
                <w:sz w:val="24"/>
              </w:rPr>
            </w:pPr>
          </w:p>
        </w:tc>
        <w:tc>
          <w:tcPr>
            <w:tcW w:w="3357" w:type="dxa"/>
            <w:vAlign w:val="center"/>
          </w:tcPr>
          <w:p w14:paraId="72EC31CC" w14:textId="77777777"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14:paraId="6A3F574B"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14:paraId="1B04BF93" w14:textId="77777777"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14:paraId="37FF6832" w14:textId="77777777" w:rsidTr="005A677E">
        <w:trPr>
          <w:jc w:val="center"/>
        </w:trPr>
        <w:tc>
          <w:tcPr>
            <w:tcW w:w="720" w:type="dxa"/>
            <w:vAlign w:val="center"/>
          </w:tcPr>
          <w:p w14:paraId="59EB1277" w14:textId="77777777"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14:paraId="2A304A88" w14:textId="77777777"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14:paraId="19A7FB15" w14:textId="77777777" w:rsidR="00323F25" w:rsidRPr="007F52FA" w:rsidRDefault="00323F25" w:rsidP="007C14DF">
            <w:pPr>
              <w:spacing w:before="29" w:line="288" w:lineRule="auto"/>
              <w:ind w:left="17"/>
              <w:jc w:val="right"/>
              <w:rPr>
                <w:color w:val="000000"/>
                <w:sz w:val="24"/>
              </w:rPr>
            </w:pPr>
            <w:r w:rsidRPr="007F52FA">
              <w:rPr>
                <w:color w:val="000000"/>
                <w:sz w:val="24"/>
              </w:rPr>
              <w:t>13,307,356.35</w:t>
            </w:r>
          </w:p>
        </w:tc>
        <w:tc>
          <w:tcPr>
            <w:tcW w:w="1757" w:type="dxa"/>
            <w:vAlign w:val="center"/>
          </w:tcPr>
          <w:p w14:paraId="5C580688" w14:textId="77777777" w:rsidR="00323F25" w:rsidRPr="007F52FA" w:rsidRDefault="00323F25" w:rsidP="007C14DF">
            <w:pPr>
              <w:spacing w:before="29" w:line="288" w:lineRule="auto"/>
              <w:ind w:left="17"/>
              <w:jc w:val="right"/>
              <w:rPr>
                <w:color w:val="000000"/>
                <w:sz w:val="24"/>
              </w:rPr>
            </w:pPr>
            <w:r w:rsidRPr="007F52FA">
              <w:rPr>
                <w:color w:val="000000"/>
                <w:sz w:val="24"/>
              </w:rPr>
              <w:t>4.00</w:t>
            </w:r>
          </w:p>
        </w:tc>
      </w:tr>
      <w:tr w:rsidR="00323F25" w:rsidRPr="007F52FA" w14:paraId="5854FFB6" w14:textId="77777777" w:rsidTr="005A677E">
        <w:trPr>
          <w:jc w:val="center"/>
        </w:trPr>
        <w:tc>
          <w:tcPr>
            <w:tcW w:w="720" w:type="dxa"/>
            <w:vAlign w:val="center"/>
          </w:tcPr>
          <w:p w14:paraId="5C4D295E" w14:textId="77777777"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14:paraId="1738E7DF" w14:textId="77777777"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14:paraId="7D241EFD" w14:textId="77777777" w:rsidR="00323F25" w:rsidRPr="007F52FA" w:rsidRDefault="00323F25" w:rsidP="007C14DF">
            <w:pPr>
              <w:spacing w:before="29" w:line="288" w:lineRule="auto"/>
              <w:jc w:val="right"/>
              <w:rPr>
                <w:color w:val="000000"/>
                <w:sz w:val="24"/>
              </w:rPr>
            </w:pPr>
            <w:r w:rsidRPr="007F52FA">
              <w:rPr>
                <w:color w:val="000000"/>
                <w:sz w:val="24"/>
              </w:rPr>
              <w:t>17,461,250.65</w:t>
            </w:r>
          </w:p>
        </w:tc>
        <w:tc>
          <w:tcPr>
            <w:tcW w:w="1757" w:type="dxa"/>
            <w:vAlign w:val="center"/>
          </w:tcPr>
          <w:p w14:paraId="6DC5CCF7" w14:textId="77777777" w:rsidR="00323F25" w:rsidRPr="007F52FA" w:rsidRDefault="00323F25" w:rsidP="007C14DF">
            <w:pPr>
              <w:spacing w:before="29" w:line="288" w:lineRule="auto"/>
              <w:jc w:val="right"/>
              <w:rPr>
                <w:color w:val="000000"/>
                <w:sz w:val="24"/>
              </w:rPr>
            </w:pPr>
            <w:r w:rsidRPr="007F52FA">
              <w:rPr>
                <w:color w:val="000000"/>
                <w:sz w:val="24"/>
              </w:rPr>
              <w:t>5.24</w:t>
            </w:r>
          </w:p>
        </w:tc>
      </w:tr>
      <w:tr w:rsidR="00323F25" w:rsidRPr="007F52FA" w14:paraId="75EC7F03" w14:textId="77777777" w:rsidTr="005A677E">
        <w:trPr>
          <w:jc w:val="center"/>
        </w:trPr>
        <w:tc>
          <w:tcPr>
            <w:tcW w:w="720" w:type="dxa"/>
            <w:vAlign w:val="center"/>
          </w:tcPr>
          <w:p w14:paraId="4FE2DD2E" w14:textId="77777777"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14:paraId="4D4C1569" w14:textId="77777777"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14:paraId="7ADE45F7" w14:textId="77777777" w:rsidR="00323F25" w:rsidRPr="007F52FA" w:rsidRDefault="00323F25" w:rsidP="007C14DF">
            <w:pPr>
              <w:spacing w:before="29" w:line="288" w:lineRule="auto"/>
              <w:jc w:val="right"/>
              <w:rPr>
                <w:color w:val="000000"/>
                <w:sz w:val="24"/>
              </w:rPr>
            </w:pPr>
            <w:r w:rsidRPr="007F52FA">
              <w:rPr>
                <w:color w:val="000000"/>
                <w:sz w:val="24"/>
              </w:rPr>
              <w:t>333,027,396.70</w:t>
            </w:r>
          </w:p>
        </w:tc>
        <w:tc>
          <w:tcPr>
            <w:tcW w:w="1757" w:type="dxa"/>
            <w:vAlign w:val="center"/>
          </w:tcPr>
          <w:p w14:paraId="3C2F195B" w14:textId="77777777" w:rsidR="00323F25" w:rsidRPr="007F52FA" w:rsidRDefault="00323F25" w:rsidP="007C14DF">
            <w:pPr>
              <w:spacing w:before="29" w:line="288" w:lineRule="auto"/>
              <w:jc w:val="right"/>
              <w:rPr>
                <w:color w:val="000000"/>
                <w:sz w:val="24"/>
              </w:rPr>
            </w:pPr>
            <w:r w:rsidRPr="007F52FA">
              <w:rPr>
                <w:color w:val="000000"/>
                <w:sz w:val="24"/>
              </w:rPr>
              <w:t>100.00</w:t>
            </w:r>
          </w:p>
        </w:tc>
      </w:tr>
    </w:tbl>
    <w:p w14:paraId="0CD196D2"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5F93AC29" w14:textId="77777777"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14:paraId="3F4091BD" w14:textId="77777777"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2B23C844"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16C6B2EB"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14:paraId="5FCAAF85" w14:textId="77777777"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7DBC6C76"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099E154"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14:paraId="4F6D8A12" w14:textId="77777777" w:rsidTr="000F7468">
        <w:trPr>
          <w:jc w:val="center"/>
        </w:trPr>
        <w:tc>
          <w:tcPr>
            <w:tcW w:w="817" w:type="dxa"/>
            <w:vAlign w:val="center"/>
          </w:tcPr>
          <w:p w14:paraId="6A663419" w14:textId="77777777"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14:paraId="6DE98217" w14:textId="77777777"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14:paraId="3230927C" w14:textId="77777777"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14:paraId="0C7068B4" w14:textId="77777777"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14:paraId="1D7704ED" w14:textId="77777777" w:rsidTr="000F7468">
        <w:trPr>
          <w:jc w:val="center"/>
        </w:trPr>
        <w:tc>
          <w:tcPr>
            <w:tcW w:w="817" w:type="dxa"/>
            <w:vAlign w:val="center"/>
          </w:tcPr>
          <w:p w14:paraId="3856B5B9" w14:textId="77777777"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14:paraId="7186443C" w14:textId="77777777"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14:paraId="46F49D52"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31441F71"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3D1F18C9" w14:textId="77777777" w:rsidTr="000F7468">
        <w:trPr>
          <w:jc w:val="center"/>
        </w:trPr>
        <w:tc>
          <w:tcPr>
            <w:tcW w:w="817" w:type="dxa"/>
            <w:vAlign w:val="center"/>
          </w:tcPr>
          <w:p w14:paraId="7A04A786" w14:textId="77777777"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14:paraId="1F9BBF0F" w14:textId="77777777"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14:paraId="34FD7432"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7A5F8285"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471A1926" w14:textId="77777777" w:rsidTr="000F7468">
        <w:trPr>
          <w:jc w:val="center"/>
        </w:trPr>
        <w:tc>
          <w:tcPr>
            <w:tcW w:w="817" w:type="dxa"/>
            <w:vAlign w:val="center"/>
          </w:tcPr>
          <w:p w14:paraId="6D06A338" w14:textId="77777777"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14:paraId="32B09122" w14:textId="77777777"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14:paraId="3ABC8D82" w14:textId="77777777" w:rsidR="00296E4A" w:rsidRPr="007F52FA" w:rsidRDefault="00296E4A" w:rsidP="007C14DF">
            <w:pPr>
              <w:spacing w:before="29" w:line="288" w:lineRule="auto"/>
              <w:ind w:left="17"/>
              <w:jc w:val="right"/>
              <w:rPr>
                <w:color w:val="000000"/>
                <w:sz w:val="24"/>
              </w:rPr>
            </w:pPr>
            <w:r w:rsidRPr="007F52FA">
              <w:rPr>
                <w:color w:val="000000"/>
                <w:sz w:val="24"/>
              </w:rPr>
              <w:t>10,000,000.00</w:t>
            </w:r>
          </w:p>
        </w:tc>
        <w:tc>
          <w:tcPr>
            <w:tcW w:w="1616" w:type="dxa"/>
            <w:vAlign w:val="center"/>
          </w:tcPr>
          <w:p w14:paraId="6E8D8AFE" w14:textId="77777777" w:rsidR="00296E4A" w:rsidRPr="007F52FA" w:rsidRDefault="00296E4A" w:rsidP="007C14DF">
            <w:pPr>
              <w:spacing w:before="29" w:line="288" w:lineRule="auto"/>
              <w:ind w:left="17"/>
              <w:jc w:val="right"/>
              <w:rPr>
                <w:color w:val="000000"/>
                <w:sz w:val="24"/>
              </w:rPr>
            </w:pPr>
            <w:r w:rsidRPr="007F52FA">
              <w:rPr>
                <w:color w:val="000000"/>
                <w:sz w:val="24"/>
              </w:rPr>
              <w:t>7.17</w:t>
            </w:r>
          </w:p>
        </w:tc>
      </w:tr>
      <w:tr w:rsidR="00296E4A" w:rsidRPr="007F52FA" w14:paraId="2639A8D1" w14:textId="77777777" w:rsidTr="000F7468">
        <w:trPr>
          <w:jc w:val="center"/>
        </w:trPr>
        <w:tc>
          <w:tcPr>
            <w:tcW w:w="817" w:type="dxa"/>
            <w:vAlign w:val="center"/>
          </w:tcPr>
          <w:p w14:paraId="4F43AFC7" w14:textId="77777777" w:rsidR="00296E4A" w:rsidRPr="007F52FA" w:rsidRDefault="00296E4A" w:rsidP="007C14DF">
            <w:pPr>
              <w:spacing w:before="29" w:line="288" w:lineRule="auto"/>
              <w:ind w:left="17"/>
              <w:jc w:val="center"/>
              <w:rPr>
                <w:color w:val="000000"/>
                <w:sz w:val="24"/>
              </w:rPr>
            </w:pPr>
          </w:p>
        </w:tc>
        <w:tc>
          <w:tcPr>
            <w:tcW w:w="3260" w:type="dxa"/>
            <w:vAlign w:val="center"/>
          </w:tcPr>
          <w:p w14:paraId="72BB517D" w14:textId="77777777"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14:paraId="17320D57" w14:textId="77777777" w:rsidR="00296E4A" w:rsidRPr="007F52FA" w:rsidRDefault="00296E4A" w:rsidP="007C14DF">
            <w:pPr>
              <w:spacing w:before="29" w:line="288" w:lineRule="auto"/>
              <w:ind w:left="17"/>
              <w:jc w:val="right"/>
              <w:rPr>
                <w:color w:val="000000"/>
                <w:sz w:val="24"/>
              </w:rPr>
            </w:pPr>
            <w:r w:rsidRPr="007F52FA">
              <w:rPr>
                <w:color w:val="000000"/>
                <w:sz w:val="24"/>
              </w:rPr>
              <w:t>10,000,000.00</w:t>
            </w:r>
          </w:p>
        </w:tc>
        <w:tc>
          <w:tcPr>
            <w:tcW w:w="1616" w:type="dxa"/>
            <w:vAlign w:val="center"/>
          </w:tcPr>
          <w:p w14:paraId="76368FDB" w14:textId="77777777" w:rsidR="00296E4A" w:rsidRPr="007F52FA" w:rsidRDefault="00296E4A" w:rsidP="007C14DF">
            <w:pPr>
              <w:spacing w:before="29" w:line="288" w:lineRule="auto"/>
              <w:ind w:left="17"/>
              <w:jc w:val="right"/>
              <w:rPr>
                <w:color w:val="000000"/>
                <w:sz w:val="24"/>
              </w:rPr>
            </w:pPr>
            <w:r w:rsidRPr="007F52FA">
              <w:rPr>
                <w:color w:val="000000"/>
                <w:sz w:val="24"/>
              </w:rPr>
              <w:t>7.17</w:t>
            </w:r>
          </w:p>
        </w:tc>
      </w:tr>
      <w:tr w:rsidR="00296E4A" w:rsidRPr="007F52FA" w14:paraId="7D256409" w14:textId="77777777" w:rsidTr="000F7468">
        <w:trPr>
          <w:jc w:val="center"/>
        </w:trPr>
        <w:tc>
          <w:tcPr>
            <w:tcW w:w="817" w:type="dxa"/>
            <w:vAlign w:val="center"/>
          </w:tcPr>
          <w:p w14:paraId="0D0E0EE7" w14:textId="77777777"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14:paraId="6F5E7780" w14:textId="77777777"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14:paraId="161B6390" w14:textId="77777777" w:rsidR="00296E4A" w:rsidRPr="007F52FA" w:rsidRDefault="00296E4A" w:rsidP="007C14DF">
            <w:pPr>
              <w:spacing w:before="29" w:line="288" w:lineRule="auto"/>
              <w:ind w:left="17"/>
              <w:jc w:val="right"/>
              <w:rPr>
                <w:color w:val="000000"/>
                <w:sz w:val="24"/>
              </w:rPr>
            </w:pPr>
            <w:r w:rsidRPr="007F52FA">
              <w:rPr>
                <w:color w:val="000000"/>
                <w:sz w:val="24"/>
              </w:rPr>
              <w:t>222,468,789.70</w:t>
            </w:r>
          </w:p>
        </w:tc>
        <w:tc>
          <w:tcPr>
            <w:tcW w:w="1616" w:type="dxa"/>
            <w:vAlign w:val="center"/>
          </w:tcPr>
          <w:p w14:paraId="33C73ABE" w14:textId="77777777" w:rsidR="00296E4A" w:rsidRPr="007F52FA" w:rsidRDefault="00296E4A" w:rsidP="007C14DF">
            <w:pPr>
              <w:spacing w:before="29" w:line="288" w:lineRule="auto"/>
              <w:ind w:left="17"/>
              <w:jc w:val="right"/>
              <w:rPr>
                <w:color w:val="000000"/>
                <w:sz w:val="24"/>
              </w:rPr>
            </w:pPr>
            <w:r w:rsidRPr="007F52FA">
              <w:rPr>
                <w:color w:val="000000"/>
                <w:sz w:val="24"/>
              </w:rPr>
              <w:t>159.54</w:t>
            </w:r>
          </w:p>
        </w:tc>
      </w:tr>
      <w:tr w:rsidR="00296E4A" w:rsidRPr="007F52FA" w14:paraId="412A11D6" w14:textId="77777777" w:rsidTr="000F7468">
        <w:trPr>
          <w:jc w:val="center"/>
        </w:trPr>
        <w:tc>
          <w:tcPr>
            <w:tcW w:w="817" w:type="dxa"/>
            <w:vAlign w:val="center"/>
          </w:tcPr>
          <w:p w14:paraId="1E7BA562" w14:textId="77777777"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14:paraId="08845AAD" w14:textId="77777777"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14:paraId="5897498E"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3EEDBAF5"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14:paraId="77178335" w14:textId="77777777" w:rsidTr="000F7468">
        <w:trPr>
          <w:jc w:val="center"/>
        </w:trPr>
        <w:tc>
          <w:tcPr>
            <w:tcW w:w="817" w:type="dxa"/>
            <w:vAlign w:val="center"/>
          </w:tcPr>
          <w:p w14:paraId="05FB0780" w14:textId="77777777"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14:paraId="0A5B7B4A" w14:textId="77777777"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14:paraId="72958BCA" w14:textId="77777777" w:rsidR="00686943" w:rsidRPr="007F52FA" w:rsidRDefault="00686943" w:rsidP="007C14DF">
            <w:pPr>
              <w:spacing w:before="29" w:line="288" w:lineRule="auto"/>
              <w:ind w:left="17"/>
              <w:jc w:val="right"/>
              <w:rPr>
                <w:color w:val="000000"/>
                <w:sz w:val="24"/>
              </w:rPr>
            </w:pPr>
            <w:r w:rsidRPr="007F52FA">
              <w:rPr>
                <w:color w:val="000000"/>
                <w:sz w:val="24"/>
              </w:rPr>
              <w:t>69,790,000.00</w:t>
            </w:r>
          </w:p>
        </w:tc>
        <w:tc>
          <w:tcPr>
            <w:tcW w:w="1616" w:type="dxa"/>
            <w:vAlign w:val="center"/>
          </w:tcPr>
          <w:p w14:paraId="6E20B047" w14:textId="77777777" w:rsidR="00686943" w:rsidRPr="007F52FA" w:rsidRDefault="00686943" w:rsidP="007C14DF">
            <w:pPr>
              <w:spacing w:before="29" w:line="288" w:lineRule="auto"/>
              <w:ind w:left="17"/>
              <w:jc w:val="right"/>
              <w:rPr>
                <w:color w:val="000000"/>
                <w:sz w:val="24"/>
              </w:rPr>
            </w:pPr>
            <w:r w:rsidRPr="007F52FA">
              <w:rPr>
                <w:color w:val="000000"/>
                <w:sz w:val="24"/>
              </w:rPr>
              <w:t>50.05</w:t>
            </w:r>
          </w:p>
        </w:tc>
      </w:tr>
      <w:tr w:rsidR="00686943" w:rsidRPr="007F52FA" w14:paraId="75A3D89B" w14:textId="77777777" w:rsidTr="000F7468">
        <w:trPr>
          <w:jc w:val="center"/>
        </w:trPr>
        <w:tc>
          <w:tcPr>
            <w:tcW w:w="817" w:type="dxa"/>
            <w:vAlign w:val="center"/>
          </w:tcPr>
          <w:p w14:paraId="5C118C5A" w14:textId="77777777"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14:paraId="28423B87" w14:textId="77777777"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14:paraId="0FF273ED"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63560251"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14:paraId="31C92C88" w14:textId="77777777" w:rsidTr="000F7468">
        <w:trPr>
          <w:jc w:val="center"/>
        </w:trPr>
        <w:tc>
          <w:tcPr>
            <w:tcW w:w="817" w:type="dxa"/>
            <w:vAlign w:val="center"/>
          </w:tcPr>
          <w:p w14:paraId="29B9A3D4" w14:textId="77777777"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14:paraId="51CEB6AF" w14:textId="77777777"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14:paraId="02433A09"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6816124E"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14:paraId="1F9FE58B" w14:textId="77777777" w:rsidTr="000F7468">
        <w:trPr>
          <w:jc w:val="center"/>
        </w:trPr>
        <w:tc>
          <w:tcPr>
            <w:tcW w:w="817" w:type="dxa"/>
            <w:vAlign w:val="center"/>
          </w:tcPr>
          <w:p w14:paraId="0DBE20FF" w14:textId="77777777"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14:paraId="520483F8" w14:textId="77777777"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14:paraId="124796D1" w14:textId="77777777" w:rsidR="00686943" w:rsidRPr="007F52FA" w:rsidRDefault="00686943" w:rsidP="007C14DF">
            <w:pPr>
              <w:spacing w:before="29" w:line="288" w:lineRule="auto"/>
              <w:ind w:left="17"/>
              <w:jc w:val="right"/>
              <w:rPr>
                <w:color w:val="000000"/>
                <w:sz w:val="24"/>
              </w:rPr>
            </w:pPr>
            <w:r w:rsidRPr="007F52FA">
              <w:rPr>
                <w:color w:val="000000"/>
                <w:sz w:val="24"/>
              </w:rPr>
              <w:t>302,258,789.70</w:t>
            </w:r>
          </w:p>
        </w:tc>
        <w:tc>
          <w:tcPr>
            <w:tcW w:w="1616" w:type="dxa"/>
            <w:vAlign w:val="center"/>
          </w:tcPr>
          <w:p w14:paraId="5F717B9B" w14:textId="77777777" w:rsidR="00686943" w:rsidRPr="007F52FA" w:rsidRDefault="00686943" w:rsidP="007C14DF">
            <w:pPr>
              <w:spacing w:before="29" w:line="288" w:lineRule="auto"/>
              <w:ind w:left="17"/>
              <w:jc w:val="right"/>
              <w:rPr>
                <w:color w:val="000000"/>
                <w:sz w:val="24"/>
              </w:rPr>
            </w:pPr>
            <w:r w:rsidRPr="007F52FA">
              <w:rPr>
                <w:color w:val="000000"/>
                <w:sz w:val="24"/>
              </w:rPr>
              <w:t>216.76</w:t>
            </w:r>
          </w:p>
        </w:tc>
      </w:tr>
    </w:tbl>
    <w:p w14:paraId="5435BF1D"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2CF1AF87"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14:paraId="7B38CC97" w14:textId="77777777" w:rsidTr="00B236A5">
        <w:trPr>
          <w:jc w:val="center"/>
        </w:trPr>
        <w:tc>
          <w:tcPr>
            <w:tcW w:w="1095" w:type="dxa"/>
            <w:vAlign w:val="center"/>
          </w:tcPr>
          <w:p w14:paraId="4EE78869"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14:paraId="23691118"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14:paraId="10C17D3E"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14:paraId="69EE7DDA"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14:paraId="7D5EF539"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14:paraId="3EF29487"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C5591" w14:paraId="1E49745F" w14:textId="77777777">
        <w:trPr>
          <w:jc w:val="center"/>
        </w:trPr>
        <w:tc>
          <w:tcPr>
            <w:tcW w:w="1075" w:type="dxa"/>
            <w:vAlign w:val="center"/>
          </w:tcPr>
          <w:p w14:paraId="4D0DBCFB" w14:textId="77777777" w:rsidR="007C5591" w:rsidRDefault="002665CF">
            <w:pPr>
              <w:jc w:val="center"/>
            </w:pPr>
            <w:r>
              <w:rPr>
                <w:color w:val="000000"/>
                <w:sz w:val="24"/>
              </w:rPr>
              <w:t>1</w:t>
            </w:r>
          </w:p>
        </w:tc>
        <w:tc>
          <w:tcPr>
            <w:tcW w:w="1533" w:type="dxa"/>
            <w:vAlign w:val="center"/>
          </w:tcPr>
          <w:p w14:paraId="2317DA67" w14:textId="77777777" w:rsidR="007C5591" w:rsidRDefault="002665CF">
            <w:pPr>
              <w:jc w:val="center"/>
            </w:pPr>
            <w:r>
              <w:rPr>
                <w:color w:val="000000"/>
                <w:sz w:val="24"/>
              </w:rPr>
              <w:t>124440</w:t>
            </w:r>
          </w:p>
        </w:tc>
        <w:tc>
          <w:tcPr>
            <w:tcW w:w="1533" w:type="dxa"/>
            <w:vAlign w:val="center"/>
          </w:tcPr>
          <w:p w14:paraId="65226680" w14:textId="77777777" w:rsidR="007C5591" w:rsidRDefault="002665CF">
            <w:pPr>
              <w:jc w:val="center"/>
            </w:pPr>
            <w:r>
              <w:rPr>
                <w:color w:val="000000"/>
                <w:sz w:val="24"/>
              </w:rPr>
              <w:t>13</w:t>
            </w:r>
            <w:r>
              <w:rPr>
                <w:color w:val="000000"/>
                <w:sz w:val="24"/>
              </w:rPr>
              <w:t>宁德投</w:t>
            </w:r>
          </w:p>
        </w:tc>
        <w:tc>
          <w:tcPr>
            <w:tcW w:w="1394" w:type="dxa"/>
            <w:vAlign w:val="center"/>
          </w:tcPr>
          <w:p w14:paraId="73C32878" w14:textId="77777777" w:rsidR="007C5591" w:rsidRDefault="002665CF">
            <w:pPr>
              <w:jc w:val="right"/>
            </w:pPr>
            <w:r>
              <w:rPr>
                <w:color w:val="000000"/>
                <w:sz w:val="24"/>
              </w:rPr>
              <w:t>200,000</w:t>
            </w:r>
          </w:p>
        </w:tc>
        <w:tc>
          <w:tcPr>
            <w:tcW w:w="1944" w:type="dxa"/>
            <w:vAlign w:val="center"/>
          </w:tcPr>
          <w:p w14:paraId="20F479FC" w14:textId="77777777" w:rsidR="007C5591" w:rsidRDefault="002665CF">
            <w:pPr>
              <w:jc w:val="right"/>
            </w:pPr>
            <w:r>
              <w:rPr>
                <w:color w:val="000000"/>
                <w:sz w:val="24"/>
              </w:rPr>
              <w:t>21,382,000.00</w:t>
            </w:r>
          </w:p>
        </w:tc>
        <w:tc>
          <w:tcPr>
            <w:tcW w:w="1389" w:type="dxa"/>
            <w:vAlign w:val="center"/>
          </w:tcPr>
          <w:p w14:paraId="5DF86BB9" w14:textId="77777777" w:rsidR="007C5591" w:rsidRDefault="002665CF">
            <w:pPr>
              <w:jc w:val="right"/>
            </w:pPr>
            <w:r>
              <w:rPr>
                <w:color w:val="000000"/>
                <w:sz w:val="24"/>
              </w:rPr>
              <w:t>15.33</w:t>
            </w:r>
          </w:p>
        </w:tc>
      </w:tr>
      <w:tr w:rsidR="007C5591" w14:paraId="03CE6986" w14:textId="77777777">
        <w:trPr>
          <w:jc w:val="center"/>
        </w:trPr>
        <w:tc>
          <w:tcPr>
            <w:tcW w:w="1075" w:type="dxa"/>
            <w:vAlign w:val="center"/>
          </w:tcPr>
          <w:p w14:paraId="03022407" w14:textId="77777777" w:rsidR="007C5591" w:rsidRDefault="002665CF">
            <w:pPr>
              <w:jc w:val="center"/>
            </w:pPr>
            <w:r>
              <w:rPr>
                <w:color w:val="000000"/>
                <w:sz w:val="24"/>
              </w:rPr>
              <w:t>2</w:t>
            </w:r>
          </w:p>
        </w:tc>
        <w:tc>
          <w:tcPr>
            <w:tcW w:w="1533" w:type="dxa"/>
            <w:vAlign w:val="center"/>
          </w:tcPr>
          <w:p w14:paraId="042CC6E9" w14:textId="77777777" w:rsidR="007C5591" w:rsidRDefault="002665CF">
            <w:pPr>
              <w:jc w:val="center"/>
            </w:pPr>
            <w:r>
              <w:rPr>
                <w:color w:val="000000"/>
                <w:sz w:val="24"/>
              </w:rPr>
              <w:t>124845</w:t>
            </w:r>
          </w:p>
        </w:tc>
        <w:tc>
          <w:tcPr>
            <w:tcW w:w="1533" w:type="dxa"/>
            <w:vAlign w:val="center"/>
          </w:tcPr>
          <w:p w14:paraId="44D78C1F" w14:textId="77777777" w:rsidR="007C5591" w:rsidRDefault="002665CF">
            <w:pPr>
              <w:jc w:val="center"/>
            </w:pPr>
            <w:r>
              <w:rPr>
                <w:color w:val="000000"/>
                <w:sz w:val="24"/>
              </w:rPr>
              <w:t>14</w:t>
            </w:r>
            <w:r>
              <w:rPr>
                <w:color w:val="000000"/>
                <w:sz w:val="24"/>
              </w:rPr>
              <w:t>晋开发</w:t>
            </w:r>
          </w:p>
        </w:tc>
        <w:tc>
          <w:tcPr>
            <w:tcW w:w="1394" w:type="dxa"/>
            <w:vAlign w:val="center"/>
          </w:tcPr>
          <w:p w14:paraId="1C2769EE" w14:textId="77777777" w:rsidR="007C5591" w:rsidRDefault="002665CF">
            <w:pPr>
              <w:jc w:val="right"/>
            </w:pPr>
            <w:r>
              <w:rPr>
                <w:color w:val="000000"/>
                <w:sz w:val="24"/>
              </w:rPr>
              <w:t>200,000</w:t>
            </w:r>
          </w:p>
        </w:tc>
        <w:tc>
          <w:tcPr>
            <w:tcW w:w="1944" w:type="dxa"/>
            <w:vAlign w:val="center"/>
          </w:tcPr>
          <w:p w14:paraId="2F179080" w14:textId="77777777" w:rsidR="007C5591" w:rsidRDefault="002665CF">
            <w:pPr>
              <w:jc w:val="right"/>
            </w:pPr>
            <w:r>
              <w:rPr>
                <w:color w:val="000000"/>
                <w:sz w:val="24"/>
              </w:rPr>
              <w:t>20,798,000.00</w:t>
            </w:r>
          </w:p>
        </w:tc>
        <w:tc>
          <w:tcPr>
            <w:tcW w:w="1389" w:type="dxa"/>
            <w:vAlign w:val="center"/>
          </w:tcPr>
          <w:p w14:paraId="360F4B74" w14:textId="77777777" w:rsidR="007C5591" w:rsidRDefault="002665CF">
            <w:pPr>
              <w:jc w:val="right"/>
            </w:pPr>
            <w:r>
              <w:rPr>
                <w:color w:val="000000"/>
                <w:sz w:val="24"/>
              </w:rPr>
              <w:t>14.91</w:t>
            </w:r>
          </w:p>
        </w:tc>
      </w:tr>
      <w:tr w:rsidR="007C5591" w14:paraId="410F55EA" w14:textId="77777777">
        <w:trPr>
          <w:jc w:val="center"/>
        </w:trPr>
        <w:tc>
          <w:tcPr>
            <w:tcW w:w="1075" w:type="dxa"/>
            <w:vAlign w:val="center"/>
          </w:tcPr>
          <w:p w14:paraId="20B2FEFE" w14:textId="77777777" w:rsidR="007C5591" w:rsidRDefault="002665CF">
            <w:pPr>
              <w:jc w:val="center"/>
            </w:pPr>
            <w:r>
              <w:rPr>
                <w:color w:val="000000"/>
                <w:sz w:val="24"/>
              </w:rPr>
              <w:t>3</w:t>
            </w:r>
          </w:p>
        </w:tc>
        <w:tc>
          <w:tcPr>
            <w:tcW w:w="1533" w:type="dxa"/>
            <w:vAlign w:val="center"/>
          </w:tcPr>
          <w:p w14:paraId="0DED0A6D" w14:textId="77777777" w:rsidR="007C5591" w:rsidRDefault="002665CF">
            <w:pPr>
              <w:jc w:val="center"/>
            </w:pPr>
            <w:r>
              <w:rPr>
                <w:color w:val="000000"/>
                <w:sz w:val="24"/>
              </w:rPr>
              <w:t>122527</w:t>
            </w:r>
          </w:p>
        </w:tc>
        <w:tc>
          <w:tcPr>
            <w:tcW w:w="1533" w:type="dxa"/>
            <w:vAlign w:val="center"/>
          </w:tcPr>
          <w:p w14:paraId="59B5BB42" w14:textId="77777777" w:rsidR="007C5591" w:rsidRDefault="002665CF">
            <w:pPr>
              <w:jc w:val="center"/>
            </w:pPr>
            <w:r>
              <w:rPr>
                <w:color w:val="000000"/>
                <w:sz w:val="24"/>
              </w:rPr>
              <w:t>12</w:t>
            </w:r>
            <w:r>
              <w:rPr>
                <w:color w:val="000000"/>
                <w:sz w:val="24"/>
              </w:rPr>
              <w:t>温国投</w:t>
            </w:r>
          </w:p>
        </w:tc>
        <w:tc>
          <w:tcPr>
            <w:tcW w:w="1394" w:type="dxa"/>
            <w:vAlign w:val="center"/>
          </w:tcPr>
          <w:p w14:paraId="2BDDADA4" w14:textId="77777777" w:rsidR="007C5591" w:rsidRDefault="002665CF">
            <w:pPr>
              <w:jc w:val="right"/>
            </w:pPr>
            <w:r>
              <w:rPr>
                <w:color w:val="000000"/>
                <w:sz w:val="24"/>
              </w:rPr>
              <w:t>200,000</w:t>
            </w:r>
          </w:p>
        </w:tc>
        <w:tc>
          <w:tcPr>
            <w:tcW w:w="1944" w:type="dxa"/>
            <w:vAlign w:val="center"/>
          </w:tcPr>
          <w:p w14:paraId="725B3E2C" w14:textId="77777777" w:rsidR="007C5591" w:rsidRDefault="002665CF">
            <w:pPr>
              <w:jc w:val="right"/>
            </w:pPr>
            <w:r>
              <w:rPr>
                <w:color w:val="000000"/>
                <w:sz w:val="24"/>
              </w:rPr>
              <w:t>20,660,000.00</w:t>
            </w:r>
          </w:p>
        </w:tc>
        <w:tc>
          <w:tcPr>
            <w:tcW w:w="1389" w:type="dxa"/>
            <w:vAlign w:val="center"/>
          </w:tcPr>
          <w:p w14:paraId="316D16C5" w14:textId="77777777" w:rsidR="007C5591" w:rsidRDefault="002665CF">
            <w:pPr>
              <w:jc w:val="right"/>
            </w:pPr>
            <w:r>
              <w:rPr>
                <w:color w:val="000000"/>
                <w:sz w:val="24"/>
              </w:rPr>
              <w:t>14.82</w:t>
            </w:r>
          </w:p>
        </w:tc>
      </w:tr>
      <w:tr w:rsidR="007C5591" w14:paraId="77EC2271" w14:textId="77777777">
        <w:trPr>
          <w:jc w:val="center"/>
        </w:trPr>
        <w:tc>
          <w:tcPr>
            <w:tcW w:w="1075" w:type="dxa"/>
            <w:vAlign w:val="center"/>
          </w:tcPr>
          <w:p w14:paraId="045FBD64" w14:textId="77777777" w:rsidR="007C5591" w:rsidRDefault="002665CF">
            <w:pPr>
              <w:jc w:val="center"/>
            </w:pPr>
            <w:r>
              <w:rPr>
                <w:color w:val="000000"/>
                <w:sz w:val="24"/>
              </w:rPr>
              <w:t>4</w:t>
            </w:r>
          </w:p>
        </w:tc>
        <w:tc>
          <w:tcPr>
            <w:tcW w:w="1533" w:type="dxa"/>
            <w:vAlign w:val="center"/>
          </w:tcPr>
          <w:p w14:paraId="67F14E76" w14:textId="77777777" w:rsidR="007C5591" w:rsidRDefault="002665CF">
            <w:pPr>
              <w:jc w:val="center"/>
            </w:pPr>
            <w:r>
              <w:rPr>
                <w:color w:val="000000"/>
                <w:sz w:val="24"/>
              </w:rPr>
              <w:t>124711</w:t>
            </w:r>
          </w:p>
        </w:tc>
        <w:tc>
          <w:tcPr>
            <w:tcW w:w="1533" w:type="dxa"/>
            <w:vAlign w:val="center"/>
          </w:tcPr>
          <w:p w14:paraId="2F5BFA5B" w14:textId="77777777" w:rsidR="007C5591" w:rsidRDefault="002665CF">
            <w:pPr>
              <w:jc w:val="center"/>
            </w:pPr>
            <w:r>
              <w:rPr>
                <w:color w:val="000000"/>
                <w:sz w:val="24"/>
              </w:rPr>
              <w:t>14</w:t>
            </w:r>
            <w:r>
              <w:rPr>
                <w:color w:val="000000"/>
                <w:sz w:val="24"/>
              </w:rPr>
              <w:t>象山债</w:t>
            </w:r>
          </w:p>
        </w:tc>
        <w:tc>
          <w:tcPr>
            <w:tcW w:w="1394" w:type="dxa"/>
            <w:vAlign w:val="center"/>
          </w:tcPr>
          <w:p w14:paraId="76A047B4" w14:textId="77777777" w:rsidR="007C5591" w:rsidRDefault="002665CF">
            <w:pPr>
              <w:jc w:val="right"/>
            </w:pPr>
            <w:r>
              <w:rPr>
                <w:color w:val="000000"/>
                <w:sz w:val="24"/>
              </w:rPr>
              <w:t>200,000</w:t>
            </w:r>
          </w:p>
        </w:tc>
        <w:tc>
          <w:tcPr>
            <w:tcW w:w="1944" w:type="dxa"/>
            <w:vAlign w:val="center"/>
          </w:tcPr>
          <w:p w14:paraId="7DEBABA3" w14:textId="77777777" w:rsidR="007C5591" w:rsidRDefault="002665CF">
            <w:pPr>
              <w:jc w:val="right"/>
            </w:pPr>
            <w:r>
              <w:rPr>
                <w:color w:val="000000"/>
                <w:sz w:val="24"/>
              </w:rPr>
              <w:t>20,608,000.00</w:t>
            </w:r>
          </w:p>
        </w:tc>
        <w:tc>
          <w:tcPr>
            <w:tcW w:w="1389" w:type="dxa"/>
            <w:vAlign w:val="center"/>
          </w:tcPr>
          <w:p w14:paraId="5524981B" w14:textId="77777777" w:rsidR="007C5591" w:rsidRDefault="002665CF">
            <w:pPr>
              <w:jc w:val="right"/>
            </w:pPr>
            <w:r>
              <w:rPr>
                <w:color w:val="000000"/>
                <w:sz w:val="24"/>
              </w:rPr>
              <w:t>14.78</w:t>
            </w:r>
          </w:p>
        </w:tc>
      </w:tr>
      <w:tr w:rsidR="007C5591" w14:paraId="4B2C96EA" w14:textId="77777777">
        <w:trPr>
          <w:jc w:val="center"/>
        </w:trPr>
        <w:tc>
          <w:tcPr>
            <w:tcW w:w="1075" w:type="dxa"/>
            <w:vAlign w:val="center"/>
          </w:tcPr>
          <w:p w14:paraId="38F232B3" w14:textId="77777777" w:rsidR="007C5591" w:rsidRDefault="002665CF">
            <w:pPr>
              <w:jc w:val="center"/>
            </w:pPr>
            <w:r>
              <w:rPr>
                <w:color w:val="000000"/>
                <w:sz w:val="24"/>
              </w:rPr>
              <w:t>5</w:t>
            </w:r>
          </w:p>
        </w:tc>
        <w:tc>
          <w:tcPr>
            <w:tcW w:w="1533" w:type="dxa"/>
            <w:vAlign w:val="center"/>
          </w:tcPr>
          <w:p w14:paraId="3E8FDB5D" w14:textId="77777777" w:rsidR="007C5591" w:rsidRDefault="002665CF">
            <w:pPr>
              <w:jc w:val="center"/>
            </w:pPr>
            <w:r>
              <w:rPr>
                <w:color w:val="000000"/>
                <w:sz w:val="24"/>
              </w:rPr>
              <w:t>124027</w:t>
            </w:r>
          </w:p>
        </w:tc>
        <w:tc>
          <w:tcPr>
            <w:tcW w:w="1533" w:type="dxa"/>
            <w:vAlign w:val="center"/>
          </w:tcPr>
          <w:p w14:paraId="2FDF4C90" w14:textId="77777777" w:rsidR="007C5591" w:rsidRDefault="002665CF">
            <w:pPr>
              <w:jc w:val="center"/>
            </w:pPr>
            <w:r>
              <w:rPr>
                <w:color w:val="000000"/>
                <w:sz w:val="24"/>
              </w:rPr>
              <w:t>12</w:t>
            </w:r>
            <w:r>
              <w:rPr>
                <w:color w:val="000000"/>
                <w:sz w:val="24"/>
              </w:rPr>
              <w:t>瑞国投</w:t>
            </w:r>
          </w:p>
        </w:tc>
        <w:tc>
          <w:tcPr>
            <w:tcW w:w="1394" w:type="dxa"/>
            <w:vAlign w:val="center"/>
          </w:tcPr>
          <w:p w14:paraId="2488F89F" w14:textId="77777777" w:rsidR="007C5591" w:rsidRDefault="002665CF">
            <w:pPr>
              <w:jc w:val="right"/>
            </w:pPr>
            <w:r>
              <w:rPr>
                <w:color w:val="000000"/>
                <w:sz w:val="24"/>
              </w:rPr>
              <w:t>200,000</w:t>
            </w:r>
          </w:p>
        </w:tc>
        <w:tc>
          <w:tcPr>
            <w:tcW w:w="1944" w:type="dxa"/>
            <w:vAlign w:val="center"/>
          </w:tcPr>
          <w:p w14:paraId="35B6AA1A" w14:textId="77777777" w:rsidR="007C5591" w:rsidRDefault="002665CF">
            <w:pPr>
              <w:jc w:val="right"/>
            </w:pPr>
            <w:r>
              <w:rPr>
                <w:color w:val="000000"/>
                <w:sz w:val="24"/>
              </w:rPr>
              <w:t>20,502,000.00</w:t>
            </w:r>
          </w:p>
        </w:tc>
        <w:tc>
          <w:tcPr>
            <w:tcW w:w="1389" w:type="dxa"/>
            <w:vAlign w:val="center"/>
          </w:tcPr>
          <w:p w14:paraId="3BA88615" w14:textId="77777777" w:rsidR="007C5591" w:rsidRDefault="002665CF">
            <w:pPr>
              <w:jc w:val="right"/>
            </w:pPr>
            <w:r>
              <w:rPr>
                <w:color w:val="000000"/>
                <w:sz w:val="24"/>
              </w:rPr>
              <w:t>14.70</w:t>
            </w:r>
          </w:p>
        </w:tc>
      </w:tr>
    </w:tbl>
    <w:p w14:paraId="08A66D32"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73B7D70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14:paraId="6EC011E9" w14:textId="77777777"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14:paraId="597BFBAC"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0472E236"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14:paraId="465CD43C" w14:textId="77777777"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14:paraId="7246D87C"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14:paraId="22EC1352" w14:textId="77777777"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14:paraId="55ADF772" w14:textId="77777777"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14:paraId="0DFAB545" w14:textId="77777777"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14:paraId="6608DE46" w14:textId="77777777"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14:paraId="7D4404D5" w14:textId="77777777"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14:paraId="357A64AD" w14:textId="77777777" w:rsidR="001D5CD0" w:rsidRPr="007F52FA" w:rsidRDefault="001D5CD0" w:rsidP="007C14DF">
      <w:pPr>
        <w:autoSpaceDE w:val="0"/>
        <w:autoSpaceDN w:val="0"/>
        <w:adjustRightInd w:val="0"/>
        <w:spacing w:before="29" w:line="288" w:lineRule="auto"/>
        <w:jc w:val="left"/>
        <w:rPr>
          <w:b/>
          <w:sz w:val="24"/>
        </w:rPr>
      </w:pPr>
    </w:p>
    <w:p w14:paraId="33752015" w14:textId="77777777"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14:paraId="2F5C9A4D"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14:paraId="0E983931" w14:textId="77777777" w:rsidR="00DB56EC" w:rsidRPr="007F52FA" w:rsidRDefault="00DB56EC" w:rsidP="007C14DF">
      <w:pPr>
        <w:autoSpaceDE w:val="0"/>
        <w:autoSpaceDN w:val="0"/>
        <w:adjustRightInd w:val="0"/>
        <w:spacing w:before="29" w:line="288" w:lineRule="auto"/>
        <w:jc w:val="left"/>
        <w:rPr>
          <w:rFonts w:eastAsiaTheme="minorEastAsia"/>
          <w:sz w:val="24"/>
        </w:rPr>
      </w:pPr>
    </w:p>
    <w:p w14:paraId="00D6CFA4" w14:textId="77777777"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14:paraId="4BE87AF4"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13</w:t>
      </w:r>
      <w:r w:rsidRPr="00384E65">
        <w:rPr>
          <w:kern w:val="0"/>
          <w:sz w:val="24"/>
        </w:rPr>
        <w:t>中信</w:t>
      </w:r>
      <w:r w:rsidRPr="00384E65">
        <w:rPr>
          <w:kern w:val="0"/>
          <w:sz w:val="24"/>
        </w:rPr>
        <w:t>01</w:t>
      </w:r>
      <w:r w:rsidRPr="00384E65">
        <w:rPr>
          <w:kern w:val="0"/>
          <w:sz w:val="24"/>
        </w:rPr>
        <w:t>（证券代码：</w:t>
      </w:r>
      <w:r w:rsidRPr="00384E65">
        <w:rPr>
          <w:kern w:val="0"/>
          <w:sz w:val="24"/>
        </w:rPr>
        <w:t>122259</w:t>
      </w:r>
      <w:r w:rsidRPr="00384E65">
        <w:rPr>
          <w:kern w:val="0"/>
          <w:sz w:val="24"/>
        </w:rPr>
        <w:t>）、</w:t>
      </w:r>
      <w:r w:rsidRPr="00384E65">
        <w:rPr>
          <w:kern w:val="0"/>
          <w:sz w:val="24"/>
        </w:rPr>
        <w:t>13</w:t>
      </w:r>
      <w:r w:rsidRPr="00384E65">
        <w:rPr>
          <w:kern w:val="0"/>
          <w:sz w:val="24"/>
        </w:rPr>
        <w:t>海通</w:t>
      </w:r>
      <w:r w:rsidRPr="00384E65">
        <w:rPr>
          <w:kern w:val="0"/>
          <w:sz w:val="24"/>
        </w:rPr>
        <w:t>04</w:t>
      </w:r>
      <w:r w:rsidRPr="00384E65">
        <w:rPr>
          <w:kern w:val="0"/>
          <w:sz w:val="24"/>
        </w:rPr>
        <w:t>（证券代码：</w:t>
      </w:r>
      <w:r w:rsidRPr="00384E65">
        <w:rPr>
          <w:kern w:val="0"/>
          <w:sz w:val="24"/>
        </w:rPr>
        <w:t>122311</w:t>
      </w:r>
      <w:r w:rsidRPr="00384E65">
        <w:rPr>
          <w:kern w:val="0"/>
          <w:sz w:val="24"/>
        </w:rPr>
        <w:t>）外，未出现被监管部门立案调查，或在报告编制日前一年内受到公开谴责、处罚的情形。</w:t>
      </w:r>
    </w:p>
    <w:p w14:paraId="30C1BB35" w14:textId="77777777" w:rsidR="007C5591" w:rsidRDefault="002665CF">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13</w:t>
      </w:r>
      <w:r>
        <w:rPr>
          <w:kern w:val="0"/>
          <w:sz w:val="24"/>
        </w:rPr>
        <w:t>中信</w:t>
      </w:r>
      <w:r>
        <w:rPr>
          <w:kern w:val="0"/>
          <w:sz w:val="24"/>
        </w:rPr>
        <w:t>01</w:t>
      </w:r>
      <w:r>
        <w:rPr>
          <w:kern w:val="0"/>
          <w:sz w:val="24"/>
        </w:rPr>
        <w:t>（证券代码：</w:t>
      </w:r>
      <w:r>
        <w:rPr>
          <w:kern w:val="0"/>
          <w:sz w:val="24"/>
        </w:rPr>
        <w:t>122259</w:t>
      </w:r>
      <w:r>
        <w:rPr>
          <w:kern w:val="0"/>
          <w:sz w:val="24"/>
        </w:rPr>
        <w:t>）的发行主体中信证券于</w:t>
      </w:r>
      <w:r>
        <w:rPr>
          <w:kern w:val="0"/>
          <w:sz w:val="24"/>
        </w:rPr>
        <w:t>2015</w:t>
      </w:r>
      <w:r>
        <w:rPr>
          <w:kern w:val="0"/>
          <w:sz w:val="24"/>
        </w:rPr>
        <w:t>年</w:t>
      </w:r>
      <w:r>
        <w:rPr>
          <w:kern w:val="0"/>
          <w:sz w:val="24"/>
        </w:rPr>
        <w:t>1</w:t>
      </w:r>
      <w:r>
        <w:rPr>
          <w:kern w:val="0"/>
          <w:sz w:val="24"/>
        </w:rPr>
        <w:t>月</w:t>
      </w:r>
      <w:r>
        <w:rPr>
          <w:kern w:val="0"/>
          <w:sz w:val="24"/>
        </w:rPr>
        <w:t>18</w:t>
      </w:r>
      <w:r>
        <w:rPr>
          <w:kern w:val="0"/>
          <w:sz w:val="24"/>
        </w:rPr>
        <w:t>日公告称，公司因存在为到期融资融券合约展期的问题，被中国证监会采取暂停新开融资融券客户信用账户</w:t>
      </w:r>
      <w:r>
        <w:rPr>
          <w:kern w:val="0"/>
          <w:sz w:val="24"/>
        </w:rPr>
        <w:t>3</w:t>
      </w:r>
      <w:r>
        <w:rPr>
          <w:kern w:val="0"/>
          <w:sz w:val="24"/>
        </w:rPr>
        <w:t>个月的行政监管措施。</w:t>
      </w:r>
    </w:p>
    <w:p w14:paraId="1337BA05" w14:textId="77777777" w:rsidR="007C5591" w:rsidRDefault="002665CF">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13</w:t>
      </w:r>
      <w:r>
        <w:rPr>
          <w:kern w:val="0"/>
          <w:sz w:val="24"/>
        </w:rPr>
        <w:t>海通</w:t>
      </w:r>
      <w:r>
        <w:rPr>
          <w:kern w:val="0"/>
          <w:sz w:val="24"/>
        </w:rPr>
        <w:t>04</w:t>
      </w:r>
      <w:r>
        <w:rPr>
          <w:kern w:val="0"/>
          <w:sz w:val="24"/>
        </w:rPr>
        <w:t>（证券代码：</w:t>
      </w:r>
      <w:r>
        <w:rPr>
          <w:kern w:val="0"/>
          <w:sz w:val="24"/>
        </w:rPr>
        <w:t>122311</w:t>
      </w:r>
      <w:r>
        <w:rPr>
          <w:kern w:val="0"/>
          <w:sz w:val="24"/>
        </w:rPr>
        <w:t>）的发行主体海通证券于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日公告称，公司因存在违规为到期融资融券合约展期问题，被中国证监会采取暂停新开融资融券客户信用账户</w:t>
      </w:r>
      <w:r>
        <w:rPr>
          <w:kern w:val="0"/>
          <w:sz w:val="24"/>
        </w:rPr>
        <w:t>3</w:t>
      </w:r>
      <w:r>
        <w:rPr>
          <w:kern w:val="0"/>
          <w:sz w:val="24"/>
        </w:rPr>
        <w:t>个月的行政监管措施。</w:t>
      </w:r>
    </w:p>
    <w:p w14:paraId="5BE81C85" w14:textId="77777777" w:rsidR="007C5591" w:rsidRDefault="002665CF">
      <w:pPr>
        <w:autoSpaceDE w:val="0"/>
        <w:autoSpaceDN w:val="0"/>
        <w:adjustRightInd w:val="0"/>
        <w:spacing w:before="29" w:line="288" w:lineRule="auto"/>
        <w:rPr>
          <w:kern w:val="0"/>
          <w:sz w:val="24"/>
        </w:rPr>
      </w:pPr>
      <w:r>
        <w:rPr>
          <w:kern w:val="0"/>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14:paraId="729AF7D3"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14:paraId="3E224DDE" w14:textId="77777777"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14:paraId="3C2C7CA8" w14:textId="77777777" w:rsidTr="006C3EE0">
        <w:trPr>
          <w:trHeight w:val="499"/>
          <w:jc w:val="center"/>
        </w:trPr>
        <w:tc>
          <w:tcPr>
            <w:tcW w:w="1260" w:type="dxa"/>
            <w:vAlign w:val="center"/>
          </w:tcPr>
          <w:p w14:paraId="45120CFF"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14:paraId="60897A30"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14:paraId="15215E54"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14:paraId="50991C6D" w14:textId="77777777" w:rsidTr="006C3EE0">
        <w:trPr>
          <w:trHeight w:val="516"/>
          <w:jc w:val="center"/>
        </w:trPr>
        <w:tc>
          <w:tcPr>
            <w:tcW w:w="1260" w:type="dxa"/>
            <w:vAlign w:val="center"/>
          </w:tcPr>
          <w:p w14:paraId="11B6FF18" w14:textId="77777777"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14:paraId="3464E8D4"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14:paraId="1E44CDD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6,856.82</w:t>
            </w:r>
          </w:p>
        </w:tc>
      </w:tr>
      <w:tr w:rsidR="001D5CD0" w:rsidRPr="007F52FA" w14:paraId="0B1D3714" w14:textId="77777777" w:rsidTr="006C3EE0">
        <w:trPr>
          <w:trHeight w:val="531"/>
          <w:jc w:val="center"/>
        </w:trPr>
        <w:tc>
          <w:tcPr>
            <w:tcW w:w="1260" w:type="dxa"/>
            <w:vAlign w:val="center"/>
          </w:tcPr>
          <w:p w14:paraId="1CE45658"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14:paraId="7ED13226"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14:paraId="3A7DE73F"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9,490,225.23</w:t>
            </w:r>
          </w:p>
        </w:tc>
      </w:tr>
      <w:tr w:rsidR="001D5CD0" w:rsidRPr="007F52FA" w14:paraId="6F5D060F" w14:textId="77777777" w:rsidTr="006C3EE0">
        <w:trPr>
          <w:trHeight w:val="516"/>
          <w:jc w:val="center"/>
        </w:trPr>
        <w:tc>
          <w:tcPr>
            <w:tcW w:w="1260" w:type="dxa"/>
            <w:vAlign w:val="center"/>
          </w:tcPr>
          <w:p w14:paraId="7AD6AFE9"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14:paraId="19277FF3"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14:paraId="1B643BF6"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319D538F" w14:textId="77777777" w:rsidTr="006C3EE0">
        <w:trPr>
          <w:trHeight w:val="516"/>
          <w:jc w:val="center"/>
        </w:trPr>
        <w:tc>
          <w:tcPr>
            <w:tcW w:w="1260" w:type="dxa"/>
            <w:vAlign w:val="center"/>
          </w:tcPr>
          <w:p w14:paraId="5EBE6868"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14:paraId="49B83A7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14:paraId="3BA7DB8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7,753,740.49</w:t>
            </w:r>
          </w:p>
        </w:tc>
      </w:tr>
      <w:tr w:rsidR="001D5CD0" w:rsidRPr="007F52FA" w14:paraId="6AB40C83" w14:textId="77777777" w:rsidTr="006C3EE0">
        <w:trPr>
          <w:trHeight w:val="499"/>
          <w:jc w:val="center"/>
        </w:trPr>
        <w:tc>
          <w:tcPr>
            <w:tcW w:w="1260" w:type="dxa"/>
            <w:vAlign w:val="center"/>
          </w:tcPr>
          <w:p w14:paraId="7B9B7168"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14:paraId="155AA88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14:paraId="520025B9"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210,428.11</w:t>
            </w:r>
          </w:p>
        </w:tc>
      </w:tr>
      <w:tr w:rsidR="001D5CD0" w:rsidRPr="007F52FA" w14:paraId="3F6B8144" w14:textId="77777777" w:rsidTr="006C3EE0">
        <w:trPr>
          <w:trHeight w:val="516"/>
          <w:jc w:val="center"/>
        </w:trPr>
        <w:tc>
          <w:tcPr>
            <w:tcW w:w="1260" w:type="dxa"/>
            <w:vAlign w:val="center"/>
          </w:tcPr>
          <w:p w14:paraId="1850E36C"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14:paraId="723153F0"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14:paraId="696E16BF"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1079B67F" w14:textId="77777777" w:rsidTr="006C3EE0">
        <w:trPr>
          <w:trHeight w:val="516"/>
          <w:jc w:val="center"/>
        </w:trPr>
        <w:tc>
          <w:tcPr>
            <w:tcW w:w="1260" w:type="dxa"/>
            <w:vAlign w:val="center"/>
          </w:tcPr>
          <w:p w14:paraId="1A4AEC6A"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14:paraId="475C68C3" w14:textId="77777777"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14:paraId="3F2BDAE7" w14:textId="77777777"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14:paraId="3703F8D0" w14:textId="77777777" w:rsidTr="006C3EE0">
        <w:trPr>
          <w:trHeight w:val="499"/>
          <w:jc w:val="center"/>
        </w:trPr>
        <w:tc>
          <w:tcPr>
            <w:tcW w:w="1260" w:type="dxa"/>
            <w:vAlign w:val="center"/>
          </w:tcPr>
          <w:p w14:paraId="285AF32A"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14:paraId="442F619B"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14:paraId="68C05EDB"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21ECD111" w14:textId="77777777" w:rsidTr="006C3EE0">
        <w:trPr>
          <w:trHeight w:val="531"/>
          <w:jc w:val="center"/>
        </w:trPr>
        <w:tc>
          <w:tcPr>
            <w:tcW w:w="1260" w:type="dxa"/>
            <w:vAlign w:val="center"/>
          </w:tcPr>
          <w:p w14:paraId="2E6D03B4"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14:paraId="2733D673"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14:paraId="0AB6CD40"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17,461,250.65</w:t>
            </w:r>
          </w:p>
        </w:tc>
      </w:tr>
    </w:tbl>
    <w:p w14:paraId="151D313A" w14:textId="77777777" w:rsidR="001D5CD0" w:rsidRPr="007F52FA" w:rsidRDefault="001D5CD0" w:rsidP="007C14DF">
      <w:pPr>
        <w:autoSpaceDE w:val="0"/>
        <w:autoSpaceDN w:val="0"/>
        <w:adjustRightInd w:val="0"/>
        <w:spacing w:before="29" w:line="288" w:lineRule="auto"/>
        <w:jc w:val="left"/>
        <w:rPr>
          <w:sz w:val="24"/>
        </w:rPr>
      </w:pPr>
    </w:p>
    <w:p w14:paraId="1BF62C74" w14:textId="77777777"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14:paraId="4E142253"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14:paraId="7575AF3A" w14:textId="77777777" w:rsidR="001D5CD0" w:rsidRPr="007F52FA" w:rsidRDefault="001D5CD0" w:rsidP="007C14DF">
      <w:pPr>
        <w:autoSpaceDE w:val="0"/>
        <w:autoSpaceDN w:val="0"/>
        <w:adjustRightInd w:val="0"/>
        <w:spacing w:before="29" w:line="288" w:lineRule="auto"/>
        <w:jc w:val="left"/>
        <w:rPr>
          <w:rFonts w:eastAsiaTheme="minorEastAsia"/>
          <w:sz w:val="24"/>
        </w:rPr>
      </w:pPr>
    </w:p>
    <w:p w14:paraId="3ED0458C" w14:textId="77777777"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14:paraId="5708E0E7"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14:paraId="0AA8DDFB" w14:textId="77777777" w:rsidR="001D5CD0" w:rsidRPr="007F52FA" w:rsidRDefault="001D5CD0" w:rsidP="007C14DF">
      <w:pPr>
        <w:spacing w:before="29" w:line="288" w:lineRule="auto"/>
        <w:rPr>
          <w:rFonts w:eastAsiaTheme="minorEastAsia"/>
          <w:sz w:val="24"/>
        </w:rPr>
      </w:pPr>
    </w:p>
    <w:p w14:paraId="0B58946B" w14:textId="77777777"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14:paraId="6042831E" w14:textId="77777777"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72AD0337" w14:textId="77777777" w:rsidR="00EB27DE" w:rsidRPr="007F52FA" w:rsidRDefault="00EB27DE" w:rsidP="007C14DF">
      <w:pPr>
        <w:spacing w:before="29" w:line="288" w:lineRule="auto"/>
        <w:rPr>
          <w:rFonts w:eastAsiaTheme="minorEastAsia"/>
          <w:color w:val="000000"/>
          <w:sz w:val="24"/>
        </w:rPr>
      </w:pPr>
    </w:p>
    <w:p w14:paraId="726155B4" w14:textId="77777777" w:rsidR="009238DB" w:rsidRPr="007F52FA" w:rsidRDefault="009238DB" w:rsidP="002665C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14:paraId="1B21DCFE" w14:textId="77777777"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14:paraId="1C57E89F"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7D27C6D3" w14:textId="77777777"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7A038296"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14:paraId="73B5B118"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14:paraId="67095198"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7383DBD3"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495131B"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129,725,123.09</w:t>
            </w:r>
          </w:p>
        </w:tc>
        <w:tc>
          <w:tcPr>
            <w:tcW w:w="2367" w:type="dxa"/>
            <w:tcBorders>
              <w:top w:val="single" w:sz="8" w:space="0" w:color="000000"/>
              <w:left w:val="single" w:sz="8" w:space="0" w:color="000000"/>
              <w:bottom w:val="single" w:sz="8" w:space="0" w:color="000000"/>
              <w:right w:val="single" w:sz="8" w:space="0" w:color="000000"/>
            </w:tcBorders>
            <w:vAlign w:val="center"/>
          </w:tcPr>
          <w:p w14:paraId="060ACA8E"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32,293,078.65</w:t>
            </w:r>
          </w:p>
        </w:tc>
      </w:tr>
      <w:tr w:rsidR="00936D40" w:rsidRPr="007F52FA" w14:paraId="374A0161"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6B8C3445" w14:textId="77777777"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CBE2529"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2,421,665.78</w:t>
            </w:r>
          </w:p>
        </w:tc>
        <w:tc>
          <w:tcPr>
            <w:tcW w:w="2367" w:type="dxa"/>
            <w:tcBorders>
              <w:top w:val="single" w:sz="8" w:space="0" w:color="000000"/>
              <w:left w:val="single" w:sz="8" w:space="0" w:color="000000"/>
              <w:bottom w:val="single" w:sz="8" w:space="0" w:color="000000"/>
              <w:right w:val="single" w:sz="8" w:space="0" w:color="000000"/>
            </w:tcBorders>
            <w:vAlign w:val="center"/>
          </w:tcPr>
          <w:p w14:paraId="25A49DE4"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94,201,518.77</w:t>
            </w:r>
          </w:p>
        </w:tc>
      </w:tr>
      <w:tr w:rsidR="00936D40" w:rsidRPr="007F52FA" w14:paraId="631F4BC9"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2D23C001"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F89B111"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6,297,292.02</w:t>
            </w:r>
          </w:p>
        </w:tc>
        <w:tc>
          <w:tcPr>
            <w:tcW w:w="2367" w:type="dxa"/>
            <w:tcBorders>
              <w:top w:val="single" w:sz="8" w:space="0" w:color="000000"/>
              <w:left w:val="single" w:sz="8" w:space="0" w:color="000000"/>
              <w:bottom w:val="single" w:sz="8" w:space="0" w:color="000000"/>
              <w:right w:val="single" w:sz="8" w:space="0" w:color="000000"/>
            </w:tcBorders>
            <w:vAlign w:val="center"/>
          </w:tcPr>
          <w:p w14:paraId="705AB6A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121,274,103.95</w:t>
            </w:r>
          </w:p>
        </w:tc>
      </w:tr>
      <w:tr w:rsidR="00936D40" w:rsidRPr="007F52FA" w14:paraId="0C61BE54"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42AB53BB" w14:textId="77777777"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14:paraId="41B8147C"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4DF6B3E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14:paraId="64FFEDD8"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1CCF6293"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B0574D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125,849,496.85</w:t>
            </w:r>
          </w:p>
        </w:tc>
        <w:tc>
          <w:tcPr>
            <w:tcW w:w="2367" w:type="dxa"/>
            <w:tcBorders>
              <w:top w:val="single" w:sz="8" w:space="0" w:color="000000"/>
              <w:left w:val="single" w:sz="8" w:space="0" w:color="000000"/>
              <w:bottom w:val="single" w:sz="8" w:space="0" w:color="000000"/>
              <w:right w:val="single" w:sz="8" w:space="0" w:color="000000"/>
            </w:tcBorders>
            <w:vAlign w:val="center"/>
          </w:tcPr>
          <w:p w14:paraId="7B61762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5,220,493.47</w:t>
            </w:r>
          </w:p>
        </w:tc>
      </w:tr>
    </w:tbl>
    <w:p w14:paraId="49547293" w14:textId="77777777" w:rsidR="007C5591" w:rsidRDefault="002665C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14:paraId="47BC5BF3" w14:textId="77777777"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14:paraId="20205E5C" w14:textId="77777777" w:rsidR="00426568" w:rsidRDefault="00426568" w:rsidP="007C14DF">
      <w:pPr>
        <w:autoSpaceDE w:val="0"/>
        <w:autoSpaceDN w:val="0"/>
        <w:adjustRightInd w:val="0"/>
        <w:spacing w:before="29" w:line="288" w:lineRule="auto"/>
        <w:jc w:val="left"/>
        <w:rPr>
          <w:rFonts w:eastAsiaTheme="minorEastAsia"/>
          <w:color w:val="000000"/>
          <w:sz w:val="24"/>
        </w:rPr>
      </w:pPr>
    </w:p>
    <w:p w14:paraId="14D0A42D" w14:textId="77777777" w:rsidR="000673DA" w:rsidRPr="000673DA" w:rsidRDefault="000673DA" w:rsidP="002665CF">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14:paraId="23370108" w14:textId="77777777"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14:paraId="102F499B" w14:textId="77777777"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14:paraId="4E6C9ECC"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01276D8B" w14:textId="77777777" w:rsidR="00AE55CC" w:rsidRPr="00AE55CC" w:rsidRDefault="00AE55CC" w:rsidP="00175A82">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60A223BE" w14:textId="77777777"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14:paraId="47421D58" w14:textId="77777777"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14:paraId="23F00DBC"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3814CC2E" w14:textId="77777777" w:rsidR="00AE55CC" w:rsidRPr="00AE55CC" w:rsidRDefault="00AE55CC"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0E9D2E9" w14:textId="77777777" w:rsidR="00AE55CC" w:rsidRPr="00AE55CC" w:rsidRDefault="00AE55CC" w:rsidP="00175A82">
            <w:pPr>
              <w:jc w:val="right"/>
              <w:rPr>
                <w:sz w:val="24"/>
              </w:rPr>
            </w:pPr>
            <w:r w:rsidRPr="00AE55CC">
              <w:rPr>
                <w:color w:val="000000"/>
                <w:sz w:val="24"/>
              </w:rPr>
              <w:t>10,308,519.63</w:t>
            </w:r>
          </w:p>
        </w:tc>
        <w:tc>
          <w:tcPr>
            <w:tcW w:w="2693" w:type="dxa"/>
            <w:tcBorders>
              <w:top w:val="single" w:sz="8" w:space="0" w:color="000000"/>
              <w:left w:val="single" w:sz="8" w:space="0" w:color="000000"/>
              <w:bottom w:val="single" w:sz="8" w:space="0" w:color="000000"/>
              <w:right w:val="single" w:sz="8" w:space="0" w:color="000000"/>
            </w:tcBorders>
            <w:vAlign w:val="center"/>
          </w:tcPr>
          <w:p w14:paraId="754CF215" w14:textId="77777777" w:rsidR="00AE55CC" w:rsidRPr="00AE55CC" w:rsidRDefault="00AE55CC" w:rsidP="00175A82">
            <w:pPr>
              <w:jc w:val="right"/>
              <w:rPr>
                <w:sz w:val="24"/>
              </w:rPr>
            </w:pPr>
            <w:r w:rsidRPr="00AE55CC">
              <w:rPr>
                <w:color w:val="000000"/>
                <w:sz w:val="24"/>
              </w:rPr>
              <w:t>-</w:t>
            </w:r>
          </w:p>
        </w:tc>
      </w:tr>
      <w:tr w:rsidR="00AE55CC" w:rsidRPr="00AE55CC" w14:paraId="3484B077"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4B4BB3BF" w14:textId="77777777"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23B870C" w14:textId="77777777" w:rsidR="00AE55CC" w:rsidRPr="00AE55CC" w:rsidRDefault="00AE55CC" w:rsidP="00175A82">
            <w:pPr>
              <w:jc w:val="right"/>
              <w:rPr>
                <w:color w:val="000000"/>
                <w:kern w:val="0"/>
                <w:sz w:val="24"/>
              </w:rPr>
            </w:pPr>
            <w:r w:rsidRPr="00AE55CC">
              <w:rPr>
                <w:color w:val="000000"/>
                <w:sz w:val="24"/>
              </w:rPr>
              <w:t>196,352.75</w:t>
            </w:r>
          </w:p>
        </w:tc>
        <w:tc>
          <w:tcPr>
            <w:tcW w:w="2693" w:type="dxa"/>
            <w:tcBorders>
              <w:top w:val="single" w:sz="8" w:space="0" w:color="000000"/>
              <w:left w:val="single" w:sz="8" w:space="0" w:color="000000"/>
              <w:bottom w:val="single" w:sz="8" w:space="0" w:color="000000"/>
              <w:right w:val="single" w:sz="8" w:space="0" w:color="000000"/>
            </w:tcBorders>
            <w:vAlign w:val="center"/>
          </w:tcPr>
          <w:p w14:paraId="30B896FA" w14:textId="77777777" w:rsidR="00AE55CC" w:rsidRPr="00AE55CC" w:rsidRDefault="00AE55CC" w:rsidP="00175A82">
            <w:pPr>
              <w:jc w:val="right"/>
              <w:rPr>
                <w:color w:val="000000"/>
                <w:kern w:val="0"/>
                <w:sz w:val="24"/>
              </w:rPr>
            </w:pPr>
            <w:r w:rsidRPr="00AE55CC">
              <w:rPr>
                <w:color w:val="000000"/>
                <w:sz w:val="24"/>
              </w:rPr>
              <w:t>-</w:t>
            </w:r>
          </w:p>
        </w:tc>
      </w:tr>
      <w:tr w:rsidR="00AE55CC" w:rsidRPr="00AE55CC" w14:paraId="0253FBF9"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61728F2F" w14:textId="77777777"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2EBE2A2" w14:textId="77777777" w:rsidR="00AE55CC" w:rsidRPr="00AE55CC" w:rsidRDefault="00AE55CC" w:rsidP="00175A82">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E620B30" w14:textId="77777777" w:rsidR="00AE55CC" w:rsidRPr="00AE55CC" w:rsidRDefault="00AE55CC" w:rsidP="00175A82">
            <w:pPr>
              <w:jc w:val="right"/>
              <w:rPr>
                <w:color w:val="000000"/>
                <w:kern w:val="0"/>
                <w:sz w:val="24"/>
              </w:rPr>
            </w:pPr>
            <w:r w:rsidRPr="00AE55CC">
              <w:rPr>
                <w:color w:val="000000"/>
                <w:sz w:val="24"/>
              </w:rPr>
              <w:t>-</w:t>
            </w:r>
          </w:p>
        </w:tc>
      </w:tr>
      <w:tr w:rsidR="00AE55CC" w:rsidRPr="00AE55CC" w14:paraId="71693ABB"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6AF6272B" w14:textId="77777777" w:rsidR="00AE55CC" w:rsidRPr="00AE55CC" w:rsidRDefault="00AE55CC" w:rsidP="00175A82">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04980CF" w14:textId="77777777" w:rsidR="00AE55CC" w:rsidRPr="00AE55CC" w:rsidRDefault="00AE55CC" w:rsidP="00175A82">
            <w:pPr>
              <w:jc w:val="right"/>
              <w:rPr>
                <w:sz w:val="24"/>
              </w:rPr>
            </w:pPr>
            <w:r w:rsidRPr="00AE55CC">
              <w:rPr>
                <w:color w:val="000000"/>
                <w:sz w:val="24"/>
              </w:rPr>
              <w:t>10,504,872.38</w:t>
            </w:r>
          </w:p>
        </w:tc>
        <w:tc>
          <w:tcPr>
            <w:tcW w:w="2693" w:type="dxa"/>
            <w:tcBorders>
              <w:top w:val="single" w:sz="8" w:space="0" w:color="000000"/>
              <w:left w:val="single" w:sz="8" w:space="0" w:color="000000"/>
              <w:bottom w:val="single" w:sz="8" w:space="0" w:color="000000"/>
              <w:right w:val="single" w:sz="8" w:space="0" w:color="000000"/>
            </w:tcBorders>
            <w:vAlign w:val="center"/>
          </w:tcPr>
          <w:p w14:paraId="1EDF23B3" w14:textId="77777777" w:rsidR="00AE55CC" w:rsidRPr="00AE55CC" w:rsidRDefault="00AE55CC" w:rsidP="00175A82">
            <w:pPr>
              <w:jc w:val="right"/>
              <w:rPr>
                <w:sz w:val="24"/>
              </w:rPr>
            </w:pPr>
            <w:r w:rsidRPr="00AE55CC">
              <w:rPr>
                <w:color w:val="000000"/>
                <w:sz w:val="24"/>
              </w:rPr>
              <w:t>-</w:t>
            </w:r>
          </w:p>
        </w:tc>
      </w:tr>
      <w:tr w:rsidR="00AE55CC" w:rsidRPr="00AE55CC" w14:paraId="09E4BC0F" w14:textId="77777777" w:rsidTr="00AE55CC">
        <w:tc>
          <w:tcPr>
            <w:tcW w:w="2977" w:type="dxa"/>
            <w:tcBorders>
              <w:top w:val="single" w:sz="8" w:space="0" w:color="000000"/>
              <w:left w:val="single" w:sz="8" w:space="0" w:color="000000"/>
              <w:bottom w:val="single" w:sz="8" w:space="0" w:color="000000"/>
              <w:right w:val="single" w:sz="8" w:space="0" w:color="000000"/>
            </w:tcBorders>
            <w:vAlign w:val="center"/>
          </w:tcPr>
          <w:p w14:paraId="6CFF02B4" w14:textId="77777777" w:rsidR="00AE55CC" w:rsidRPr="00AE55CC" w:rsidRDefault="00AE55CC"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E17AD74" w14:textId="77777777" w:rsidR="00AE55CC" w:rsidRPr="00AE55CC" w:rsidRDefault="00AE55CC" w:rsidP="00175A82">
            <w:pPr>
              <w:jc w:val="right"/>
              <w:rPr>
                <w:color w:val="000000"/>
                <w:kern w:val="0"/>
                <w:sz w:val="24"/>
              </w:rPr>
            </w:pPr>
            <w:r w:rsidRPr="00AE55CC">
              <w:rPr>
                <w:color w:val="000000"/>
                <w:sz w:val="24"/>
              </w:rPr>
              <w:t>8.01</w:t>
            </w:r>
          </w:p>
        </w:tc>
        <w:tc>
          <w:tcPr>
            <w:tcW w:w="2693" w:type="dxa"/>
            <w:tcBorders>
              <w:top w:val="single" w:sz="8" w:space="0" w:color="000000"/>
              <w:left w:val="single" w:sz="8" w:space="0" w:color="000000"/>
              <w:bottom w:val="single" w:sz="8" w:space="0" w:color="000000"/>
              <w:right w:val="single" w:sz="8" w:space="0" w:color="000000"/>
            </w:tcBorders>
            <w:vAlign w:val="center"/>
          </w:tcPr>
          <w:p w14:paraId="3D65EA92" w14:textId="77777777" w:rsidR="00AE55CC" w:rsidRPr="00AE55CC" w:rsidRDefault="00AE55CC" w:rsidP="00175A82">
            <w:pPr>
              <w:jc w:val="right"/>
              <w:rPr>
                <w:color w:val="000000"/>
                <w:kern w:val="0"/>
                <w:sz w:val="24"/>
              </w:rPr>
            </w:pPr>
            <w:r w:rsidRPr="00AE55CC">
              <w:rPr>
                <w:color w:val="000000"/>
                <w:sz w:val="24"/>
              </w:rPr>
              <w:t>-</w:t>
            </w:r>
          </w:p>
        </w:tc>
      </w:tr>
    </w:tbl>
    <w:p w14:paraId="270F36D6" w14:textId="77777777" w:rsidR="007C5591" w:rsidRDefault="002665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14:paraId="0DB769BD" w14:textId="77777777"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14:paraId="506041C3" w14:textId="77777777" w:rsidR="008A3BCC" w:rsidRPr="00E9704B" w:rsidRDefault="008A3BCC" w:rsidP="007C14DF">
      <w:pPr>
        <w:autoSpaceDE w:val="0"/>
        <w:autoSpaceDN w:val="0"/>
        <w:adjustRightInd w:val="0"/>
        <w:spacing w:before="29" w:line="288" w:lineRule="auto"/>
        <w:jc w:val="left"/>
        <w:rPr>
          <w:color w:val="000000"/>
          <w:sz w:val="24"/>
        </w:rPr>
      </w:pPr>
    </w:p>
    <w:p w14:paraId="17C7C855" w14:textId="77777777" w:rsidR="002665CF" w:rsidRPr="008A3BCC" w:rsidRDefault="002665CF" w:rsidP="002665CF">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508"/>
        <w:gridCol w:w="1442"/>
        <w:gridCol w:w="1767"/>
        <w:gridCol w:w="1343"/>
      </w:tblGrid>
      <w:tr w:rsidR="002665CF" w:rsidRPr="007F52FA" w14:paraId="18AD8462" w14:textId="77777777" w:rsidTr="00C65D80">
        <w:trPr>
          <w:trHeight w:val="340"/>
          <w:jc w:val="center"/>
        </w:trPr>
        <w:tc>
          <w:tcPr>
            <w:tcW w:w="1032" w:type="dxa"/>
            <w:vAlign w:val="center"/>
          </w:tcPr>
          <w:p w14:paraId="665D2D55" w14:textId="77777777" w:rsidR="002665CF" w:rsidRPr="007F52FA" w:rsidRDefault="002665CF" w:rsidP="00C1748C">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76" w:type="dxa"/>
            <w:vAlign w:val="center"/>
          </w:tcPr>
          <w:p w14:paraId="1FA10886" w14:textId="77777777" w:rsidR="002665CF" w:rsidRPr="007F52FA" w:rsidRDefault="002665CF" w:rsidP="00C1748C">
            <w:pPr>
              <w:adjustRightInd w:val="0"/>
              <w:snapToGrid w:val="0"/>
              <w:spacing w:before="29" w:line="288" w:lineRule="auto"/>
              <w:jc w:val="center"/>
              <w:rPr>
                <w:color w:val="000000"/>
                <w:kern w:val="0"/>
                <w:sz w:val="24"/>
              </w:rPr>
            </w:pPr>
            <w:r w:rsidRPr="007F52FA">
              <w:rPr>
                <w:color w:val="000000"/>
                <w:kern w:val="0"/>
                <w:sz w:val="24"/>
              </w:rPr>
              <w:t>交易方式</w:t>
            </w:r>
          </w:p>
        </w:tc>
        <w:tc>
          <w:tcPr>
            <w:tcW w:w="1508" w:type="dxa"/>
            <w:vAlign w:val="center"/>
          </w:tcPr>
          <w:p w14:paraId="7FD0ACB5" w14:textId="77777777" w:rsidR="002665CF" w:rsidRPr="007F52FA" w:rsidRDefault="002665CF" w:rsidP="00C1748C">
            <w:pPr>
              <w:adjustRightInd w:val="0"/>
              <w:snapToGrid w:val="0"/>
              <w:spacing w:before="29" w:line="288" w:lineRule="auto"/>
              <w:rPr>
                <w:color w:val="000000"/>
                <w:kern w:val="0"/>
                <w:sz w:val="24"/>
              </w:rPr>
            </w:pPr>
            <w:r w:rsidRPr="007F52FA">
              <w:rPr>
                <w:color w:val="000000"/>
                <w:kern w:val="0"/>
                <w:sz w:val="24"/>
              </w:rPr>
              <w:t>交易日期</w:t>
            </w:r>
          </w:p>
        </w:tc>
        <w:tc>
          <w:tcPr>
            <w:tcW w:w="1442" w:type="dxa"/>
            <w:vAlign w:val="center"/>
          </w:tcPr>
          <w:p w14:paraId="037E8628" w14:textId="77777777" w:rsidR="002665CF" w:rsidRPr="007F52FA" w:rsidRDefault="002665CF" w:rsidP="00C1748C">
            <w:pPr>
              <w:adjustRightInd w:val="0"/>
              <w:snapToGrid w:val="0"/>
              <w:spacing w:before="29" w:line="288" w:lineRule="auto"/>
              <w:jc w:val="center"/>
              <w:rPr>
                <w:color w:val="000000"/>
                <w:kern w:val="0"/>
                <w:sz w:val="24"/>
              </w:rPr>
            </w:pPr>
            <w:r w:rsidRPr="007F52FA">
              <w:rPr>
                <w:color w:val="000000"/>
                <w:kern w:val="0"/>
                <w:sz w:val="24"/>
              </w:rPr>
              <w:t>交易份额（份）</w:t>
            </w:r>
          </w:p>
        </w:tc>
        <w:tc>
          <w:tcPr>
            <w:tcW w:w="1767" w:type="dxa"/>
            <w:vAlign w:val="center"/>
          </w:tcPr>
          <w:p w14:paraId="27ED5D50" w14:textId="77777777" w:rsidR="002665CF" w:rsidRPr="007F52FA" w:rsidRDefault="002665CF" w:rsidP="00C1748C">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14:paraId="5821830E" w14:textId="77777777" w:rsidR="002665CF" w:rsidRPr="007F52FA" w:rsidRDefault="002665CF" w:rsidP="00C1748C">
            <w:pPr>
              <w:adjustRightInd w:val="0"/>
              <w:snapToGrid w:val="0"/>
              <w:spacing w:before="29" w:line="288" w:lineRule="auto"/>
              <w:jc w:val="center"/>
              <w:rPr>
                <w:color w:val="000000"/>
                <w:kern w:val="0"/>
                <w:sz w:val="24"/>
              </w:rPr>
            </w:pPr>
            <w:r w:rsidRPr="007F52FA">
              <w:rPr>
                <w:color w:val="000000"/>
                <w:kern w:val="0"/>
                <w:sz w:val="24"/>
              </w:rPr>
              <w:t>适用费率</w:t>
            </w:r>
          </w:p>
        </w:tc>
      </w:tr>
      <w:tr w:rsidR="002665CF" w14:paraId="2D4D44F2" w14:textId="77777777" w:rsidTr="00C65D80">
        <w:trPr>
          <w:trHeight w:val="465"/>
          <w:jc w:val="center"/>
        </w:trPr>
        <w:tc>
          <w:tcPr>
            <w:tcW w:w="1032" w:type="dxa"/>
            <w:vAlign w:val="center"/>
          </w:tcPr>
          <w:p w14:paraId="53BC6457" w14:textId="77777777" w:rsidR="002665CF" w:rsidRDefault="002665CF" w:rsidP="00C1748C">
            <w:pPr>
              <w:jc w:val="center"/>
            </w:pPr>
            <w:r>
              <w:rPr>
                <w:rFonts w:eastAsiaTheme="minorEastAsia"/>
                <w:color w:val="000000"/>
                <w:sz w:val="24"/>
              </w:rPr>
              <w:t>1</w:t>
            </w:r>
          </w:p>
        </w:tc>
        <w:tc>
          <w:tcPr>
            <w:tcW w:w="1776" w:type="dxa"/>
            <w:vAlign w:val="center"/>
          </w:tcPr>
          <w:p w14:paraId="7D62350B" w14:textId="77777777" w:rsidR="002665CF" w:rsidRDefault="002665CF" w:rsidP="00C1748C">
            <w:pPr>
              <w:jc w:val="center"/>
            </w:pPr>
            <w:r>
              <w:rPr>
                <w:rFonts w:eastAsiaTheme="minorEastAsia"/>
                <w:color w:val="000000"/>
                <w:sz w:val="24"/>
              </w:rPr>
              <w:t>红利再投</w:t>
            </w:r>
          </w:p>
        </w:tc>
        <w:tc>
          <w:tcPr>
            <w:tcW w:w="1508" w:type="dxa"/>
            <w:vAlign w:val="center"/>
          </w:tcPr>
          <w:p w14:paraId="3B99E63A" w14:textId="77777777" w:rsidR="002665CF" w:rsidRDefault="002665CF" w:rsidP="00C1748C">
            <w:pPr>
              <w:jc w:val="center"/>
            </w:pPr>
            <w:r>
              <w:rPr>
                <w:rFonts w:eastAsiaTheme="minorEastAsia"/>
                <w:color w:val="000000"/>
                <w:sz w:val="24"/>
              </w:rPr>
              <w:t>2015-01-21</w:t>
            </w:r>
          </w:p>
        </w:tc>
        <w:tc>
          <w:tcPr>
            <w:tcW w:w="1442" w:type="dxa"/>
            <w:vAlign w:val="center"/>
          </w:tcPr>
          <w:p w14:paraId="1A220308" w14:textId="77777777" w:rsidR="002665CF" w:rsidRDefault="002665CF" w:rsidP="00C1748C">
            <w:pPr>
              <w:jc w:val="right"/>
            </w:pPr>
            <w:r>
              <w:rPr>
                <w:rFonts w:eastAsiaTheme="minorEastAsia"/>
                <w:color w:val="000000"/>
                <w:sz w:val="24"/>
              </w:rPr>
              <w:t>196,352.75</w:t>
            </w:r>
          </w:p>
        </w:tc>
        <w:tc>
          <w:tcPr>
            <w:tcW w:w="1767" w:type="dxa"/>
            <w:vAlign w:val="center"/>
          </w:tcPr>
          <w:p w14:paraId="25DB1A15" w14:textId="77777777" w:rsidR="002665CF" w:rsidRDefault="002665CF" w:rsidP="00C1748C">
            <w:pPr>
              <w:jc w:val="right"/>
            </w:pPr>
            <w:r>
              <w:rPr>
                <w:rFonts w:eastAsiaTheme="minorEastAsia"/>
                <w:color w:val="000000"/>
                <w:sz w:val="24"/>
              </w:rPr>
              <w:t>206,170.39</w:t>
            </w:r>
          </w:p>
        </w:tc>
        <w:tc>
          <w:tcPr>
            <w:tcW w:w="1343" w:type="dxa"/>
            <w:vAlign w:val="center"/>
          </w:tcPr>
          <w:p w14:paraId="618458BD" w14:textId="77777777" w:rsidR="002665CF" w:rsidRDefault="002665CF" w:rsidP="00C1748C">
            <w:pPr>
              <w:jc w:val="center"/>
            </w:pPr>
            <w:r>
              <w:rPr>
                <w:rFonts w:eastAsiaTheme="minorEastAsia"/>
                <w:color w:val="000000"/>
                <w:sz w:val="24"/>
              </w:rPr>
              <w:t>-</w:t>
            </w:r>
          </w:p>
        </w:tc>
      </w:tr>
      <w:tr w:rsidR="002665CF" w:rsidRPr="007F52FA" w14:paraId="150B279D" w14:textId="77777777" w:rsidTr="00C65D80">
        <w:trPr>
          <w:trHeight w:val="340"/>
          <w:jc w:val="center"/>
        </w:trPr>
        <w:tc>
          <w:tcPr>
            <w:tcW w:w="1032" w:type="dxa"/>
            <w:vAlign w:val="center"/>
          </w:tcPr>
          <w:p w14:paraId="085ABC2D" w14:textId="77777777" w:rsidR="002665CF" w:rsidRPr="007F52FA" w:rsidRDefault="002665CF" w:rsidP="00C1748C">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76" w:type="dxa"/>
            <w:vAlign w:val="center"/>
          </w:tcPr>
          <w:p w14:paraId="1BF1D009" w14:textId="77777777" w:rsidR="002665CF" w:rsidRPr="007F52FA" w:rsidRDefault="002665CF" w:rsidP="00C1748C">
            <w:pPr>
              <w:adjustRightInd w:val="0"/>
              <w:snapToGrid w:val="0"/>
              <w:spacing w:before="29" w:line="288" w:lineRule="auto"/>
              <w:jc w:val="right"/>
              <w:rPr>
                <w:color w:val="0000FF"/>
                <w:kern w:val="0"/>
                <w:sz w:val="24"/>
              </w:rPr>
            </w:pPr>
          </w:p>
        </w:tc>
        <w:tc>
          <w:tcPr>
            <w:tcW w:w="1508" w:type="dxa"/>
            <w:vAlign w:val="center"/>
          </w:tcPr>
          <w:p w14:paraId="26C699E6" w14:textId="77777777" w:rsidR="002665CF" w:rsidRPr="007F52FA" w:rsidRDefault="002665CF" w:rsidP="00C1748C">
            <w:pPr>
              <w:adjustRightInd w:val="0"/>
              <w:snapToGrid w:val="0"/>
              <w:spacing w:before="29" w:line="288" w:lineRule="auto"/>
              <w:jc w:val="right"/>
              <w:rPr>
                <w:color w:val="0000FF"/>
                <w:kern w:val="0"/>
                <w:sz w:val="24"/>
              </w:rPr>
            </w:pPr>
          </w:p>
        </w:tc>
        <w:tc>
          <w:tcPr>
            <w:tcW w:w="1442" w:type="dxa"/>
            <w:vAlign w:val="center"/>
          </w:tcPr>
          <w:p w14:paraId="2C0AE1F9" w14:textId="77777777" w:rsidR="002665CF" w:rsidRPr="007F52FA" w:rsidRDefault="002665CF" w:rsidP="00C1748C">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196,352.75</w:t>
            </w:r>
          </w:p>
        </w:tc>
        <w:tc>
          <w:tcPr>
            <w:tcW w:w="1767" w:type="dxa"/>
            <w:vAlign w:val="center"/>
          </w:tcPr>
          <w:p w14:paraId="388BE9FF" w14:textId="77777777" w:rsidR="002665CF" w:rsidRPr="007F52FA" w:rsidRDefault="002665CF" w:rsidP="00C1748C">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206,170.39</w:t>
            </w:r>
          </w:p>
        </w:tc>
        <w:tc>
          <w:tcPr>
            <w:tcW w:w="1343" w:type="dxa"/>
            <w:vAlign w:val="center"/>
          </w:tcPr>
          <w:p w14:paraId="6A9C9BA0" w14:textId="77777777" w:rsidR="002665CF" w:rsidRPr="007F52FA" w:rsidRDefault="002665CF" w:rsidP="00C1748C">
            <w:pPr>
              <w:adjustRightInd w:val="0"/>
              <w:snapToGrid w:val="0"/>
              <w:spacing w:before="29" w:line="288" w:lineRule="auto"/>
              <w:jc w:val="right"/>
              <w:rPr>
                <w:color w:val="0000FF"/>
                <w:kern w:val="0"/>
                <w:sz w:val="24"/>
              </w:rPr>
            </w:pPr>
          </w:p>
        </w:tc>
      </w:tr>
    </w:tbl>
    <w:p w14:paraId="67FB6762" w14:textId="77777777" w:rsidR="002665CF" w:rsidRDefault="002665CF" w:rsidP="007C14DF">
      <w:pPr>
        <w:autoSpaceDE w:val="0"/>
        <w:autoSpaceDN w:val="0"/>
        <w:adjustRightInd w:val="0"/>
        <w:spacing w:before="29" w:line="288" w:lineRule="auto"/>
        <w:jc w:val="left"/>
        <w:rPr>
          <w:color w:val="000000"/>
          <w:sz w:val="24"/>
        </w:rPr>
      </w:pPr>
    </w:p>
    <w:p w14:paraId="32BA0108" w14:textId="77777777" w:rsidR="00B47574" w:rsidRPr="007F52FA" w:rsidRDefault="00B47574" w:rsidP="002665CF">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156"/>
        <w:gridCol w:w="1312"/>
        <w:gridCol w:w="1064"/>
        <w:gridCol w:w="1456"/>
        <w:gridCol w:w="1493"/>
      </w:tblGrid>
      <w:tr w:rsidR="00B47574" w:rsidRPr="007F52FA" w14:paraId="796994C1" w14:textId="77777777" w:rsidTr="00735E32">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4C64EFF" w14:textId="77777777"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6D1643A"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9FEEBE0"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3ABABF2"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F025E7"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6EAD13C" w14:textId="77777777"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14:paraId="4C113CD2" w14:textId="77777777"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27CA586"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2E6F7CB"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10,504,872.38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1BD1916"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8.01%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E7841DF"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68402E5"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7.69%</w:t>
            </w:r>
          </w:p>
        </w:tc>
        <w:tc>
          <w:tcPr>
            <w:tcW w:w="1495" w:type="dxa"/>
            <w:tcBorders>
              <w:top w:val="single" w:sz="4" w:space="0" w:color="auto"/>
              <w:left w:val="single" w:sz="4" w:space="0" w:color="auto"/>
              <w:bottom w:val="single" w:sz="4" w:space="0" w:color="auto"/>
              <w:right w:val="single" w:sz="4" w:space="0" w:color="auto"/>
            </w:tcBorders>
            <w:vAlign w:val="center"/>
            <w:hideMark/>
          </w:tcPr>
          <w:p w14:paraId="516FE0D5"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14:paraId="521E49C7" w14:textId="77777777" w:rsidTr="00735E32">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4C571E47" w14:textId="77777777"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5316967"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3A56591"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B363AA6"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A74DD60"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05D9B5E"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30831EFB" w14:textId="77777777"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6F012F08"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B763AA6"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1B4A5C8"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2A48BB54"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3475EE8"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410B882"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71982141" w14:textId="77777777"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31484F29"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E11B8C7"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8EA7ED0"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70FC734"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635A0755"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FD821DF"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45706F38" w14:textId="77777777"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7440B21F"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0FE44AC"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59D6C99"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35C1BFF"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FAAED7C"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B65A4CF"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14:paraId="6DD69059" w14:textId="77777777"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5677EE7" w14:textId="77777777"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E7C294D"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10,504,872.38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C495075"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8.01%</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3A0581F"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96158E9"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7.69%</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69C863C" w14:textId="77777777"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14:paraId="5B6C9D8B" w14:textId="77777777"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14:paraId="70E4B708" w14:textId="77777777" w:rsidR="00574FC7" w:rsidRPr="007F52FA" w:rsidRDefault="00574FC7" w:rsidP="007C14DF">
      <w:pPr>
        <w:autoSpaceDE w:val="0"/>
        <w:autoSpaceDN w:val="0"/>
        <w:adjustRightInd w:val="0"/>
        <w:spacing w:before="29" w:line="288" w:lineRule="auto"/>
        <w:jc w:val="left"/>
        <w:rPr>
          <w:rFonts w:eastAsiaTheme="minorEastAsia"/>
          <w:color w:val="000000"/>
          <w:sz w:val="24"/>
        </w:rPr>
      </w:pPr>
    </w:p>
    <w:p w14:paraId="114EB06F" w14:textId="77777777" w:rsidR="00FB3C94" w:rsidRPr="007F52FA" w:rsidRDefault="00FB3C94" w:rsidP="002665C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9</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14:paraId="12D355FD"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14:paraId="50967F36"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14:paraId="389B0C37" w14:textId="77777777" w:rsidR="00BB1033" w:rsidRPr="007F52FA" w:rsidRDefault="00BB1033" w:rsidP="007C14DF">
      <w:pPr>
        <w:spacing w:before="29" w:line="288" w:lineRule="auto"/>
        <w:ind w:firstLineChars="200" w:firstLine="480"/>
        <w:rPr>
          <w:rFonts w:eastAsiaTheme="minorEastAsia"/>
          <w:color w:val="000000"/>
          <w:sz w:val="24"/>
        </w:rPr>
      </w:pPr>
    </w:p>
    <w:p w14:paraId="2F306C67" w14:textId="77777777" w:rsidR="00175E3A" w:rsidRPr="007032A6" w:rsidRDefault="009238DB" w:rsidP="002665C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14:paraId="6FBB7DC3" w14:textId="77777777"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14:paraId="06D49396"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14:paraId="242E8AC8"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14:paraId="288ED15B"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14:paraId="0A025A77"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14:paraId="175548DF"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14:paraId="3DD94AFC"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14:paraId="541E7352"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14:paraId="2F3AFF76"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14:paraId="05671036" w14:textId="77777777" w:rsidR="00F11783" w:rsidRPr="007F52FA" w:rsidRDefault="00F11783" w:rsidP="007C14DF">
      <w:pPr>
        <w:spacing w:before="29" w:line="288" w:lineRule="auto"/>
        <w:ind w:firstLineChars="200" w:firstLine="480"/>
        <w:rPr>
          <w:rFonts w:eastAsiaTheme="minorEastAsia"/>
          <w:color w:val="000000"/>
          <w:sz w:val="24"/>
        </w:rPr>
      </w:pPr>
    </w:p>
    <w:p w14:paraId="5DE59FE3"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14:paraId="4D33B11D"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14:paraId="531E83B8" w14:textId="77777777" w:rsidR="00F11783" w:rsidRPr="007F52FA" w:rsidRDefault="00F11783" w:rsidP="007C14DF">
      <w:pPr>
        <w:spacing w:before="29" w:line="288" w:lineRule="auto"/>
        <w:ind w:firstLineChars="200" w:firstLine="480"/>
        <w:rPr>
          <w:rFonts w:eastAsiaTheme="minorEastAsia"/>
          <w:color w:val="000000"/>
          <w:sz w:val="24"/>
        </w:rPr>
      </w:pPr>
    </w:p>
    <w:p w14:paraId="54B0100C"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14:paraId="01646CE9" w14:textId="77777777" w:rsidR="007C5591" w:rsidRDefault="002665C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w:t>
      </w:r>
      <w:bookmarkStart w:id="0" w:name="_GoBack"/>
      <w:bookmarkEnd w:id="0"/>
      <w:r>
        <w:rPr>
          <w:rFonts w:eastAsiaTheme="minorEastAsia"/>
          <w:color w:val="000000"/>
          <w:sz w:val="24"/>
        </w:rPr>
        <w:t>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5DEAB779" w14:textId="18776E4B"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143DE" w14:textId="77777777" w:rsidR="00082FAF" w:rsidRDefault="00082FAF">
      <w:r>
        <w:separator/>
      </w:r>
    </w:p>
  </w:endnote>
  <w:endnote w:type="continuationSeparator" w:id="0">
    <w:p w14:paraId="5768D204" w14:textId="77777777" w:rsidR="00082FAF" w:rsidRDefault="0008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9734" w14:textId="77777777"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7C5591">
      <w:rPr>
        <w:kern w:val="0"/>
        <w:szCs w:val="21"/>
      </w:rPr>
      <w:fldChar w:fldCharType="begin"/>
    </w:r>
    <w:r>
      <w:rPr>
        <w:kern w:val="0"/>
        <w:szCs w:val="21"/>
      </w:rPr>
      <w:instrText xml:space="preserve"> PAGE </w:instrText>
    </w:r>
    <w:r w:rsidR="007C5591">
      <w:rPr>
        <w:kern w:val="0"/>
        <w:szCs w:val="21"/>
      </w:rPr>
      <w:fldChar w:fldCharType="separate"/>
    </w:r>
    <w:r w:rsidR="00082FAF">
      <w:rPr>
        <w:noProof/>
        <w:kern w:val="0"/>
        <w:szCs w:val="21"/>
      </w:rPr>
      <w:t>1</w:t>
    </w:r>
    <w:r w:rsidR="007C5591">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7C5591">
      <w:rPr>
        <w:kern w:val="0"/>
        <w:szCs w:val="21"/>
      </w:rPr>
      <w:fldChar w:fldCharType="begin"/>
    </w:r>
    <w:r>
      <w:rPr>
        <w:kern w:val="0"/>
        <w:szCs w:val="21"/>
      </w:rPr>
      <w:instrText xml:space="preserve"> NUMPAGES </w:instrText>
    </w:r>
    <w:r w:rsidR="007C5591">
      <w:rPr>
        <w:kern w:val="0"/>
        <w:szCs w:val="21"/>
      </w:rPr>
      <w:fldChar w:fldCharType="separate"/>
    </w:r>
    <w:r w:rsidR="00082FAF">
      <w:rPr>
        <w:noProof/>
        <w:kern w:val="0"/>
        <w:szCs w:val="21"/>
      </w:rPr>
      <w:t>1</w:t>
    </w:r>
    <w:r w:rsidR="007C5591">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489C7" w14:textId="77777777" w:rsidR="007C1122" w:rsidRDefault="007C5591">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14:paraId="6FB66B5C" w14:textId="77777777"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0320A" w14:textId="77777777" w:rsidR="00082FAF" w:rsidRDefault="00082FAF">
      <w:r>
        <w:separator/>
      </w:r>
    </w:p>
  </w:footnote>
  <w:footnote w:type="continuationSeparator" w:id="0">
    <w:p w14:paraId="5E7A35DD" w14:textId="77777777" w:rsidR="00082FAF" w:rsidRDefault="00082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55F5" w14:textId="77777777" w:rsidR="007C1122" w:rsidRPr="002567DB" w:rsidRDefault="00082FAF" w:rsidP="001207F2">
    <w:pPr>
      <w:pStyle w:val="a9"/>
      <w:pBdr>
        <w:bottom w:val="single" w:sz="6" w:space="0" w:color="auto"/>
      </w:pBdr>
      <w:jc w:val="right"/>
    </w:pPr>
    <w:r>
      <w:rPr>
        <w:noProof/>
      </w:rPr>
      <w:pict w14:anchorId="6634C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4F4"/>
    <w:rsid w:val="000827CC"/>
    <w:rsid w:val="00082FAF"/>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5CF"/>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2B0F"/>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00B"/>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2222F"/>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28E3"/>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5591"/>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65D80"/>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9704B"/>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51B1"/>
    <w:rsid w:val="00F46467"/>
    <w:rsid w:val="00F4715C"/>
    <w:rsid w:val="00F47BA9"/>
    <w:rsid w:val="00F47FF8"/>
    <w:rsid w:val="00F529B5"/>
    <w:rsid w:val="00F52AA4"/>
    <w:rsid w:val="00F53307"/>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4:docId w14:val="07FDD9E4"/>
  <w15:docId w15:val="{EEB8E9E4-4512-47B7-A28C-FA388A6A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8393-6510-4B0C-A96E-67C03B27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13</Pages>
  <Words>1274</Words>
  <Characters>7262</Characters>
  <Application>Microsoft Office Word</Application>
  <DocSecurity>0</DocSecurity>
  <Lines>60</Lines>
  <Paragraphs>17</Paragraphs>
  <ScaleCrop>false</ScaleCrop>
  <Company>TRT. Ltd. Co.</Company>
  <LinksUpToDate>false</LinksUpToDate>
  <CharactersWithSpaces>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362</cp:revision>
  <cp:lastPrinted>2007-07-19T00:46:00Z</cp:lastPrinted>
  <dcterms:created xsi:type="dcterms:W3CDTF">2014-01-17T06:19:00Z</dcterms:created>
  <dcterms:modified xsi:type="dcterms:W3CDTF">2015-04-16T02:27:00Z</dcterms:modified>
</cp:coreProperties>
</file>