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交银施罗德阿尔法核心股票型证券投资基金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566360">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809F3" w:rsidRDefault="0056636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809F3" w:rsidRDefault="0056636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809F3" w:rsidRDefault="0056636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809F3" w:rsidRDefault="0056636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809F3" w:rsidRDefault="0056636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56636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141,909,994.63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中信标普全债指数收益率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本基金为一只主动股票型基金，风险与预期收益高于混合基金、债券基金和货币市场基金。属于承担较高</w:t>
            </w:r>
            <w:r w:rsidRPr="00414345">
              <w:rPr>
                <w:color w:val="000000"/>
                <w:kern w:val="0"/>
                <w:sz w:val="24"/>
                <w:szCs w:val="24"/>
              </w:rPr>
              <w:lastRenderedPageBreak/>
              <w:t>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56636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66360" w:rsidRPr="00414345" w:rsidTr="0056636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66360" w:rsidRPr="00414345" w:rsidTr="005663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34,818,261.39</w:t>
            </w:r>
          </w:p>
        </w:tc>
      </w:tr>
      <w:tr w:rsidR="00566360" w:rsidRPr="00414345" w:rsidTr="005663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54,465,573.91</w:t>
            </w:r>
          </w:p>
        </w:tc>
      </w:tr>
      <w:tr w:rsidR="00566360" w:rsidRPr="00414345" w:rsidTr="005663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0.3900</w:t>
            </w:r>
          </w:p>
        </w:tc>
      </w:tr>
      <w:tr w:rsidR="00566360" w:rsidRPr="00414345" w:rsidTr="005663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290,231,603.62</w:t>
            </w:r>
          </w:p>
        </w:tc>
      </w:tr>
      <w:tr w:rsidR="00566360" w:rsidRPr="00414345" w:rsidTr="0056636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2.045</w:t>
            </w:r>
          </w:p>
        </w:tc>
      </w:tr>
    </w:tbl>
    <w:p w:rsidR="001809F3" w:rsidRDefault="0056636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809F3">
        <w:trPr>
          <w:jc w:val="center"/>
        </w:trPr>
        <w:tc>
          <w:tcPr>
            <w:tcW w:w="1701" w:type="dxa"/>
            <w:vAlign w:val="center"/>
          </w:tcPr>
          <w:p w:rsidR="001809F3" w:rsidRDefault="00566360">
            <w:pPr>
              <w:jc w:val="left"/>
            </w:pPr>
            <w:r>
              <w:rPr>
                <w:color w:val="000000"/>
                <w:sz w:val="24"/>
                <w:szCs w:val="24"/>
              </w:rPr>
              <w:t>过去三个月</w:t>
            </w:r>
          </w:p>
        </w:tc>
        <w:tc>
          <w:tcPr>
            <w:tcW w:w="1045" w:type="dxa"/>
            <w:vAlign w:val="center"/>
          </w:tcPr>
          <w:p w:rsidR="001809F3" w:rsidRDefault="00566360">
            <w:pPr>
              <w:jc w:val="center"/>
            </w:pPr>
            <w:r>
              <w:rPr>
                <w:color w:val="000000"/>
                <w:sz w:val="24"/>
                <w:szCs w:val="24"/>
              </w:rPr>
              <w:t>23.86%</w:t>
            </w:r>
          </w:p>
        </w:tc>
        <w:tc>
          <w:tcPr>
            <w:tcW w:w="1344" w:type="dxa"/>
            <w:vAlign w:val="center"/>
          </w:tcPr>
          <w:p w:rsidR="001809F3" w:rsidRDefault="00566360">
            <w:pPr>
              <w:jc w:val="center"/>
            </w:pPr>
            <w:r>
              <w:rPr>
                <w:color w:val="000000"/>
                <w:sz w:val="24"/>
                <w:szCs w:val="24"/>
              </w:rPr>
              <w:t>1.42%</w:t>
            </w:r>
          </w:p>
        </w:tc>
        <w:tc>
          <w:tcPr>
            <w:tcW w:w="1194" w:type="dxa"/>
            <w:vAlign w:val="center"/>
          </w:tcPr>
          <w:p w:rsidR="001809F3" w:rsidRDefault="00566360">
            <w:pPr>
              <w:jc w:val="center"/>
            </w:pPr>
            <w:r>
              <w:rPr>
                <w:color w:val="000000"/>
                <w:sz w:val="24"/>
                <w:szCs w:val="24"/>
              </w:rPr>
              <w:t>11.15%</w:t>
            </w:r>
          </w:p>
        </w:tc>
        <w:tc>
          <w:tcPr>
            <w:tcW w:w="1492" w:type="dxa"/>
            <w:vAlign w:val="center"/>
          </w:tcPr>
          <w:p w:rsidR="001809F3" w:rsidRDefault="00566360">
            <w:pPr>
              <w:jc w:val="center"/>
            </w:pPr>
            <w:r>
              <w:rPr>
                <w:color w:val="000000"/>
                <w:sz w:val="24"/>
                <w:szCs w:val="24"/>
              </w:rPr>
              <w:t>1.39%</w:t>
            </w:r>
          </w:p>
        </w:tc>
        <w:tc>
          <w:tcPr>
            <w:tcW w:w="1194" w:type="dxa"/>
            <w:vAlign w:val="center"/>
          </w:tcPr>
          <w:p w:rsidR="001809F3" w:rsidRDefault="00566360">
            <w:pPr>
              <w:jc w:val="center"/>
            </w:pPr>
            <w:r>
              <w:rPr>
                <w:color w:val="000000"/>
                <w:sz w:val="24"/>
                <w:szCs w:val="24"/>
              </w:rPr>
              <w:t>12.71%</w:t>
            </w:r>
          </w:p>
        </w:tc>
        <w:tc>
          <w:tcPr>
            <w:tcW w:w="898" w:type="dxa"/>
            <w:vAlign w:val="center"/>
          </w:tcPr>
          <w:p w:rsidR="001809F3" w:rsidRDefault="00566360">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交银施罗德阿尔法核心股票型证券投资基金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56636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809F3">
        <w:trPr>
          <w:jc w:val="center"/>
        </w:trPr>
        <w:tc>
          <w:tcPr>
            <w:tcW w:w="846" w:type="dxa"/>
            <w:vAlign w:val="center"/>
          </w:tcPr>
          <w:p w:rsidR="001809F3" w:rsidRDefault="00566360">
            <w:pPr>
              <w:jc w:val="center"/>
            </w:pPr>
            <w:r>
              <w:rPr>
                <w:color w:val="000000"/>
                <w:sz w:val="24"/>
                <w:szCs w:val="24"/>
              </w:rPr>
              <w:t>龙向东</w:t>
            </w:r>
          </w:p>
        </w:tc>
        <w:tc>
          <w:tcPr>
            <w:tcW w:w="845" w:type="dxa"/>
            <w:vAlign w:val="center"/>
          </w:tcPr>
          <w:p w:rsidR="001809F3" w:rsidRDefault="00566360">
            <w:pPr>
              <w:jc w:val="center"/>
            </w:pPr>
            <w:r>
              <w:rPr>
                <w:color w:val="000000"/>
                <w:sz w:val="24"/>
                <w:szCs w:val="24"/>
              </w:rPr>
              <w:t>本基金的基金经理，公司量化投资部总经理</w:t>
            </w:r>
          </w:p>
        </w:tc>
        <w:tc>
          <w:tcPr>
            <w:tcW w:w="1549" w:type="dxa"/>
            <w:vAlign w:val="center"/>
          </w:tcPr>
          <w:p w:rsidR="001809F3" w:rsidRDefault="00566360">
            <w:pPr>
              <w:jc w:val="center"/>
            </w:pPr>
            <w:r>
              <w:rPr>
                <w:color w:val="000000"/>
                <w:sz w:val="24"/>
                <w:szCs w:val="24"/>
              </w:rPr>
              <w:t>2012-08-03</w:t>
            </w:r>
          </w:p>
        </w:tc>
        <w:tc>
          <w:tcPr>
            <w:tcW w:w="1548" w:type="dxa"/>
            <w:vAlign w:val="center"/>
          </w:tcPr>
          <w:p w:rsidR="001809F3" w:rsidRDefault="00566360">
            <w:pPr>
              <w:jc w:val="center"/>
            </w:pPr>
            <w:r>
              <w:rPr>
                <w:color w:val="000000"/>
                <w:sz w:val="24"/>
                <w:szCs w:val="24"/>
              </w:rPr>
              <w:t>-</w:t>
            </w:r>
          </w:p>
        </w:tc>
        <w:tc>
          <w:tcPr>
            <w:tcW w:w="1407" w:type="dxa"/>
            <w:vAlign w:val="center"/>
          </w:tcPr>
          <w:p w:rsidR="001809F3" w:rsidRDefault="00566360">
            <w:pPr>
              <w:jc w:val="center"/>
            </w:pPr>
            <w:r>
              <w:rPr>
                <w:color w:val="000000"/>
                <w:sz w:val="24"/>
                <w:szCs w:val="24"/>
              </w:rPr>
              <w:t>6</w:t>
            </w:r>
            <w:r>
              <w:rPr>
                <w:color w:val="000000"/>
                <w:sz w:val="24"/>
                <w:szCs w:val="24"/>
              </w:rPr>
              <w:t>年</w:t>
            </w:r>
          </w:p>
        </w:tc>
        <w:tc>
          <w:tcPr>
            <w:tcW w:w="2673" w:type="dxa"/>
            <w:vAlign w:val="center"/>
          </w:tcPr>
          <w:p w:rsidR="001809F3" w:rsidRDefault="00566360">
            <w:r>
              <w:rPr>
                <w:color w:val="000000"/>
                <w:sz w:val="24"/>
                <w:szCs w:val="24"/>
              </w:rPr>
              <w:t>龙向东先生，中国人民大学经济学学士、经济学硕士，美国加州大学河滨分校经济学博士。历任英国剑桥大学商学院金融分析和政策中心研究员，美国雷曼兄弟公司（欧洲）量化分析师，日本野村国际</w:t>
            </w:r>
            <w:r>
              <w:rPr>
                <w:color w:val="000000"/>
                <w:sz w:val="24"/>
                <w:szCs w:val="24"/>
              </w:rPr>
              <w:t xml:space="preserve"> </w:t>
            </w:r>
            <w:r>
              <w:rPr>
                <w:color w:val="000000"/>
                <w:sz w:val="24"/>
                <w:szCs w:val="24"/>
              </w:rPr>
              <w:t>（欧洲）</w:t>
            </w:r>
            <w:r>
              <w:rPr>
                <w:color w:val="000000"/>
                <w:sz w:val="24"/>
                <w:szCs w:val="24"/>
              </w:rPr>
              <w:t xml:space="preserve"> </w:t>
            </w:r>
            <w:r>
              <w:rPr>
                <w:color w:val="000000"/>
                <w:sz w:val="24"/>
                <w:szCs w:val="24"/>
              </w:rPr>
              <w:t>量化分析师，北京健坤和创投资公司量化投资总监。</w:t>
            </w:r>
            <w:r>
              <w:rPr>
                <w:color w:val="000000"/>
                <w:sz w:val="24"/>
                <w:szCs w:val="24"/>
              </w:rPr>
              <w:t>2010</w:t>
            </w:r>
            <w:r>
              <w:rPr>
                <w:color w:val="000000"/>
                <w:sz w:val="24"/>
                <w:szCs w:val="24"/>
              </w:rPr>
              <w:t>年加入交银施罗德基金管理有限公司，历任量化投资部副总经理。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809F3" w:rsidRDefault="0056636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809F3" w:rsidRDefault="0056636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809F3" w:rsidRDefault="0056636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809F3" w:rsidRDefault="00566360">
      <w:pPr>
        <w:spacing w:before="29" w:line="288" w:lineRule="auto"/>
        <w:ind w:firstLineChars="200" w:firstLine="480"/>
        <w:rPr>
          <w:color w:val="000000"/>
          <w:sz w:val="24"/>
          <w:szCs w:val="24"/>
        </w:rPr>
      </w:pPr>
      <w:r>
        <w:rPr>
          <w:color w:val="000000"/>
          <w:sz w:val="24"/>
          <w:szCs w:val="24"/>
        </w:rPr>
        <w:t>从去年年底到今年一季度，市场在价值风格和成长风格中依次完成了快速、大幅上涨；虽然都是流动性充裕、看好未来预期背景下大类资产配置的结果，但较之仓位效应，结构效应更加锐利，充分显示了两种风格的替代效应。本基金一季度净值表现跑赢业绩比较基准，是仓位效应和风格均衡配置的综合结果。</w:t>
      </w:r>
    </w:p>
    <w:p w:rsidR="001809F3" w:rsidRDefault="00566360">
      <w:pPr>
        <w:spacing w:before="29" w:line="288" w:lineRule="auto"/>
        <w:ind w:firstLineChars="200" w:firstLine="480"/>
        <w:rPr>
          <w:color w:val="000000"/>
          <w:sz w:val="24"/>
          <w:szCs w:val="24"/>
        </w:rPr>
      </w:pPr>
      <w:r>
        <w:rPr>
          <w:color w:val="000000"/>
          <w:sz w:val="24"/>
          <w:szCs w:val="24"/>
        </w:rPr>
        <w:lastRenderedPageBreak/>
        <w:t>互联网时代赢家通吃，实体市场的寡头格局对应着资本市场的估值差异：如果同一行业中某个公司成为未来行业竞争赢家的可能性上升，其估值会显著超越其他竞争对手；反之，某些单纯讲故事、无业绩兑现、潜在竞争劣势显现的公司，其估值在初期或许会伴随着市场整体热度上升而上行，但后续难以持续，可能会给投资者带来负面冲击，需要小心规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实体经济低迷导致的流动性充裕格局不变，但成长、价值两种风格的边际收益、边际风险对比趋于平衡，风格配置上以均衡为佳。此外，在成长风格估值中枢陡峭上移过程完成后，个股选择更加重要。</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2.045</w:t>
      </w:r>
      <w:r w:rsidRPr="00414345">
        <w:rPr>
          <w:color w:val="000000"/>
          <w:sz w:val="24"/>
          <w:szCs w:val="24"/>
        </w:rPr>
        <w:t>元，本报告期份额净值增长率为</w:t>
      </w:r>
      <w:r w:rsidRPr="00414345">
        <w:rPr>
          <w:color w:val="000000"/>
          <w:sz w:val="24"/>
          <w:szCs w:val="24"/>
        </w:rPr>
        <w:t>23.86%</w:t>
      </w:r>
      <w:r w:rsidRPr="00414345">
        <w:rPr>
          <w:color w:val="000000"/>
          <w:sz w:val="24"/>
          <w:szCs w:val="24"/>
        </w:rPr>
        <w:t>，同期业绩比较基准增长率为</w:t>
      </w:r>
      <w:r w:rsidRPr="00414345">
        <w:rPr>
          <w:color w:val="000000"/>
          <w:sz w:val="24"/>
          <w:szCs w:val="24"/>
        </w:rPr>
        <w:t>11.15%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56636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262,073,492.20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89.41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262,073,492.20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89.41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26,323,368.14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8.98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4,718,915.47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293,115,775.81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5,096,417.59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124,006,932.89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8,013,257.98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17,023,322.39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11,011,701.33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10,122,323.83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336,492.00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0.12</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18,026,419.79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38,090,950.84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20,461,746.78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2,207,735.42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3,133,946.36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4,542,245.00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262,073,492.20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90.30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809F3">
        <w:trPr>
          <w:jc w:val="center"/>
        </w:trPr>
        <w:tc>
          <w:tcPr>
            <w:tcW w:w="855" w:type="dxa"/>
            <w:vAlign w:val="center"/>
          </w:tcPr>
          <w:p w:rsidR="001809F3" w:rsidRDefault="00566360">
            <w:pPr>
              <w:jc w:val="center"/>
            </w:pPr>
            <w:r>
              <w:rPr>
                <w:color w:val="000000"/>
                <w:sz w:val="24"/>
                <w:szCs w:val="24"/>
              </w:rPr>
              <w:t>1</w:t>
            </w:r>
          </w:p>
        </w:tc>
        <w:tc>
          <w:tcPr>
            <w:tcW w:w="1334" w:type="dxa"/>
            <w:vAlign w:val="center"/>
          </w:tcPr>
          <w:p w:rsidR="001809F3" w:rsidRDefault="00566360">
            <w:pPr>
              <w:jc w:val="center"/>
            </w:pPr>
            <w:r>
              <w:rPr>
                <w:color w:val="000000"/>
                <w:sz w:val="24"/>
                <w:szCs w:val="24"/>
              </w:rPr>
              <w:t>000024</w:t>
            </w:r>
          </w:p>
        </w:tc>
        <w:tc>
          <w:tcPr>
            <w:tcW w:w="1777" w:type="dxa"/>
            <w:vAlign w:val="center"/>
          </w:tcPr>
          <w:p w:rsidR="001809F3" w:rsidRDefault="00566360">
            <w:pPr>
              <w:jc w:val="center"/>
            </w:pPr>
            <w:r>
              <w:rPr>
                <w:color w:val="000000"/>
                <w:sz w:val="24"/>
                <w:szCs w:val="24"/>
              </w:rPr>
              <w:t>招商地产</w:t>
            </w:r>
          </w:p>
        </w:tc>
        <w:tc>
          <w:tcPr>
            <w:tcW w:w="1334" w:type="dxa"/>
            <w:vAlign w:val="center"/>
          </w:tcPr>
          <w:p w:rsidR="001809F3" w:rsidRDefault="00566360">
            <w:pPr>
              <w:jc w:val="right"/>
            </w:pPr>
            <w:r>
              <w:rPr>
                <w:color w:val="000000"/>
                <w:sz w:val="24"/>
                <w:szCs w:val="24"/>
              </w:rPr>
              <w:t>239,000</w:t>
            </w:r>
          </w:p>
        </w:tc>
        <w:tc>
          <w:tcPr>
            <w:tcW w:w="1924" w:type="dxa"/>
            <w:vAlign w:val="center"/>
          </w:tcPr>
          <w:p w:rsidR="001809F3" w:rsidRDefault="00566360">
            <w:pPr>
              <w:jc w:val="right"/>
            </w:pPr>
            <w:r>
              <w:rPr>
                <w:color w:val="000000"/>
                <w:sz w:val="24"/>
                <w:szCs w:val="24"/>
              </w:rPr>
              <w:t>7,872,660.00</w:t>
            </w:r>
          </w:p>
        </w:tc>
        <w:tc>
          <w:tcPr>
            <w:tcW w:w="1644" w:type="dxa"/>
            <w:vAlign w:val="center"/>
          </w:tcPr>
          <w:p w:rsidR="001809F3" w:rsidRDefault="00566360">
            <w:pPr>
              <w:jc w:val="right"/>
            </w:pPr>
            <w:r>
              <w:rPr>
                <w:color w:val="000000"/>
                <w:sz w:val="24"/>
                <w:szCs w:val="24"/>
              </w:rPr>
              <w:t>2.71</w:t>
            </w:r>
          </w:p>
        </w:tc>
      </w:tr>
      <w:tr w:rsidR="001809F3">
        <w:trPr>
          <w:jc w:val="center"/>
        </w:trPr>
        <w:tc>
          <w:tcPr>
            <w:tcW w:w="855" w:type="dxa"/>
            <w:vAlign w:val="center"/>
          </w:tcPr>
          <w:p w:rsidR="001809F3" w:rsidRDefault="00566360">
            <w:pPr>
              <w:jc w:val="center"/>
            </w:pPr>
            <w:r>
              <w:rPr>
                <w:color w:val="000000"/>
                <w:sz w:val="24"/>
                <w:szCs w:val="24"/>
              </w:rPr>
              <w:t>2</w:t>
            </w:r>
          </w:p>
        </w:tc>
        <w:tc>
          <w:tcPr>
            <w:tcW w:w="1334" w:type="dxa"/>
            <w:vAlign w:val="center"/>
          </w:tcPr>
          <w:p w:rsidR="001809F3" w:rsidRDefault="00566360">
            <w:pPr>
              <w:jc w:val="center"/>
            </w:pPr>
            <w:r>
              <w:rPr>
                <w:color w:val="000000"/>
                <w:sz w:val="24"/>
                <w:szCs w:val="24"/>
              </w:rPr>
              <w:t>601988</w:t>
            </w:r>
          </w:p>
        </w:tc>
        <w:tc>
          <w:tcPr>
            <w:tcW w:w="1777" w:type="dxa"/>
            <w:vAlign w:val="center"/>
          </w:tcPr>
          <w:p w:rsidR="001809F3" w:rsidRDefault="00566360">
            <w:pPr>
              <w:jc w:val="center"/>
            </w:pPr>
            <w:r>
              <w:rPr>
                <w:color w:val="000000"/>
                <w:sz w:val="24"/>
                <w:szCs w:val="24"/>
              </w:rPr>
              <w:t>中国银行</w:t>
            </w:r>
          </w:p>
        </w:tc>
        <w:tc>
          <w:tcPr>
            <w:tcW w:w="1334" w:type="dxa"/>
            <w:vAlign w:val="center"/>
          </w:tcPr>
          <w:p w:rsidR="001809F3" w:rsidRDefault="00566360">
            <w:pPr>
              <w:jc w:val="right"/>
            </w:pPr>
            <w:r>
              <w:rPr>
                <w:color w:val="000000"/>
                <w:sz w:val="24"/>
                <w:szCs w:val="24"/>
              </w:rPr>
              <w:t>1,516,000</w:t>
            </w:r>
          </w:p>
        </w:tc>
        <w:tc>
          <w:tcPr>
            <w:tcW w:w="1924" w:type="dxa"/>
            <w:vAlign w:val="center"/>
          </w:tcPr>
          <w:p w:rsidR="001809F3" w:rsidRDefault="00566360">
            <w:pPr>
              <w:jc w:val="right"/>
            </w:pPr>
            <w:r>
              <w:rPr>
                <w:color w:val="000000"/>
                <w:sz w:val="24"/>
                <w:szCs w:val="24"/>
              </w:rPr>
              <w:t>6,640,080.00</w:t>
            </w:r>
          </w:p>
        </w:tc>
        <w:tc>
          <w:tcPr>
            <w:tcW w:w="1644" w:type="dxa"/>
            <w:vAlign w:val="center"/>
          </w:tcPr>
          <w:p w:rsidR="001809F3" w:rsidRDefault="00566360">
            <w:pPr>
              <w:jc w:val="right"/>
            </w:pPr>
            <w:r>
              <w:rPr>
                <w:color w:val="000000"/>
                <w:sz w:val="24"/>
                <w:szCs w:val="24"/>
              </w:rPr>
              <w:t>2.29</w:t>
            </w:r>
          </w:p>
        </w:tc>
      </w:tr>
      <w:tr w:rsidR="001809F3">
        <w:trPr>
          <w:jc w:val="center"/>
        </w:trPr>
        <w:tc>
          <w:tcPr>
            <w:tcW w:w="855" w:type="dxa"/>
            <w:vAlign w:val="center"/>
          </w:tcPr>
          <w:p w:rsidR="001809F3" w:rsidRDefault="00566360">
            <w:pPr>
              <w:jc w:val="center"/>
            </w:pPr>
            <w:r>
              <w:rPr>
                <w:color w:val="000000"/>
                <w:sz w:val="24"/>
                <w:szCs w:val="24"/>
              </w:rPr>
              <w:lastRenderedPageBreak/>
              <w:t>3</w:t>
            </w:r>
          </w:p>
        </w:tc>
        <w:tc>
          <w:tcPr>
            <w:tcW w:w="1334" w:type="dxa"/>
            <w:vAlign w:val="center"/>
          </w:tcPr>
          <w:p w:rsidR="001809F3" w:rsidRDefault="00566360">
            <w:pPr>
              <w:jc w:val="center"/>
            </w:pPr>
            <w:r>
              <w:rPr>
                <w:color w:val="000000"/>
                <w:sz w:val="24"/>
                <w:szCs w:val="24"/>
              </w:rPr>
              <w:t>601166</w:t>
            </w:r>
          </w:p>
        </w:tc>
        <w:tc>
          <w:tcPr>
            <w:tcW w:w="1777" w:type="dxa"/>
            <w:vAlign w:val="center"/>
          </w:tcPr>
          <w:p w:rsidR="001809F3" w:rsidRDefault="00566360">
            <w:pPr>
              <w:jc w:val="center"/>
            </w:pPr>
            <w:r>
              <w:rPr>
                <w:color w:val="000000"/>
                <w:sz w:val="24"/>
                <w:szCs w:val="24"/>
              </w:rPr>
              <w:t>兴业银行</w:t>
            </w:r>
          </w:p>
        </w:tc>
        <w:tc>
          <w:tcPr>
            <w:tcW w:w="1334" w:type="dxa"/>
            <w:vAlign w:val="center"/>
          </w:tcPr>
          <w:p w:rsidR="001809F3" w:rsidRDefault="00566360">
            <w:pPr>
              <w:jc w:val="right"/>
            </w:pPr>
            <w:r>
              <w:rPr>
                <w:color w:val="000000"/>
                <w:sz w:val="24"/>
                <w:szCs w:val="24"/>
              </w:rPr>
              <w:t>322,300</w:t>
            </w:r>
          </w:p>
        </w:tc>
        <w:tc>
          <w:tcPr>
            <w:tcW w:w="1924" w:type="dxa"/>
            <w:vAlign w:val="center"/>
          </w:tcPr>
          <w:p w:rsidR="001809F3" w:rsidRDefault="00566360">
            <w:pPr>
              <w:jc w:val="right"/>
            </w:pPr>
            <w:r>
              <w:rPr>
                <w:color w:val="000000"/>
                <w:sz w:val="24"/>
                <w:szCs w:val="24"/>
              </w:rPr>
              <w:t>5,917,428.00</w:t>
            </w:r>
          </w:p>
        </w:tc>
        <w:tc>
          <w:tcPr>
            <w:tcW w:w="1644" w:type="dxa"/>
            <w:vAlign w:val="center"/>
          </w:tcPr>
          <w:p w:rsidR="001809F3" w:rsidRDefault="00566360">
            <w:pPr>
              <w:jc w:val="right"/>
            </w:pPr>
            <w:r>
              <w:rPr>
                <w:color w:val="000000"/>
                <w:sz w:val="24"/>
                <w:szCs w:val="24"/>
              </w:rPr>
              <w:t>2.04</w:t>
            </w:r>
          </w:p>
        </w:tc>
      </w:tr>
      <w:tr w:rsidR="001809F3">
        <w:trPr>
          <w:jc w:val="center"/>
        </w:trPr>
        <w:tc>
          <w:tcPr>
            <w:tcW w:w="855" w:type="dxa"/>
            <w:vAlign w:val="center"/>
          </w:tcPr>
          <w:p w:rsidR="001809F3" w:rsidRDefault="00566360">
            <w:pPr>
              <w:jc w:val="center"/>
            </w:pPr>
            <w:r>
              <w:rPr>
                <w:color w:val="000000"/>
                <w:sz w:val="24"/>
                <w:szCs w:val="24"/>
              </w:rPr>
              <w:t>4</w:t>
            </w:r>
          </w:p>
        </w:tc>
        <w:tc>
          <w:tcPr>
            <w:tcW w:w="1334" w:type="dxa"/>
            <w:vAlign w:val="center"/>
          </w:tcPr>
          <w:p w:rsidR="001809F3" w:rsidRDefault="00566360">
            <w:pPr>
              <w:jc w:val="center"/>
            </w:pPr>
            <w:r>
              <w:rPr>
                <w:color w:val="000000"/>
                <w:sz w:val="24"/>
                <w:szCs w:val="24"/>
              </w:rPr>
              <w:t>000960</w:t>
            </w:r>
          </w:p>
        </w:tc>
        <w:tc>
          <w:tcPr>
            <w:tcW w:w="1777" w:type="dxa"/>
            <w:vAlign w:val="center"/>
          </w:tcPr>
          <w:p w:rsidR="001809F3" w:rsidRDefault="00566360">
            <w:pPr>
              <w:jc w:val="center"/>
            </w:pPr>
            <w:r>
              <w:rPr>
                <w:color w:val="000000"/>
                <w:sz w:val="24"/>
                <w:szCs w:val="24"/>
              </w:rPr>
              <w:t>锡业股份</w:t>
            </w:r>
          </w:p>
        </w:tc>
        <w:tc>
          <w:tcPr>
            <w:tcW w:w="1334" w:type="dxa"/>
            <w:vAlign w:val="center"/>
          </w:tcPr>
          <w:p w:rsidR="001809F3" w:rsidRDefault="00566360">
            <w:pPr>
              <w:jc w:val="right"/>
            </w:pPr>
            <w:r>
              <w:rPr>
                <w:color w:val="000000"/>
                <w:sz w:val="24"/>
                <w:szCs w:val="24"/>
              </w:rPr>
              <w:t>250,200</w:t>
            </w:r>
          </w:p>
        </w:tc>
        <w:tc>
          <w:tcPr>
            <w:tcW w:w="1924" w:type="dxa"/>
            <w:vAlign w:val="center"/>
          </w:tcPr>
          <w:p w:rsidR="001809F3" w:rsidRDefault="00566360">
            <w:pPr>
              <w:jc w:val="right"/>
            </w:pPr>
            <w:r>
              <w:rPr>
                <w:color w:val="000000"/>
                <w:sz w:val="24"/>
                <w:szCs w:val="24"/>
              </w:rPr>
              <w:t>5,599,476.00</w:t>
            </w:r>
          </w:p>
        </w:tc>
        <w:tc>
          <w:tcPr>
            <w:tcW w:w="1644" w:type="dxa"/>
            <w:vAlign w:val="center"/>
          </w:tcPr>
          <w:p w:rsidR="001809F3" w:rsidRDefault="00566360">
            <w:pPr>
              <w:jc w:val="right"/>
            </w:pPr>
            <w:r>
              <w:rPr>
                <w:color w:val="000000"/>
                <w:sz w:val="24"/>
                <w:szCs w:val="24"/>
              </w:rPr>
              <w:t>1.93</w:t>
            </w:r>
          </w:p>
        </w:tc>
      </w:tr>
      <w:tr w:rsidR="001809F3">
        <w:trPr>
          <w:jc w:val="center"/>
        </w:trPr>
        <w:tc>
          <w:tcPr>
            <w:tcW w:w="855" w:type="dxa"/>
            <w:vAlign w:val="center"/>
          </w:tcPr>
          <w:p w:rsidR="001809F3" w:rsidRDefault="00566360">
            <w:pPr>
              <w:jc w:val="center"/>
            </w:pPr>
            <w:r>
              <w:rPr>
                <w:color w:val="000000"/>
                <w:sz w:val="24"/>
                <w:szCs w:val="24"/>
              </w:rPr>
              <w:t>5</w:t>
            </w:r>
          </w:p>
        </w:tc>
        <w:tc>
          <w:tcPr>
            <w:tcW w:w="1334" w:type="dxa"/>
            <w:vAlign w:val="center"/>
          </w:tcPr>
          <w:p w:rsidR="001809F3" w:rsidRDefault="00566360">
            <w:pPr>
              <w:jc w:val="center"/>
            </w:pPr>
            <w:r>
              <w:rPr>
                <w:color w:val="000000"/>
                <w:sz w:val="24"/>
                <w:szCs w:val="24"/>
              </w:rPr>
              <w:t>000630</w:t>
            </w:r>
          </w:p>
        </w:tc>
        <w:tc>
          <w:tcPr>
            <w:tcW w:w="1777" w:type="dxa"/>
            <w:vAlign w:val="center"/>
          </w:tcPr>
          <w:p w:rsidR="001809F3" w:rsidRDefault="00566360">
            <w:pPr>
              <w:jc w:val="center"/>
            </w:pPr>
            <w:r>
              <w:rPr>
                <w:color w:val="000000"/>
                <w:sz w:val="24"/>
                <w:szCs w:val="24"/>
              </w:rPr>
              <w:t>铜陵有色</w:t>
            </w:r>
          </w:p>
        </w:tc>
        <w:tc>
          <w:tcPr>
            <w:tcW w:w="1334" w:type="dxa"/>
            <w:vAlign w:val="center"/>
          </w:tcPr>
          <w:p w:rsidR="001809F3" w:rsidRDefault="00566360">
            <w:pPr>
              <w:jc w:val="right"/>
            </w:pPr>
            <w:r>
              <w:rPr>
                <w:color w:val="000000"/>
                <w:sz w:val="24"/>
                <w:szCs w:val="24"/>
              </w:rPr>
              <w:t>327,200</w:t>
            </w:r>
          </w:p>
        </w:tc>
        <w:tc>
          <w:tcPr>
            <w:tcW w:w="1924" w:type="dxa"/>
            <w:vAlign w:val="center"/>
          </w:tcPr>
          <w:p w:rsidR="001809F3" w:rsidRDefault="00566360">
            <w:pPr>
              <w:jc w:val="right"/>
            </w:pPr>
            <w:r>
              <w:rPr>
                <w:color w:val="000000"/>
                <w:sz w:val="24"/>
                <w:szCs w:val="24"/>
              </w:rPr>
              <w:t>5,539,496.00</w:t>
            </w:r>
          </w:p>
        </w:tc>
        <w:tc>
          <w:tcPr>
            <w:tcW w:w="1644" w:type="dxa"/>
            <w:vAlign w:val="center"/>
          </w:tcPr>
          <w:p w:rsidR="001809F3" w:rsidRDefault="00566360">
            <w:pPr>
              <w:jc w:val="right"/>
            </w:pPr>
            <w:r>
              <w:rPr>
                <w:color w:val="000000"/>
                <w:sz w:val="24"/>
                <w:szCs w:val="24"/>
              </w:rPr>
              <w:t>1.91</w:t>
            </w:r>
          </w:p>
        </w:tc>
      </w:tr>
      <w:tr w:rsidR="001809F3">
        <w:trPr>
          <w:jc w:val="center"/>
        </w:trPr>
        <w:tc>
          <w:tcPr>
            <w:tcW w:w="855" w:type="dxa"/>
            <w:vAlign w:val="center"/>
          </w:tcPr>
          <w:p w:rsidR="001809F3" w:rsidRDefault="00566360">
            <w:pPr>
              <w:jc w:val="center"/>
            </w:pPr>
            <w:r>
              <w:rPr>
                <w:color w:val="000000"/>
                <w:sz w:val="24"/>
                <w:szCs w:val="24"/>
              </w:rPr>
              <w:t>6</w:t>
            </w:r>
          </w:p>
        </w:tc>
        <w:tc>
          <w:tcPr>
            <w:tcW w:w="1334" w:type="dxa"/>
            <w:vAlign w:val="center"/>
          </w:tcPr>
          <w:p w:rsidR="001809F3" w:rsidRDefault="00566360">
            <w:pPr>
              <w:jc w:val="center"/>
            </w:pPr>
            <w:r>
              <w:rPr>
                <w:color w:val="000000"/>
                <w:sz w:val="24"/>
                <w:szCs w:val="24"/>
              </w:rPr>
              <w:t>000333</w:t>
            </w:r>
          </w:p>
        </w:tc>
        <w:tc>
          <w:tcPr>
            <w:tcW w:w="1777" w:type="dxa"/>
            <w:vAlign w:val="center"/>
          </w:tcPr>
          <w:p w:rsidR="001809F3" w:rsidRDefault="00566360">
            <w:pPr>
              <w:jc w:val="center"/>
            </w:pPr>
            <w:r>
              <w:rPr>
                <w:color w:val="000000"/>
                <w:sz w:val="24"/>
                <w:szCs w:val="24"/>
              </w:rPr>
              <w:t>美的集团</w:t>
            </w:r>
          </w:p>
        </w:tc>
        <w:tc>
          <w:tcPr>
            <w:tcW w:w="1334" w:type="dxa"/>
            <w:vAlign w:val="center"/>
          </w:tcPr>
          <w:p w:rsidR="001809F3" w:rsidRDefault="00566360">
            <w:pPr>
              <w:jc w:val="right"/>
            </w:pPr>
            <w:r>
              <w:rPr>
                <w:color w:val="000000"/>
                <w:sz w:val="24"/>
                <w:szCs w:val="24"/>
              </w:rPr>
              <w:t>162,142</w:t>
            </w:r>
          </w:p>
        </w:tc>
        <w:tc>
          <w:tcPr>
            <w:tcW w:w="1924" w:type="dxa"/>
            <w:vAlign w:val="center"/>
          </w:tcPr>
          <w:p w:rsidR="001809F3" w:rsidRDefault="00566360">
            <w:pPr>
              <w:jc w:val="right"/>
            </w:pPr>
            <w:r>
              <w:rPr>
                <w:color w:val="000000"/>
                <w:sz w:val="24"/>
                <w:szCs w:val="24"/>
              </w:rPr>
              <w:t>5,342,578.90</w:t>
            </w:r>
          </w:p>
        </w:tc>
        <w:tc>
          <w:tcPr>
            <w:tcW w:w="1644" w:type="dxa"/>
            <w:vAlign w:val="center"/>
          </w:tcPr>
          <w:p w:rsidR="001809F3" w:rsidRDefault="00566360">
            <w:pPr>
              <w:jc w:val="right"/>
            </w:pPr>
            <w:r>
              <w:rPr>
                <w:color w:val="000000"/>
                <w:sz w:val="24"/>
                <w:szCs w:val="24"/>
              </w:rPr>
              <w:t>1.84</w:t>
            </w:r>
          </w:p>
        </w:tc>
      </w:tr>
      <w:tr w:rsidR="001809F3">
        <w:trPr>
          <w:jc w:val="center"/>
        </w:trPr>
        <w:tc>
          <w:tcPr>
            <w:tcW w:w="855" w:type="dxa"/>
            <w:vAlign w:val="center"/>
          </w:tcPr>
          <w:p w:rsidR="001809F3" w:rsidRDefault="00566360">
            <w:pPr>
              <w:jc w:val="center"/>
            </w:pPr>
            <w:r>
              <w:rPr>
                <w:color w:val="000000"/>
                <w:sz w:val="24"/>
                <w:szCs w:val="24"/>
              </w:rPr>
              <w:t>7</w:t>
            </w:r>
          </w:p>
        </w:tc>
        <w:tc>
          <w:tcPr>
            <w:tcW w:w="1334" w:type="dxa"/>
            <w:vAlign w:val="center"/>
          </w:tcPr>
          <w:p w:rsidR="001809F3" w:rsidRDefault="00566360">
            <w:pPr>
              <w:jc w:val="center"/>
            </w:pPr>
            <w:r>
              <w:rPr>
                <w:color w:val="000000"/>
                <w:sz w:val="24"/>
                <w:szCs w:val="24"/>
              </w:rPr>
              <w:t>601688</w:t>
            </w:r>
          </w:p>
        </w:tc>
        <w:tc>
          <w:tcPr>
            <w:tcW w:w="1777" w:type="dxa"/>
            <w:vAlign w:val="center"/>
          </w:tcPr>
          <w:p w:rsidR="001809F3" w:rsidRDefault="00566360">
            <w:pPr>
              <w:jc w:val="center"/>
            </w:pPr>
            <w:r>
              <w:rPr>
                <w:color w:val="000000"/>
                <w:sz w:val="24"/>
                <w:szCs w:val="24"/>
              </w:rPr>
              <w:t>华泰证券</w:t>
            </w:r>
          </w:p>
        </w:tc>
        <w:tc>
          <w:tcPr>
            <w:tcW w:w="1334" w:type="dxa"/>
            <w:vAlign w:val="center"/>
          </w:tcPr>
          <w:p w:rsidR="001809F3" w:rsidRDefault="00566360">
            <w:pPr>
              <w:jc w:val="right"/>
            </w:pPr>
            <w:r>
              <w:rPr>
                <w:color w:val="000000"/>
                <w:sz w:val="24"/>
                <w:szCs w:val="24"/>
              </w:rPr>
              <w:t>155,100</w:t>
            </w:r>
          </w:p>
        </w:tc>
        <w:tc>
          <w:tcPr>
            <w:tcW w:w="1924" w:type="dxa"/>
            <w:vAlign w:val="center"/>
          </w:tcPr>
          <w:p w:rsidR="001809F3" w:rsidRDefault="00566360">
            <w:pPr>
              <w:jc w:val="right"/>
            </w:pPr>
            <w:r>
              <w:rPr>
                <w:color w:val="000000"/>
                <w:sz w:val="24"/>
                <w:szCs w:val="24"/>
              </w:rPr>
              <w:t>4,670,061.00</w:t>
            </w:r>
          </w:p>
        </w:tc>
        <w:tc>
          <w:tcPr>
            <w:tcW w:w="1644" w:type="dxa"/>
            <w:vAlign w:val="center"/>
          </w:tcPr>
          <w:p w:rsidR="001809F3" w:rsidRDefault="00566360">
            <w:pPr>
              <w:jc w:val="right"/>
            </w:pPr>
            <w:r>
              <w:rPr>
                <w:color w:val="000000"/>
                <w:sz w:val="24"/>
                <w:szCs w:val="24"/>
              </w:rPr>
              <w:t>1.61</w:t>
            </w:r>
          </w:p>
        </w:tc>
      </w:tr>
      <w:tr w:rsidR="001809F3">
        <w:trPr>
          <w:jc w:val="center"/>
        </w:trPr>
        <w:tc>
          <w:tcPr>
            <w:tcW w:w="855" w:type="dxa"/>
            <w:vAlign w:val="center"/>
          </w:tcPr>
          <w:p w:rsidR="001809F3" w:rsidRDefault="00566360">
            <w:pPr>
              <w:jc w:val="center"/>
            </w:pPr>
            <w:r>
              <w:rPr>
                <w:color w:val="000000"/>
                <w:sz w:val="24"/>
                <w:szCs w:val="24"/>
              </w:rPr>
              <w:t>8</w:t>
            </w:r>
          </w:p>
        </w:tc>
        <w:tc>
          <w:tcPr>
            <w:tcW w:w="1334" w:type="dxa"/>
            <w:vAlign w:val="center"/>
          </w:tcPr>
          <w:p w:rsidR="001809F3" w:rsidRDefault="00566360">
            <w:pPr>
              <w:jc w:val="center"/>
            </w:pPr>
            <w:r>
              <w:rPr>
                <w:color w:val="000000"/>
                <w:sz w:val="24"/>
                <w:szCs w:val="24"/>
              </w:rPr>
              <w:t>601336</w:t>
            </w:r>
          </w:p>
        </w:tc>
        <w:tc>
          <w:tcPr>
            <w:tcW w:w="1777" w:type="dxa"/>
            <w:vAlign w:val="center"/>
          </w:tcPr>
          <w:p w:rsidR="001809F3" w:rsidRDefault="00566360">
            <w:pPr>
              <w:jc w:val="center"/>
            </w:pPr>
            <w:r>
              <w:rPr>
                <w:color w:val="000000"/>
                <w:sz w:val="24"/>
                <w:szCs w:val="24"/>
              </w:rPr>
              <w:t>新华保险</w:t>
            </w:r>
          </w:p>
        </w:tc>
        <w:tc>
          <w:tcPr>
            <w:tcW w:w="1334" w:type="dxa"/>
            <w:vAlign w:val="center"/>
          </w:tcPr>
          <w:p w:rsidR="001809F3" w:rsidRDefault="00566360">
            <w:pPr>
              <w:jc w:val="right"/>
            </w:pPr>
            <w:r>
              <w:rPr>
                <w:color w:val="000000"/>
                <w:sz w:val="24"/>
                <w:szCs w:val="24"/>
              </w:rPr>
              <w:t>86,846</w:t>
            </w:r>
          </w:p>
        </w:tc>
        <w:tc>
          <w:tcPr>
            <w:tcW w:w="1924" w:type="dxa"/>
            <w:vAlign w:val="center"/>
          </w:tcPr>
          <w:p w:rsidR="001809F3" w:rsidRDefault="00566360">
            <w:pPr>
              <w:jc w:val="right"/>
            </w:pPr>
            <w:r>
              <w:rPr>
                <w:color w:val="000000"/>
                <w:sz w:val="24"/>
                <w:szCs w:val="24"/>
              </w:rPr>
              <w:t>4,603,706.46</w:t>
            </w:r>
          </w:p>
        </w:tc>
        <w:tc>
          <w:tcPr>
            <w:tcW w:w="1644" w:type="dxa"/>
            <w:vAlign w:val="center"/>
          </w:tcPr>
          <w:p w:rsidR="001809F3" w:rsidRDefault="00566360">
            <w:pPr>
              <w:jc w:val="right"/>
            </w:pPr>
            <w:r>
              <w:rPr>
                <w:color w:val="000000"/>
                <w:sz w:val="24"/>
                <w:szCs w:val="24"/>
              </w:rPr>
              <w:t>1.59</w:t>
            </w:r>
          </w:p>
        </w:tc>
      </w:tr>
      <w:tr w:rsidR="001809F3">
        <w:trPr>
          <w:jc w:val="center"/>
        </w:trPr>
        <w:tc>
          <w:tcPr>
            <w:tcW w:w="855" w:type="dxa"/>
            <w:vAlign w:val="center"/>
          </w:tcPr>
          <w:p w:rsidR="001809F3" w:rsidRDefault="00566360">
            <w:pPr>
              <w:jc w:val="center"/>
            </w:pPr>
            <w:r>
              <w:rPr>
                <w:color w:val="000000"/>
                <w:sz w:val="24"/>
                <w:szCs w:val="24"/>
              </w:rPr>
              <w:t>9</w:t>
            </w:r>
          </w:p>
        </w:tc>
        <w:tc>
          <w:tcPr>
            <w:tcW w:w="1334" w:type="dxa"/>
            <w:vAlign w:val="center"/>
          </w:tcPr>
          <w:p w:rsidR="001809F3" w:rsidRDefault="00566360">
            <w:pPr>
              <w:jc w:val="center"/>
            </w:pPr>
            <w:r>
              <w:rPr>
                <w:color w:val="000000"/>
                <w:sz w:val="24"/>
                <w:szCs w:val="24"/>
              </w:rPr>
              <w:t>000807</w:t>
            </w:r>
          </w:p>
        </w:tc>
        <w:tc>
          <w:tcPr>
            <w:tcW w:w="1777" w:type="dxa"/>
            <w:vAlign w:val="center"/>
          </w:tcPr>
          <w:p w:rsidR="001809F3" w:rsidRDefault="00566360">
            <w:pPr>
              <w:jc w:val="center"/>
            </w:pPr>
            <w:r>
              <w:rPr>
                <w:color w:val="000000"/>
                <w:sz w:val="24"/>
                <w:szCs w:val="24"/>
              </w:rPr>
              <w:t>云铝股份</w:t>
            </w:r>
          </w:p>
        </w:tc>
        <w:tc>
          <w:tcPr>
            <w:tcW w:w="1334" w:type="dxa"/>
            <w:vAlign w:val="center"/>
          </w:tcPr>
          <w:p w:rsidR="001809F3" w:rsidRDefault="00566360">
            <w:pPr>
              <w:jc w:val="right"/>
            </w:pPr>
            <w:r>
              <w:rPr>
                <w:color w:val="000000"/>
                <w:sz w:val="24"/>
                <w:szCs w:val="24"/>
              </w:rPr>
              <w:t>509,347</w:t>
            </w:r>
          </w:p>
        </w:tc>
        <w:tc>
          <w:tcPr>
            <w:tcW w:w="1924" w:type="dxa"/>
            <w:vAlign w:val="center"/>
          </w:tcPr>
          <w:p w:rsidR="001809F3" w:rsidRDefault="00566360">
            <w:pPr>
              <w:jc w:val="right"/>
            </w:pPr>
            <w:r>
              <w:rPr>
                <w:color w:val="000000"/>
                <w:sz w:val="24"/>
                <w:szCs w:val="24"/>
              </w:rPr>
              <w:t>4,589,216.47</w:t>
            </w:r>
          </w:p>
        </w:tc>
        <w:tc>
          <w:tcPr>
            <w:tcW w:w="1644" w:type="dxa"/>
            <w:vAlign w:val="center"/>
          </w:tcPr>
          <w:p w:rsidR="001809F3" w:rsidRDefault="00566360">
            <w:pPr>
              <w:jc w:val="right"/>
            </w:pPr>
            <w:r>
              <w:rPr>
                <w:color w:val="000000"/>
                <w:sz w:val="24"/>
                <w:szCs w:val="24"/>
              </w:rPr>
              <w:t>1.58</w:t>
            </w:r>
          </w:p>
        </w:tc>
      </w:tr>
      <w:tr w:rsidR="001809F3">
        <w:trPr>
          <w:jc w:val="center"/>
        </w:trPr>
        <w:tc>
          <w:tcPr>
            <w:tcW w:w="855" w:type="dxa"/>
            <w:vAlign w:val="center"/>
          </w:tcPr>
          <w:p w:rsidR="001809F3" w:rsidRDefault="00566360">
            <w:pPr>
              <w:jc w:val="center"/>
            </w:pPr>
            <w:r>
              <w:rPr>
                <w:color w:val="000000"/>
                <w:sz w:val="24"/>
                <w:szCs w:val="24"/>
              </w:rPr>
              <w:t>10</w:t>
            </w:r>
          </w:p>
        </w:tc>
        <w:tc>
          <w:tcPr>
            <w:tcW w:w="1334" w:type="dxa"/>
            <w:vAlign w:val="center"/>
          </w:tcPr>
          <w:p w:rsidR="001809F3" w:rsidRDefault="00566360">
            <w:pPr>
              <w:jc w:val="center"/>
            </w:pPr>
            <w:r>
              <w:rPr>
                <w:color w:val="000000"/>
                <w:sz w:val="24"/>
                <w:szCs w:val="24"/>
              </w:rPr>
              <w:t>002268</w:t>
            </w:r>
          </w:p>
        </w:tc>
        <w:tc>
          <w:tcPr>
            <w:tcW w:w="1777" w:type="dxa"/>
            <w:vAlign w:val="center"/>
          </w:tcPr>
          <w:p w:rsidR="001809F3" w:rsidRDefault="00566360">
            <w:pPr>
              <w:jc w:val="center"/>
            </w:pPr>
            <w:r>
              <w:rPr>
                <w:color w:val="000000"/>
                <w:sz w:val="24"/>
                <w:szCs w:val="24"/>
              </w:rPr>
              <w:t>卫</w:t>
            </w:r>
            <w:r>
              <w:rPr>
                <w:color w:val="000000"/>
                <w:sz w:val="24"/>
                <w:szCs w:val="24"/>
              </w:rPr>
              <w:t xml:space="preserve"> </w:t>
            </w:r>
            <w:r>
              <w:rPr>
                <w:color w:val="000000"/>
                <w:sz w:val="24"/>
                <w:szCs w:val="24"/>
              </w:rPr>
              <w:t>士</w:t>
            </w:r>
            <w:r>
              <w:rPr>
                <w:color w:val="000000"/>
                <w:sz w:val="24"/>
                <w:szCs w:val="24"/>
              </w:rPr>
              <w:t xml:space="preserve"> </w:t>
            </w:r>
            <w:r>
              <w:rPr>
                <w:color w:val="000000"/>
                <w:sz w:val="24"/>
                <w:szCs w:val="24"/>
              </w:rPr>
              <w:t>通</w:t>
            </w:r>
          </w:p>
        </w:tc>
        <w:tc>
          <w:tcPr>
            <w:tcW w:w="1334" w:type="dxa"/>
            <w:vAlign w:val="center"/>
          </w:tcPr>
          <w:p w:rsidR="001809F3" w:rsidRDefault="00566360">
            <w:pPr>
              <w:jc w:val="right"/>
            </w:pPr>
            <w:r>
              <w:rPr>
                <w:color w:val="000000"/>
                <w:sz w:val="24"/>
                <w:szCs w:val="24"/>
              </w:rPr>
              <w:t>36,309</w:t>
            </w:r>
          </w:p>
        </w:tc>
        <w:tc>
          <w:tcPr>
            <w:tcW w:w="1924" w:type="dxa"/>
            <w:vAlign w:val="center"/>
          </w:tcPr>
          <w:p w:rsidR="001809F3" w:rsidRDefault="00566360">
            <w:pPr>
              <w:jc w:val="right"/>
            </w:pPr>
            <w:r>
              <w:rPr>
                <w:color w:val="000000"/>
                <w:sz w:val="24"/>
                <w:szCs w:val="24"/>
              </w:rPr>
              <w:t>3,915,925.65</w:t>
            </w:r>
          </w:p>
        </w:tc>
        <w:tc>
          <w:tcPr>
            <w:tcW w:w="1644" w:type="dxa"/>
            <w:vAlign w:val="center"/>
          </w:tcPr>
          <w:p w:rsidR="001809F3" w:rsidRDefault="00566360">
            <w:pPr>
              <w:jc w:val="right"/>
            </w:pPr>
            <w:r>
              <w:rPr>
                <w:color w:val="000000"/>
                <w:sz w:val="24"/>
                <w:szCs w:val="24"/>
              </w:rPr>
              <w:t>1.35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566360" w:rsidRPr="00BE5388" w:rsidRDefault="00566360" w:rsidP="00E40D31">
      <w:pPr>
        <w:autoSpaceDE w:val="0"/>
        <w:autoSpaceDN w:val="0"/>
        <w:adjustRightInd w:val="0"/>
        <w:spacing w:before="29" w:line="288" w:lineRule="auto"/>
        <w:jc w:val="left"/>
        <w:rPr>
          <w:bCs/>
          <w:color w:val="000000"/>
          <w:kern w:val="0"/>
          <w:sz w:val="24"/>
          <w:szCs w:val="24"/>
        </w:rPr>
      </w:pPr>
    </w:p>
    <w:p w:rsid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566360" w:rsidRPr="00BE5388" w:rsidRDefault="00566360" w:rsidP="00E40D31">
      <w:pPr>
        <w:autoSpaceDE w:val="0"/>
        <w:autoSpaceDN w:val="0"/>
        <w:adjustRightInd w:val="0"/>
        <w:spacing w:before="29" w:line="288" w:lineRule="auto"/>
        <w:jc w:val="left"/>
        <w:rPr>
          <w:bCs/>
          <w:color w:val="000000"/>
          <w:kern w:val="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85,331.28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6,147.22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4,627,436.97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4,718,915.47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809F3">
        <w:trPr>
          <w:jc w:val="center"/>
        </w:trPr>
        <w:tc>
          <w:tcPr>
            <w:tcW w:w="1129" w:type="dxa"/>
            <w:vAlign w:val="center"/>
          </w:tcPr>
          <w:p w:rsidR="001809F3" w:rsidRDefault="00566360">
            <w:pPr>
              <w:jc w:val="center"/>
            </w:pPr>
            <w:r>
              <w:rPr>
                <w:color w:val="000000"/>
                <w:sz w:val="24"/>
                <w:szCs w:val="24"/>
              </w:rPr>
              <w:t>1</w:t>
            </w:r>
          </w:p>
        </w:tc>
        <w:tc>
          <w:tcPr>
            <w:tcW w:w="1356" w:type="dxa"/>
            <w:vAlign w:val="center"/>
          </w:tcPr>
          <w:p w:rsidR="001809F3" w:rsidRDefault="00566360">
            <w:pPr>
              <w:jc w:val="center"/>
            </w:pPr>
            <w:r>
              <w:rPr>
                <w:color w:val="000000"/>
                <w:sz w:val="24"/>
                <w:szCs w:val="24"/>
              </w:rPr>
              <w:t>000630</w:t>
            </w:r>
          </w:p>
        </w:tc>
        <w:tc>
          <w:tcPr>
            <w:tcW w:w="1355" w:type="dxa"/>
            <w:vAlign w:val="center"/>
          </w:tcPr>
          <w:p w:rsidR="001809F3" w:rsidRDefault="00566360">
            <w:pPr>
              <w:jc w:val="center"/>
            </w:pPr>
            <w:r>
              <w:rPr>
                <w:color w:val="000000"/>
                <w:sz w:val="24"/>
                <w:szCs w:val="24"/>
              </w:rPr>
              <w:t>铜陵有色</w:t>
            </w:r>
          </w:p>
        </w:tc>
        <w:tc>
          <w:tcPr>
            <w:tcW w:w="1880" w:type="dxa"/>
            <w:vAlign w:val="center"/>
          </w:tcPr>
          <w:p w:rsidR="001809F3" w:rsidRDefault="00566360">
            <w:pPr>
              <w:jc w:val="right"/>
            </w:pPr>
            <w:r>
              <w:rPr>
                <w:color w:val="000000"/>
                <w:sz w:val="24"/>
                <w:szCs w:val="24"/>
              </w:rPr>
              <w:t>5,539,496.00</w:t>
            </w:r>
          </w:p>
        </w:tc>
        <w:tc>
          <w:tcPr>
            <w:tcW w:w="1724" w:type="dxa"/>
            <w:vAlign w:val="center"/>
          </w:tcPr>
          <w:p w:rsidR="001809F3" w:rsidRDefault="00566360">
            <w:pPr>
              <w:jc w:val="right"/>
            </w:pPr>
            <w:r>
              <w:rPr>
                <w:color w:val="000000"/>
                <w:sz w:val="24"/>
                <w:szCs w:val="24"/>
              </w:rPr>
              <w:t>1.91</w:t>
            </w:r>
          </w:p>
        </w:tc>
        <w:tc>
          <w:tcPr>
            <w:tcW w:w="1424" w:type="dxa"/>
            <w:vAlign w:val="center"/>
          </w:tcPr>
          <w:p w:rsidR="001809F3" w:rsidRDefault="00566360">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bookmarkStart w:id="0" w:name="_GoBack"/>
      <w:bookmarkEnd w:id="0"/>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123,695,557.42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92,119,171.75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73,904,734.54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141,909,994.63</w:t>
            </w:r>
          </w:p>
        </w:tc>
      </w:tr>
    </w:tbl>
    <w:p w:rsidR="001809F3" w:rsidRDefault="0056636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566360">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14.10</w:t>
            </w:r>
          </w:p>
        </w:tc>
      </w:tr>
    </w:tbl>
    <w:p w:rsidR="001809F3" w:rsidRDefault="0056636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56636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1809F3" w:rsidRDefault="00566360">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56636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809F3" w:rsidRDefault="00566360">
      <w:pPr>
        <w:spacing w:before="29" w:line="288" w:lineRule="auto"/>
        <w:ind w:firstLineChars="200" w:firstLine="480"/>
        <w:rPr>
          <w:color w:val="000000"/>
          <w:sz w:val="24"/>
          <w:szCs w:val="24"/>
        </w:rPr>
      </w:pPr>
      <w:r>
        <w:rPr>
          <w:color w:val="000000"/>
          <w:sz w:val="24"/>
          <w:szCs w:val="24"/>
        </w:rPr>
        <w:lastRenderedPageBreak/>
        <w:t>1</w:t>
      </w:r>
      <w:r>
        <w:rPr>
          <w:color w:val="000000"/>
          <w:sz w:val="24"/>
          <w:szCs w:val="24"/>
        </w:rPr>
        <w:t>、中国证监会核准交银施罗德阿尔法核心股票型证券投资基金募集的文件；</w:t>
      </w:r>
      <w:r>
        <w:rPr>
          <w:color w:val="000000"/>
          <w:sz w:val="24"/>
          <w:szCs w:val="24"/>
        </w:rPr>
        <w:t xml:space="preserve"> </w:t>
      </w:r>
    </w:p>
    <w:p w:rsidR="001809F3" w:rsidRDefault="0056636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、《交银施罗德阿尔法核心股票型证券投资基金基金合同》；</w:t>
      </w:r>
      <w:r>
        <w:rPr>
          <w:color w:val="000000"/>
          <w:sz w:val="24"/>
          <w:szCs w:val="24"/>
        </w:rPr>
        <w:t xml:space="preserve"> </w:t>
      </w:r>
    </w:p>
    <w:p w:rsidR="001809F3" w:rsidRDefault="0056636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、《交银施罗德阿尔法核心股票型证券投资基金招募说明书》；</w:t>
      </w:r>
      <w:r>
        <w:rPr>
          <w:color w:val="000000"/>
          <w:sz w:val="24"/>
          <w:szCs w:val="24"/>
        </w:rPr>
        <w:t xml:space="preserve"> </w:t>
      </w:r>
    </w:p>
    <w:p w:rsidR="001809F3" w:rsidRDefault="0056636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、《交银施罗德阿尔法核心股票型证券投资基金托管协议》；</w:t>
      </w:r>
    </w:p>
    <w:p w:rsidR="001809F3" w:rsidRDefault="00566360">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1809F3" w:rsidRDefault="0056636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1809F3" w:rsidRDefault="0056636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809F3" w:rsidRDefault="0056636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9B" w:rsidRDefault="00E3099B" w:rsidP="00876D65">
      <w:r>
        <w:separator/>
      </w:r>
    </w:p>
  </w:endnote>
  <w:endnote w:type="continuationSeparator" w:id="0">
    <w:p w:rsidR="00E3099B" w:rsidRDefault="00E3099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1809F3">
      <w:rPr>
        <w:kern w:val="0"/>
        <w:szCs w:val="21"/>
      </w:rPr>
      <w:fldChar w:fldCharType="begin"/>
    </w:r>
    <w:r>
      <w:rPr>
        <w:kern w:val="0"/>
        <w:szCs w:val="21"/>
      </w:rPr>
      <w:instrText xml:space="preserve"> PAGE </w:instrText>
    </w:r>
    <w:r w:rsidR="001809F3">
      <w:rPr>
        <w:kern w:val="0"/>
        <w:szCs w:val="21"/>
      </w:rPr>
      <w:fldChar w:fldCharType="separate"/>
    </w:r>
    <w:r w:rsidR="004C3D2F">
      <w:rPr>
        <w:noProof/>
        <w:kern w:val="0"/>
        <w:szCs w:val="21"/>
      </w:rPr>
      <w:t>11</w:t>
    </w:r>
    <w:r w:rsidR="001809F3">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1809F3">
      <w:rPr>
        <w:kern w:val="0"/>
        <w:szCs w:val="21"/>
      </w:rPr>
      <w:fldChar w:fldCharType="begin"/>
    </w:r>
    <w:r>
      <w:rPr>
        <w:kern w:val="0"/>
        <w:szCs w:val="21"/>
      </w:rPr>
      <w:instrText xml:space="preserve"> NUMPAGES </w:instrText>
    </w:r>
    <w:r w:rsidR="001809F3">
      <w:rPr>
        <w:kern w:val="0"/>
        <w:szCs w:val="21"/>
      </w:rPr>
      <w:fldChar w:fldCharType="separate"/>
    </w:r>
    <w:r w:rsidR="004C3D2F">
      <w:rPr>
        <w:noProof/>
        <w:kern w:val="0"/>
        <w:szCs w:val="21"/>
      </w:rPr>
      <w:t>11</w:t>
    </w:r>
    <w:r w:rsidR="001809F3">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9B" w:rsidRDefault="00E3099B" w:rsidP="00876D65">
      <w:r>
        <w:separator/>
      </w:r>
    </w:p>
  </w:footnote>
  <w:footnote w:type="continuationSeparator" w:id="0">
    <w:p w:rsidR="00E3099B" w:rsidRDefault="00E3099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09F3"/>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15CB"/>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B2189"/>
    <w:rsid w:val="004C0914"/>
    <w:rsid w:val="004C3D2F"/>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66360"/>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099B"/>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690F0F-14A1-4073-93EC-D5C6E35A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655D1-02AF-4A94-B4B7-659E85AF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562</cp:revision>
  <dcterms:created xsi:type="dcterms:W3CDTF">2012-10-16T06:07:00Z</dcterms:created>
  <dcterms:modified xsi:type="dcterms:W3CDTF">2015-04-16T02:31:00Z</dcterms:modified>
</cp:coreProperties>
</file>