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交银施罗德荣安保本混合型证券投资基金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E61BB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02B5F" w:rsidRDefault="004267F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02B5F" w:rsidRDefault="004267F5">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02B5F" w:rsidRDefault="004267F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02B5F" w:rsidRDefault="004267F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02B5F" w:rsidRDefault="004267F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61BB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交银荣安保本混合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696,474,389.43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本基金在追求保本周期到期时本金安全的基础上，通过稳健资产与风险资产的动态配置和有效的组合管理，力争实现保本周期内基金资产的稳定增长。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61BB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267F5" w:rsidRPr="00414345" w:rsidTr="004267F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267F5" w:rsidRPr="00414345" w:rsidTr="004267F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84,412,969.23</w:t>
            </w:r>
          </w:p>
        </w:tc>
      </w:tr>
      <w:tr w:rsidR="004267F5" w:rsidRPr="00414345" w:rsidTr="004267F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85,576,100.09</w:t>
            </w:r>
          </w:p>
        </w:tc>
      </w:tr>
      <w:tr w:rsidR="004267F5" w:rsidRPr="00414345" w:rsidTr="004267F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0.1177</w:t>
            </w:r>
          </w:p>
        </w:tc>
      </w:tr>
      <w:tr w:rsidR="004267F5" w:rsidRPr="00414345" w:rsidTr="004267F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849,284,118.20</w:t>
            </w:r>
          </w:p>
        </w:tc>
      </w:tr>
      <w:tr w:rsidR="004267F5" w:rsidRPr="00414345" w:rsidTr="004267F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1.219</w:t>
            </w:r>
          </w:p>
        </w:tc>
      </w:tr>
    </w:tbl>
    <w:p w:rsidR="00B02B5F" w:rsidRDefault="004267F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E61BBB">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61BBB">
        <w:trPr>
          <w:jc w:val="center"/>
        </w:trPr>
        <w:tc>
          <w:tcPr>
            <w:tcW w:w="1701" w:type="dxa"/>
            <w:vAlign w:val="center"/>
          </w:tcPr>
          <w:p w:rsidR="00E61BBB" w:rsidRDefault="00E61BBB">
            <w:pPr>
              <w:jc w:val="left"/>
            </w:pPr>
            <w:r>
              <w:rPr>
                <w:color w:val="000000"/>
                <w:sz w:val="24"/>
                <w:szCs w:val="24"/>
              </w:rPr>
              <w:t>过去三个月</w:t>
            </w:r>
          </w:p>
        </w:tc>
        <w:tc>
          <w:tcPr>
            <w:tcW w:w="1045" w:type="dxa"/>
            <w:vAlign w:val="center"/>
          </w:tcPr>
          <w:p w:rsidR="00E61BBB" w:rsidRPr="00E61BBB" w:rsidRDefault="00E61BBB">
            <w:pPr>
              <w:jc w:val="center"/>
            </w:pPr>
            <w:r w:rsidRPr="0000390D">
              <w:rPr>
                <w:color w:val="000000"/>
                <w:sz w:val="24"/>
                <w:szCs w:val="24"/>
              </w:rPr>
              <w:t>10.74%</w:t>
            </w:r>
          </w:p>
        </w:tc>
        <w:tc>
          <w:tcPr>
            <w:tcW w:w="1344" w:type="dxa"/>
            <w:vAlign w:val="center"/>
          </w:tcPr>
          <w:p w:rsidR="00E61BBB" w:rsidRPr="00E61BBB" w:rsidRDefault="00E61BBB">
            <w:pPr>
              <w:jc w:val="center"/>
            </w:pPr>
            <w:r w:rsidRPr="0000390D">
              <w:rPr>
                <w:color w:val="000000"/>
                <w:sz w:val="24"/>
                <w:szCs w:val="24"/>
              </w:rPr>
              <w:t>0.64%</w:t>
            </w:r>
          </w:p>
        </w:tc>
        <w:tc>
          <w:tcPr>
            <w:tcW w:w="1194" w:type="dxa"/>
            <w:vAlign w:val="center"/>
          </w:tcPr>
          <w:p w:rsidR="00E61BBB" w:rsidRPr="00E61BBB" w:rsidRDefault="00E61BBB">
            <w:pPr>
              <w:jc w:val="center"/>
            </w:pPr>
            <w:r w:rsidRPr="00E61BBB">
              <w:rPr>
                <w:color w:val="000000"/>
                <w:kern w:val="2"/>
                <w:sz w:val="24"/>
                <w:szCs w:val="24"/>
              </w:rPr>
              <w:t>0.98%</w:t>
            </w:r>
          </w:p>
        </w:tc>
        <w:tc>
          <w:tcPr>
            <w:tcW w:w="1492" w:type="dxa"/>
            <w:vAlign w:val="center"/>
          </w:tcPr>
          <w:p w:rsidR="00E61BBB" w:rsidRPr="00E61BBB" w:rsidRDefault="00E61BBB">
            <w:pPr>
              <w:jc w:val="center"/>
            </w:pPr>
            <w:r w:rsidRPr="00E61BBB">
              <w:rPr>
                <w:color w:val="000000"/>
                <w:sz w:val="24"/>
                <w:szCs w:val="24"/>
              </w:rPr>
              <w:t>0.01%</w:t>
            </w:r>
          </w:p>
        </w:tc>
        <w:tc>
          <w:tcPr>
            <w:tcW w:w="1194" w:type="dxa"/>
            <w:vAlign w:val="center"/>
          </w:tcPr>
          <w:p w:rsidR="00E61BBB" w:rsidRPr="00E61BBB" w:rsidRDefault="00E61BBB">
            <w:pPr>
              <w:jc w:val="center"/>
            </w:pPr>
            <w:r w:rsidRPr="0000390D">
              <w:rPr>
                <w:color w:val="000000"/>
                <w:sz w:val="24"/>
                <w:szCs w:val="24"/>
              </w:rPr>
              <w:t>9.76%</w:t>
            </w:r>
          </w:p>
        </w:tc>
        <w:tc>
          <w:tcPr>
            <w:tcW w:w="898" w:type="dxa"/>
            <w:vAlign w:val="center"/>
          </w:tcPr>
          <w:p w:rsidR="00E61BBB" w:rsidRPr="00E61BBB" w:rsidRDefault="00E61BBB">
            <w:pPr>
              <w:jc w:val="center"/>
            </w:pPr>
            <w:r w:rsidRPr="0000390D">
              <w:rPr>
                <w:color w:val="000000"/>
                <w:sz w:val="24"/>
                <w:szCs w:val="24"/>
              </w:rPr>
              <w:t>0.63%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交银施罗德荣安保本混合型证券投资基金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A43A09" w:rsidP="00C15CAC">
      <w:pPr>
        <w:pStyle w:val="a5"/>
        <w:snapToGrid w:val="0"/>
        <w:spacing w:before="29" w:line="288" w:lineRule="auto"/>
        <w:jc w:val="center"/>
        <w:rPr>
          <w:rFonts w:ascii="Times New Roman" w:hAnsi="Times New Roman" w:cs="Times New Roman"/>
          <w:color w:val="000000"/>
          <w:sz w:val="24"/>
          <w:szCs w:val="24"/>
        </w:rPr>
      </w:pPr>
      <w:r w:rsidRPr="00A43A09">
        <w:rPr>
          <w:rFonts w:ascii="Times New Roman" w:hAnsi="Times New Roman" w:cs="Times New Roman"/>
          <w:noProof/>
          <w:color w:val="000000"/>
          <w:sz w:val="24"/>
          <w:szCs w:val="24"/>
        </w:rPr>
        <w:drawing>
          <wp:inline distT="0" distB="0" distL="0" distR="0" wp14:anchorId="0D842C38" wp14:editId="22A124C1">
            <wp:extent cx="5731510" cy="3351315"/>
            <wp:effectExtent l="19050" t="0" r="254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r:link="rId11" cstate="print"/>
                    <a:srcRect/>
                    <a:stretch>
                      <a:fillRect/>
                    </a:stretch>
                  </pic:blipFill>
                  <pic:spPr bwMode="auto">
                    <a:xfrm>
                      <a:off x="0" y="0"/>
                      <a:ext cx="5731510" cy="3351315"/>
                    </a:xfrm>
                    <a:prstGeom prst="rect">
                      <a:avLst/>
                    </a:prstGeom>
                    <a:noFill/>
                    <a:ln w="9525">
                      <a:noFill/>
                      <a:miter lim="800000"/>
                      <a:headEnd/>
                      <a:tailEnd/>
                    </a:ln>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61BB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02B5F">
        <w:trPr>
          <w:jc w:val="center"/>
        </w:trPr>
        <w:tc>
          <w:tcPr>
            <w:tcW w:w="846" w:type="dxa"/>
            <w:vAlign w:val="center"/>
          </w:tcPr>
          <w:p w:rsidR="00B02B5F" w:rsidRDefault="004267F5">
            <w:pPr>
              <w:jc w:val="center"/>
            </w:pPr>
            <w:r>
              <w:rPr>
                <w:color w:val="000000"/>
                <w:sz w:val="24"/>
                <w:szCs w:val="24"/>
              </w:rPr>
              <w:t>项廷锋</w:t>
            </w:r>
          </w:p>
        </w:tc>
        <w:tc>
          <w:tcPr>
            <w:tcW w:w="845" w:type="dxa"/>
            <w:vAlign w:val="center"/>
          </w:tcPr>
          <w:p w:rsidR="00B02B5F" w:rsidRDefault="004267F5">
            <w:pPr>
              <w:jc w:val="center"/>
            </w:pPr>
            <w:r>
              <w:rPr>
                <w:color w:val="000000"/>
                <w:sz w:val="24"/>
                <w:szCs w:val="24"/>
              </w:rPr>
              <w:t>本基金、交银双利债券、交银荣祥保本混合、交银荣泰保本混合、交银周期回报灵活配置混合的基金经理，公司投资总监</w:t>
            </w:r>
          </w:p>
        </w:tc>
        <w:tc>
          <w:tcPr>
            <w:tcW w:w="1549" w:type="dxa"/>
            <w:vAlign w:val="center"/>
          </w:tcPr>
          <w:p w:rsidR="00B02B5F" w:rsidRDefault="004267F5">
            <w:pPr>
              <w:jc w:val="center"/>
            </w:pPr>
            <w:r>
              <w:rPr>
                <w:color w:val="000000"/>
                <w:sz w:val="24"/>
                <w:szCs w:val="24"/>
              </w:rPr>
              <w:t>2012-06-20</w:t>
            </w:r>
          </w:p>
        </w:tc>
        <w:tc>
          <w:tcPr>
            <w:tcW w:w="1548" w:type="dxa"/>
            <w:vAlign w:val="center"/>
          </w:tcPr>
          <w:p w:rsidR="00B02B5F" w:rsidRDefault="004267F5">
            <w:pPr>
              <w:jc w:val="center"/>
            </w:pPr>
            <w:r>
              <w:rPr>
                <w:color w:val="000000"/>
                <w:sz w:val="24"/>
                <w:szCs w:val="24"/>
              </w:rPr>
              <w:t>-</w:t>
            </w:r>
          </w:p>
        </w:tc>
        <w:tc>
          <w:tcPr>
            <w:tcW w:w="1407" w:type="dxa"/>
            <w:vAlign w:val="center"/>
          </w:tcPr>
          <w:p w:rsidR="00B02B5F" w:rsidRDefault="004267F5">
            <w:pPr>
              <w:jc w:val="center"/>
            </w:pPr>
            <w:r>
              <w:rPr>
                <w:color w:val="000000"/>
                <w:sz w:val="24"/>
                <w:szCs w:val="24"/>
              </w:rPr>
              <w:t>16</w:t>
            </w:r>
            <w:r>
              <w:rPr>
                <w:color w:val="000000"/>
                <w:sz w:val="24"/>
                <w:szCs w:val="24"/>
              </w:rPr>
              <w:t>年</w:t>
            </w:r>
          </w:p>
        </w:tc>
        <w:tc>
          <w:tcPr>
            <w:tcW w:w="2673" w:type="dxa"/>
            <w:vAlign w:val="center"/>
          </w:tcPr>
          <w:p w:rsidR="00B02B5F" w:rsidRDefault="004267F5">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日担任交银施罗德定期支付双息平衡混合型证券投资基金基金经理。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02B5F" w:rsidRDefault="004267F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02B5F" w:rsidRDefault="004267F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02B5F" w:rsidRDefault="004267F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02B5F" w:rsidRDefault="004267F5">
      <w:pPr>
        <w:spacing w:before="29" w:line="288" w:lineRule="auto"/>
        <w:ind w:firstLineChars="200" w:firstLine="480"/>
        <w:rPr>
          <w:color w:val="000000"/>
          <w:sz w:val="24"/>
          <w:szCs w:val="24"/>
        </w:rPr>
      </w:pPr>
      <w:r>
        <w:rPr>
          <w:color w:val="000000"/>
          <w:sz w:val="24"/>
          <w:szCs w:val="24"/>
        </w:rPr>
        <w:t>一季度经济增长压力较大，物价水平存通缩隐忧；与此同时，美联储退出</w:t>
      </w:r>
      <w:r>
        <w:rPr>
          <w:color w:val="000000"/>
          <w:sz w:val="24"/>
          <w:szCs w:val="24"/>
        </w:rPr>
        <w:t>QE</w:t>
      </w:r>
      <w:r>
        <w:rPr>
          <w:color w:val="000000"/>
          <w:sz w:val="24"/>
          <w:szCs w:val="24"/>
        </w:rPr>
        <w:t>后加息预期升温，欧元区开始启动</w:t>
      </w:r>
      <w:r>
        <w:rPr>
          <w:color w:val="000000"/>
          <w:sz w:val="24"/>
          <w:szCs w:val="24"/>
        </w:rPr>
        <w:t>QE</w:t>
      </w:r>
      <w:r>
        <w:rPr>
          <w:color w:val="000000"/>
          <w:sz w:val="24"/>
          <w:szCs w:val="24"/>
        </w:rPr>
        <w:t>，美元指数大涨、国际油价暴跌，热钱温和流出。中国政府坚持新常态的基本判断，一方面降准、降息、增加财政支出，着力于稳增长；另一方面通过成立</w:t>
      </w:r>
      <w:r>
        <w:rPr>
          <w:color w:val="000000"/>
          <w:sz w:val="24"/>
          <w:szCs w:val="24"/>
        </w:rPr>
        <w:t>“</w:t>
      </w:r>
      <w:r>
        <w:rPr>
          <w:color w:val="000000"/>
          <w:sz w:val="24"/>
          <w:szCs w:val="24"/>
        </w:rPr>
        <w:t>亚投行</w:t>
      </w:r>
      <w:r>
        <w:rPr>
          <w:color w:val="000000"/>
          <w:sz w:val="24"/>
          <w:szCs w:val="24"/>
        </w:rPr>
        <w:t>”</w:t>
      </w:r>
      <w:r>
        <w:rPr>
          <w:color w:val="000000"/>
          <w:sz w:val="24"/>
          <w:szCs w:val="24"/>
        </w:rPr>
        <w:t>、力推</w:t>
      </w:r>
      <w:r>
        <w:rPr>
          <w:color w:val="000000"/>
          <w:sz w:val="24"/>
          <w:szCs w:val="24"/>
        </w:rPr>
        <w:t>“</w:t>
      </w:r>
      <w:r>
        <w:rPr>
          <w:color w:val="000000"/>
          <w:sz w:val="24"/>
          <w:szCs w:val="24"/>
        </w:rPr>
        <w:t>一带一路</w:t>
      </w:r>
      <w:r>
        <w:rPr>
          <w:color w:val="000000"/>
          <w:sz w:val="24"/>
          <w:szCs w:val="24"/>
        </w:rPr>
        <w:t>”</w:t>
      </w:r>
      <w:r>
        <w:rPr>
          <w:color w:val="000000"/>
          <w:sz w:val="24"/>
          <w:szCs w:val="24"/>
        </w:rPr>
        <w:t>、债务置换、倡议</w:t>
      </w:r>
      <w:r>
        <w:rPr>
          <w:color w:val="000000"/>
          <w:sz w:val="24"/>
          <w:szCs w:val="24"/>
        </w:rPr>
        <w:t>“</w:t>
      </w:r>
      <w:r>
        <w:rPr>
          <w:color w:val="000000"/>
          <w:sz w:val="24"/>
          <w:szCs w:val="24"/>
        </w:rPr>
        <w:t>互联网</w:t>
      </w:r>
      <w:r>
        <w:rPr>
          <w:color w:val="000000"/>
          <w:sz w:val="24"/>
          <w:szCs w:val="24"/>
        </w:rPr>
        <w:t>+”</w:t>
      </w:r>
      <w:r>
        <w:rPr>
          <w:color w:val="000000"/>
          <w:sz w:val="24"/>
          <w:szCs w:val="24"/>
        </w:rPr>
        <w:t>等，力求化解经济金融风险，促进中国经济持续、有序转型。</w:t>
      </w:r>
    </w:p>
    <w:p w:rsidR="00B02B5F" w:rsidRDefault="004267F5">
      <w:pPr>
        <w:spacing w:before="29" w:line="288" w:lineRule="auto"/>
        <w:ind w:firstLineChars="200" w:firstLine="480"/>
        <w:rPr>
          <w:color w:val="000000"/>
          <w:sz w:val="24"/>
          <w:szCs w:val="24"/>
        </w:rPr>
      </w:pPr>
      <w:r>
        <w:rPr>
          <w:color w:val="000000"/>
          <w:sz w:val="24"/>
          <w:szCs w:val="24"/>
        </w:rPr>
        <w:t>股票市场方面，中国经济转型受益的行业，特别是互联网、科技股板块大幅上涨；而传统产业则得益于盘活存量，全面开花，也取得了不错的涨幅。债券市场方面，一季度债券市场呈现明显的</w:t>
      </w:r>
      <w:r>
        <w:rPr>
          <w:color w:val="000000"/>
          <w:sz w:val="24"/>
          <w:szCs w:val="24"/>
        </w:rPr>
        <w:t>V</w:t>
      </w:r>
      <w:r>
        <w:rPr>
          <w:color w:val="000000"/>
          <w:sz w:val="24"/>
          <w:szCs w:val="24"/>
        </w:rPr>
        <w:t>型走势，流动性是主因，</w:t>
      </w:r>
      <w:r>
        <w:rPr>
          <w:color w:val="000000"/>
          <w:sz w:val="24"/>
          <w:szCs w:val="24"/>
        </w:rPr>
        <w:t>IPO</w:t>
      </w:r>
      <w:r>
        <w:rPr>
          <w:color w:val="000000"/>
          <w:sz w:val="24"/>
          <w:szCs w:val="24"/>
        </w:rPr>
        <w:t>与债务置换导致了债券市场收益率的触底反弹，但总体不改我们年初关于市场震荡运行的判断。</w:t>
      </w:r>
    </w:p>
    <w:p w:rsidR="00B02B5F" w:rsidRDefault="004267F5">
      <w:pPr>
        <w:spacing w:before="29" w:line="288" w:lineRule="auto"/>
        <w:ind w:firstLineChars="200" w:firstLine="480"/>
        <w:rPr>
          <w:color w:val="000000"/>
          <w:sz w:val="24"/>
          <w:szCs w:val="24"/>
        </w:rPr>
      </w:pPr>
      <w:r>
        <w:rPr>
          <w:color w:val="000000"/>
          <w:sz w:val="24"/>
          <w:szCs w:val="24"/>
        </w:rPr>
        <w:t>操作策略方面，仍坚持一贯的绝对收益的组合管理理念，收益资产因看好权益资产的表现而取上限配置，结构略显均衡；保本资产因本组合临近结束三年保本周期，而选择滚动配置协议存款的操作。</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股票市场经过一季度的大幅度上涨，需警惕估值泡沫与技术性调整；中期而言，经济转型的大趋势已然确立，政经领域正在进行的史无前例大变革或将持续释放制度红利，值得期待。债券市场仍将维持震荡格局，但需特别警惕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1.219</w:t>
      </w:r>
      <w:r w:rsidRPr="00414345">
        <w:rPr>
          <w:color w:val="000000"/>
          <w:sz w:val="24"/>
          <w:szCs w:val="24"/>
        </w:rPr>
        <w:t>元，本报告期份额净值增长率为</w:t>
      </w:r>
      <w:r w:rsidR="00A43A09" w:rsidRPr="0000390D">
        <w:rPr>
          <w:color w:val="000000"/>
          <w:sz w:val="24"/>
          <w:szCs w:val="24"/>
        </w:rPr>
        <w:t>10.74%</w:t>
      </w:r>
      <w:r w:rsidRPr="00414345">
        <w:rPr>
          <w:color w:val="000000"/>
          <w:sz w:val="24"/>
          <w:szCs w:val="24"/>
        </w:rPr>
        <w:t>，同期业绩比较基准增长率为</w:t>
      </w:r>
      <w:r w:rsidRPr="00414345">
        <w:rPr>
          <w:color w:val="000000"/>
          <w:sz w:val="24"/>
          <w:szCs w:val="24"/>
        </w:rPr>
        <w:t>0.98%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4267F5">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61BB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242,543,985.14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26.95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242,543,985.14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26.95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220,784,909.80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24.53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220,784,909.80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24.53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342,940,887.51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38.10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86,246,073.61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9.58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7,606,579.81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0.85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900,122,435.87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3674E4"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74E4" w:rsidRPr="00414345" w:rsidRDefault="003674E4" w:rsidP="003674E4">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74E4" w:rsidRPr="00414345" w:rsidRDefault="003674E4" w:rsidP="003674E4">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74E4" w:rsidRPr="003674E4" w:rsidRDefault="003674E4" w:rsidP="003674E4">
            <w:pPr>
              <w:spacing w:before="29" w:line="288" w:lineRule="auto"/>
              <w:jc w:val="right"/>
              <w:rPr>
                <w:sz w:val="24"/>
                <w:szCs w:val="24"/>
              </w:rPr>
            </w:pPr>
            <w:r w:rsidRPr="003674E4">
              <w:rPr>
                <w:sz w:val="24"/>
                <w:szCs w:val="24"/>
              </w:rPr>
              <w:t>113,423,410.83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74E4" w:rsidRPr="003674E4" w:rsidRDefault="003674E4" w:rsidP="003674E4">
            <w:pPr>
              <w:spacing w:before="29" w:line="288" w:lineRule="auto"/>
              <w:jc w:val="right"/>
              <w:rPr>
                <w:sz w:val="24"/>
                <w:szCs w:val="24"/>
              </w:rPr>
            </w:pPr>
            <w:r w:rsidRPr="003674E4">
              <w:rPr>
                <w:sz w:val="24"/>
                <w:szCs w:val="24"/>
              </w:rPr>
              <w:t>13.36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16,571,687.46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1.95</w:t>
            </w:r>
          </w:p>
        </w:tc>
      </w:tr>
      <w:tr w:rsidR="003674E4"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74E4" w:rsidRPr="00414345" w:rsidRDefault="003674E4" w:rsidP="003674E4">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74E4" w:rsidRPr="00414345" w:rsidRDefault="003674E4" w:rsidP="003674E4">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74E4" w:rsidRPr="003674E4" w:rsidRDefault="003674E4" w:rsidP="003674E4">
            <w:pPr>
              <w:spacing w:before="29" w:line="288" w:lineRule="auto"/>
              <w:jc w:val="right"/>
              <w:rPr>
                <w:sz w:val="24"/>
                <w:szCs w:val="24"/>
              </w:rPr>
            </w:pPr>
            <w:r w:rsidRPr="003674E4">
              <w:rPr>
                <w:sz w:val="24"/>
                <w:szCs w:val="24"/>
              </w:rPr>
              <w:t>6,765,382.25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74E4" w:rsidRPr="003674E4" w:rsidRDefault="003674E4" w:rsidP="003674E4">
            <w:pPr>
              <w:spacing w:before="29" w:line="288" w:lineRule="auto"/>
              <w:jc w:val="right"/>
              <w:rPr>
                <w:sz w:val="24"/>
                <w:szCs w:val="24"/>
              </w:rPr>
            </w:pPr>
            <w:r w:rsidRPr="003674E4">
              <w:rPr>
                <w:sz w:val="24"/>
                <w:szCs w:val="24"/>
              </w:rPr>
              <w:t>0.80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5,884,000.00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44,476,077.96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5.24</w:t>
            </w:r>
          </w:p>
        </w:tc>
      </w:tr>
      <w:tr w:rsidR="003674E4"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74E4" w:rsidRPr="00414345" w:rsidRDefault="003674E4" w:rsidP="003674E4">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74E4" w:rsidRPr="00414345" w:rsidRDefault="003674E4" w:rsidP="003674E4">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74E4" w:rsidRPr="003674E4" w:rsidRDefault="003674E4" w:rsidP="003674E4">
            <w:pPr>
              <w:spacing w:before="29" w:line="288" w:lineRule="auto"/>
              <w:jc w:val="right"/>
              <w:rPr>
                <w:sz w:val="24"/>
                <w:szCs w:val="24"/>
              </w:rPr>
            </w:pPr>
            <w:r w:rsidRPr="003674E4">
              <w:rPr>
                <w:sz w:val="24"/>
                <w:szCs w:val="24"/>
              </w:rPr>
              <w:t>22,900,000.00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74E4" w:rsidRPr="003674E4" w:rsidRDefault="003674E4" w:rsidP="003674E4">
            <w:pPr>
              <w:spacing w:before="29" w:line="288" w:lineRule="auto"/>
              <w:jc w:val="right"/>
              <w:rPr>
                <w:sz w:val="24"/>
                <w:szCs w:val="24"/>
              </w:rPr>
            </w:pPr>
            <w:r w:rsidRPr="003674E4">
              <w:rPr>
                <w:sz w:val="24"/>
                <w:szCs w:val="24"/>
              </w:rPr>
              <w:t>2.70</w:t>
            </w:r>
            <w:bookmarkStart w:id="0" w:name="_GoBack"/>
            <w:bookmarkEnd w:id="0"/>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8,280,000.00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1,150,065.00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2,395,500.00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4,118,400.00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4,662,600.00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10,574,861.64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242,543,985.14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28.56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02B5F">
        <w:trPr>
          <w:jc w:val="center"/>
        </w:trPr>
        <w:tc>
          <w:tcPr>
            <w:tcW w:w="855" w:type="dxa"/>
            <w:vAlign w:val="center"/>
          </w:tcPr>
          <w:p w:rsidR="00B02B5F" w:rsidRDefault="004267F5">
            <w:pPr>
              <w:jc w:val="center"/>
            </w:pPr>
            <w:r>
              <w:rPr>
                <w:color w:val="000000"/>
                <w:sz w:val="24"/>
                <w:szCs w:val="24"/>
              </w:rPr>
              <w:t>1</w:t>
            </w:r>
          </w:p>
        </w:tc>
        <w:tc>
          <w:tcPr>
            <w:tcW w:w="1334" w:type="dxa"/>
            <w:vAlign w:val="center"/>
          </w:tcPr>
          <w:p w:rsidR="00B02B5F" w:rsidRDefault="004267F5">
            <w:pPr>
              <w:jc w:val="center"/>
            </w:pPr>
            <w:r>
              <w:rPr>
                <w:color w:val="000000"/>
                <w:sz w:val="24"/>
                <w:szCs w:val="24"/>
              </w:rPr>
              <w:t>600277</w:t>
            </w:r>
          </w:p>
        </w:tc>
        <w:tc>
          <w:tcPr>
            <w:tcW w:w="1777" w:type="dxa"/>
            <w:vAlign w:val="center"/>
          </w:tcPr>
          <w:p w:rsidR="00B02B5F" w:rsidRDefault="004267F5">
            <w:pPr>
              <w:jc w:val="center"/>
            </w:pPr>
            <w:r>
              <w:rPr>
                <w:color w:val="000000"/>
                <w:sz w:val="24"/>
                <w:szCs w:val="24"/>
              </w:rPr>
              <w:t>亿利能源</w:t>
            </w:r>
          </w:p>
        </w:tc>
        <w:tc>
          <w:tcPr>
            <w:tcW w:w="1334" w:type="dxa"/>
            <w:vAlign w:val="center"/>
          </w:tcPr>
          <w:p w:rsidR="00B02B5F" w:rsidRDefault="004267F5">
            <w:pPr>
              <w:jc w:val="right"/>
            </w:pPr>
            <w:r>
              <w:rPr>
                <w:color w:val="000000"/>
                <w:sz w:val="24"/>
                <w:szCs w:val="24"/>
              </w:rPr>
              <w:t>2,000,000</w:t>
            </w:r>
          </w:p>
        </w:tc>
        <w:tc>
          <w:tcPr>
            <w:tcW w:w="1924" w:type="dxa"/>
            <w:vAlign w:val="center"/>
          </w:tcPr>
          <w:p w:rsidR="00B02B5F" w:rsidRDefault="004267F5">
            <w:pPr>
              <w:jc w:val="right"/>
            </w:pPr>
            <w:r>
              <w:rPr>
                <w:color w:val="000000"/>
                <w:sz w:val="24"/>
                <w:szCs w:val="24"/>
              </w:rPr>
              <w:t>22,580,000.00</w:t>
            </w:r>
          </w:p>
        </w:tc>
        <w:tc>
          <w:tcPr>
            <w:tcW w:w="1644" w:type="dxa"/>
            <w:vAlign w:val="center"/>
          </w:tcPr>
          <w:p w:rsidR="00B02B5F" w:rsidRDefault="004267F5">
            <w:pPr>
              <w:jc w:val="right"/>
            </w:pPr>
            <w:r>
              <w:rPr>
                <w:color w:val="000000"/>
                <w:sz w:val="24"/>
                <w:szCs w:val="24"/>
              </w:rPr>
              <w:t>2.66</w:t>
            </w:r>
          </w:p>
        </w:tc>
      </w:tr>
      <w:tr w:rsidR="00B02B5F">
        <w:trPr>
          <w:jc w:val="center"/>
        </w:trPr>
        <w:tc>
          <w:tcPr>
            <w:tcW w:w="855" w:type="dxa"/>
            <w:vAlign w:val="center"/>
          </w:tcPr>
          <w:p w:rsidR="00B02B5F" w:rsidRDefault="004267F5">
            <w:pPr>
              <w:jc w:val="center"/>
            </w:pPr>
            <w:r>
              <w:rPr>
                <w:color w:val="000000"/>
                <w:sz w:val="24"/>
                <w:szCs w:val="24"/>
              </w:rPr>
              <w:t>2</w:t>
            </w:r>
          </w:p>
        </w:tc>
        <w:tc>
          <w:tcPr>
            <w:tcW w:w="1334" w:type="dxa"/>
            <w:vAlign w:val="center"/>
          </w:tcPr>
          <w:p w:rsidR="00B02B5F" w:rsidRDefault="004267F5">
            <w:pPr>
              <w:jc w:val="center"/>
            </w:pPr>
            <w:r>
              <w:rPr>
                <w:color w:val="000000"/>
                <w:sz w:val="24"/>
                <w:szCs w:val="24"/>
              </w:rPr>
              <w:t>600958</w:t>
            </w:r>
          </w:p>
        </w:tc>
        <w:tc>
          <w:tcPr>
            <w:tcW w:w="1777" w:type="dxa"/>
            <w:vAlign w:val="center"/>
          </w:tcPr>
          <w:p w:rsidR="00B02B5F" w:rsidRDefault="004267F5">
            <w:pPr>
              <w:jc w:val="center"/>
            </w:pPr>
            <w:r>
              <w:rPr>
                <w:color w:val="000000"/>
                <w:sz w:val="24"/>
                <w:szCs w:val="24"/>
              </w:rPr>
              <w:t>东方证券</w:t>
            </w:r>
          </w:p>
        </w:tc>
        <w:tc>
          <w:tcPr>
            <w:tcW w:w="1334" w:type="dxa"/>
            <w:vAlign w:val="center"/>
          </w:tcPr>
          <w:p w:rsidR="00B02B5F" w:rsidRDefault="004267F5">
            <w:pPr>
              <w:jc w:val="right"/>
            </w:pPr>
            <w:r>
              <w:rPr>
                <w:color w:val="000000"/>
                <w:sz w:val="24"/>
                <w:szCs w:val="24"/>
              </w:rPr>
              <w:t>800,000</w:t>
            </w:r>
          </w:p>
        </w:tc>
        <w:tc>
          <w:tcPr>
            <w:tcW w:w="1924" w:type="dxa"/>
            <w:vAlign w:val="center"/>
          </w:tcPr>
          <w:p w:rsidR="00B02B5F" w:rsidRDefault="004267F5">
            <w:pPr>
              <w:jc w:val="right"/>
            </w:pPr>
            <w:r>
              <w:rPr>
                <w:color w:val="000000"/>
                <w:sz w:val="24"/>
                <w:szCs w:val="24"/>
              </w:rPr>
              <w:t>18,120,000.00</w:t>
            </w:r>
          </w:p>
        </w:tc>
        <w:tc>
          <w:tcPr>
            <w:tcW w:w="1644" w:type="dxa"/>
            <w:vAlign w:val="center"/>
          </w:tcPr>
          <w:p w:rsidR="00B02B5F" w:rsidRDefault="004267F5">
            <w:pPr>
              <w:jc w:val="right"/>
            </w:pPr>
            <w:r>
              <w:rPr>
                <w:color w:val="000000"/>
                <w:sz w:val="24"/>
                <w:szCs w:val="24"/>
              </w:rPr>
              <w:t>2.13</w:t>
            </w:r>
          </w:p>
        </w:tc>
      </w:tr>
      <w:tr w:rsidR="00B02B5F">
        <w:trPr>
          <w:jc w:val="center"/>
        </w:trPr>
        <w:tc>
          <w:tcPr>
            <w:tcW w:w="855" w:type="dxa"/>
            <w:vAlign w:val="center"/>
          </w:tcPr>
          <w:p w:rsidR="00B02B5F" w:rsidRDefault="004267F5">
            <w:pPr>
              <w:jc w:val="center"/>
            </w:pPr>
            <w:r>
              <w:rPr>
                <w:color w:val="000000"/>
                <w:sz w:val="24"/>
                <w:szCs w:val="24"/>
              </w:rPr>
              <w:t>3</w:t>
            </w:r>
          </w:p>
        </w:tc>
        <w:tc>
          <w:tcPr>
            <w:tcW w:w="1334" w:type="dxa"/>
            <w:vAlign w:val="center"/>
          </w:tcPr>
          <w:p w:rsidR="00B02B5F" w:rsidRDefault="004267F5">
            <w:pPr>
              <w:jc w:val="center"/>
            </w:pPr>
            <w:r>
              <w:rPr>
                <w:color w:val="000000"/>
                <w:sz w:val="24"/>
                <w:szCs w:val="24"/>
              </w:rPr>
              <w:t>000599</w:t>
            </w:r>
          </w:p>
        </w:tc>
        <w:tc>
          <w:tcPr>
            <w:tcW w:w="1777" w:type="dxa"/>
            <w:vAlign w:val="center"/>
          </w:tcPr>
          <w:p w:rsidR="00B02B5F" w:rsidRDefault="004267F5">
            <w:pPr>
              <w:jc w:val="center"/>
            </w:pPr>
            <w:r>
              <w:rPr>
                <w:color w:val="000000"/>
                <w:sz w:val="24"/>
                <w:szCs w:val="24"/>
              </w:rPr>
              <w:t>青岛双星</w:t>
            </w:r>
          </w:p>
        </w:tc>
        <w:tc>
          <w:tcPr>
            <w:tcW w:w="1334" w:type="dxa"/>
            <w:vAlign w:val="center"/>
          </w:tcPr>
          <w:p w:rsidR="00B02B5F" w:rsidRDefault="004267F5">
            <w:pPr>
              <w:jc w:val="right"/>
            </w:pPr>
            <w:r>
              <w:rPr>
                <w:color w:val="000000"/>
                <w:sz w:val="24"/>
                <w:szCs w:val="24"/>
              </w:rPr>
              <w:t>1,243,784</w:t>
            </w:r>
          </w:p>
        </w:tc>
        <w:tc>
          <w:tcPr>
            <w:tcW w:w="1924" w:type="dxa"/>
            <w:vAlign w:val="center"/>
          </w:tcPr>
          <w:p w:rsidR="00B02B5F" w:rsidRDefault="004267F5">
            <w:pPr>
              <w:jc w:val="right"/>
            </w:pPr>
            <w:r>
              <w:rPr>
                <w:color w:val="000000"/>
                <w:sz w:val="24"/>
                <w:szCs w:val="24"/>
              </w:rPr>
              <w:t>14,403,018.72</w:t>
            </w:r>
          </w:p>
        </w:tc>
        <w:tc>
          <w:tcPr>
            <w:tcW w:w="1644" w:type="dxa"/>
            <w:vAlign w:val="center"/>
          </w:tcPr>
          <w:p w:rsidR="00B02B5F" w:rsidRDefault="004267F5">
            <w:pPr>
              <w:jc w:val="right"/>
            </w:pPr>
            <w:r>
              <w:rPr>
                <w:color w:val="000000"/>
                <w:sz w:val="24"/>
                <w:szCs w:val="24"/>
              </w:rPr>
              <w:t>1.70</w:t>
            </w:r>
          </w:p>
        </w:tc>
      </w:tr>
      <w:tr w:rsidR="00B02B5F">
        <w:trPr>
          <w:jc w:val="center"/>
        </w:trPr>
        <w:tc>
          <w:tcPr>
            <w:tcW w:w="855" w:type="dxa"/>
            <w:vAlign w:val="center"/>
          </w:tcPr>
          <w:p w:rsidR="00B02B5F" w:rsidRDefault="004267F5">
            <w:pPr>
              <w:jc w:val="center"/>
            </w:pPr>
            <w:r>
              <w:rPr>
                <w:color w:val="000000"/>
                <w:sz w:val="24"/>
                <w:szCs w:val="24"/>
              </w:rPr>
              <w:t>4</w:t>
            </w:r>
          </w:p>
        </w:tc>
        <w:tc>
          <w:tcPr>
            <w:tcW w:w="1334" w:type="dxa"/>
            <w:vAlign w:val="center"/>
          </w:tcPr>
          <w:p w:rsidR="00B02B5F" w:rsidRDefault="004267F5">
            <w:pPr>
              <w:jc w:val="center"/>
            </w:pPr>
            <w:r>
              <w:rPr>
                <w:color w:val="000000"/>
                <w:sz w:val="24"/>
                <w:szCs w:val="24"/>
              </w:rPr>
              <w:t>600198</w:t>
            </w:r>
          </w:p>
        </w:tc>
        <w:tc>
          <w:tcPr>
            <w:tcW w:w="1777" w:type="dxa"/>
            <w:vAlign w:val="center"/>
          </w:tcPr>
          <w:p w:rsidR="00B02B5F" w:rsidRDefault="004267F5">
            <w:pPr>
              <w:jc w:val="center"/>
            </w:pPr>
            <w:r>
              <w:rPr>
                <w:color w:val="000000"/>
                <w:sz w:val="24"/>
                <w:szCs w:val="24"/>
              </w:rPr>
              <w:t>大唐电信</w:t>
            </w:r>
          </w:p>
        </w:tc>
        <w:tc>
          <w:tcPr>
            <w:tcW w:w="1334" w:type="dxa"/>
            <w:vAlign w:val="center"/>
          </w:tcPr>
          <w:p w:rsidR="00B02B5F" w:rsidRDefault="004267F5">
            <w:pPr>
              <w:jc w:val="right"/>
            </w:pPr>
            <w:r>
              <w:rPr>
                <w:color w:val="000000"/>
                <w:sz w:val="24"/>
                <w:szCs w:val="24"/>
              </w:rPr>
              <w:t>500,000</w:t>
            </w:r>
          </w:p>
        </w:tc>
        <w:tc>
          <w:tcPr>
            <w:tcW w:w="1924" w:type="dxa"/>
            <w:vAlign w:val="center"/>
          </w:tcPr>
          <w:p w:rsidR="00B02B5F" w:rsidRDefault="004267F5">
            <w:pPr>
              <w:jc w:val="right"/>
            </w:pPr>
            <w:r>
              <w:rPr>
                <w:color w:val="000000"/>
                <w:sz w:val="24"/>
                <w:szCs w:val="24"/>
              </w:rPr>
              <w:t>12,735,000.00</w:t>
            </w:r>
          </w:p>
        </w:tc>
        <w:tc>
          <w:tcPr>
            <w:tcW w:w="1644" w:type="dxa"/>
            <w:vAlign w:val="center"/>
          </w:tcPr>
          <w:p w:rsidR="00B02B5F" w:rsidRDefault="004267F5">
            <w:pPr>
              <w:jc w:val="right"/>
            </w:pPr>
            <w:r>
              <w:rPr>
                <w:color w:val="000000"/>
                <w:sz w:val="24"/>
                <w:szCs w:val="24"/>
              </w:rPr>
              <w:t>1.50</w:t>
            </w:r>
          </w:p>
        </w:tc>
      </w:tr>
      <w:tr w:rsidR="00B02B5F">
        <w:trPr>
          <w:jc w:val="center"/>
        </w:trPr>
        <w:tc>
          <w:tcPr>
            <w:tcW w:w="855" w:type="dxa"/>
            <w:vAlign w:val="center"/>
          </w:tcPr>
          <w:p w:rsidR="00B02B5F" w:rsidRDefault="004267F5">
            <w:pPr>
              <w:jc w:val="center"/>
            </w:pPr>
            <w:r>
              <w:rPr>
                <w:color w:val="000000"/>
                <w:sz w:val="24"/>
                <w:szCs w:val="24"/>
              </w:rPr>
              <w:t>5</w:t>
            </w:r>
          </w:p>
        </w:tc>
        <w:tc>
          <w:tcPr>
            <w:tcW w:w="1334" w:type="dxa"/>
            <w:vAlign w:val="center"/>
          </w:tcPr>
          <w:p w:rsidR="00B02B5F" w:rsidRDefault="004267F5">
            <w:pPr>
              <w:jc w:val="center"/>
            </w:pPr>
            <w:r>
              <w:rPr>
                <w:color w:val="000000"/>
                <w:sz w:val="24"/>
                <w:szCs w:val="24"/>
              </w:rPr>
              <w:t>300324</w:t>
            </w:r>
          </w:p>
        </w:tc>
        <w:tc>
          <w:tcPr>
            <w:tcW w:w="1777" w:type="dxa"/>
            <w:vAlign w:val="center"/>
          </w:tcPr>
          <w:p w:rsidR="00B02B5F" w:rsidRDefault="004267F5">
            <w:pPr>
              <w:jc w:val="center"/>
            </w:pPr>
            <w:r>
              <w:rPr>
                <w:color w:val="000000"/>
                <w:sz w:val="24"/>
                <w:szCs w:val="24"/>
              </w:rPr>
              <w:t>旋极信息</w:t>
            </w:r>
          </w:p>
        </w:tc>
        <w:tc>
          <w:tcPr>
            <w:tcW w:w="1334" w:type="dxa"/>
            <w:vAlign w:val="center"/>
          </w:tcPr>
          <w:p w:rsidR="00B02B5F" w:rsidRDefault="004267F5">
            <w:pPr>
              <w:jc w:val="right"/>
            </w:pPr>
            <w:r>
              <w:rPr>
                <w:color w:val="000000"/>
                <w:sz w:val="24"/>
                <w:szCs w:val="24"/>
              </w:rPr>
              <w:t>180,000</w:t>
            </w:r>
          </w:p>
        </w:tc>
        <w:tc>
          <w:tcPr>
            <w:tcW w:w="1924" w:type="dxa"/>
            <w:vAlign w:val="center"/>
          </w:tcPr>
          <w:p w:rsidR="00B02B5F" w:rsidRDefault="004267F5">
            <w:pPr>
              <w:jc w:val="right"/>
            </w:pPr>
            <w:r>
              <w:rPr>
                <w:color w:val="000000"/>
                <w:sz w:val="24"/>
                <w:szCs w:val="24"/>
              </w:rPr>
              <w:t>11,894,400.00</w:t>
            </w:r>
          </w:p>
        </w:tc>
        <w:tc>
          <w:tcPr>
            <w:tcW w:w="1644" w:type="dxa"/>
            <w:vAlign w:val="center"/>
          </w:tcPr>
          <w:p w:rsidR="00B02B5F" w:rsidRDefault="004267F5">
            <w:pPr>
              <w:jc w:val="right"/>
            </w:pPr>
            <w:r>
              <w:rPr>
                <w:color w:val="000000"/>
                <w:sz w:val="24"/>
                <w:szCs w:val="24"/>
              </w:rPr>
              <w:t>1.40</w:t>
            </w:r>
          </w:p>
        </w:tc>
      </w:tr>
      <w:tr w:rsidR="00B02B5F">
        <w:trPr>
          <w:jc w:val="center"/>
        </w:trPr>
        <w:tc>
          <w:tcPr>
            <w:tcW w:w="855" w:type="dxa"/>
            <w:vAlign w:val="center"/>
          </w:tcPr>
          <w:p w:rsidR="00B02B5F" w:rsidRDefault="004267F5">
            <w:pPr>
              <w:jc w:val="center"/>
            </w:pPr>
            <w:r>
              <w:rPr>
                <w:color w:val="000000"/>
                <w:sz w:val="24"/>
                <w:szCs w:val="24"/>
              </w:rPr>
              <w:t>6</w:t>
            </w:r>
          </w:p>
        </w:tc>
        <w:tc>
          <w:tcPr>
            <w:tcW w:w="1334" w:type="dxa"/>
            <w:vAlign w:val="center"/>
          </w:tcPr>
          <w:p w:rsidR="00B02B5F" w:rsidRDefault="004267F5">
            <w:pPr>
              <w:jc w:val="center"/>
            </w:pPr>
            <w:r>
              <w:rPr>
                <w:color w:val="000000"/>
                <w:sz w:val="24"/>
                <w:szCs w:val="24"/>
              </w:rPr>
              <w:t>300168</w:t>
            </w:r>
          </w:p>
        </w:tc>
        <w:tc>
          <w:tcPr>
            <w:tcW w:w="1777" w:type="dxa"/>
            <w:vAlign w:val="center"/>
          </w:tcPr>
          <w:p w:rsidR="00B02B5F" w:rsidRDefault="004267F5">
            <w:pPr>
              <w:jc w:val="center"/>
            </w:pPr>
            <w:r>
              <w:rPr>
                <w:color w:val="000000"/>
                <w:sz w:val="24"/>
                <w:szCs w:val="24"/>
              </w:rPr>
              <w:t>万达信息</w:t>
            </w:r>
          </w:p>
        </w:tc>
        <w:tc>
          <w:tcPr>
            <w:tcW w:w="1334" w:type="dxa"/>
            <w:vAlign w:val="center"/>
          </w:tcPr>
          <w:p w:rsidR="00B02B5F" w:rsidRDefault="004267F5">
            <w:pPr>
              <w:jc w:val="right"/>
            </w:pPr>
            <w:r>
              <w:rPr>
                <w:color w:val="000000"/>
                <w:sz w:val="24"/>
                <w:szCs w:val="24"/>
              </w:rPr>
              <w:t>150,795</w:t>
            </w:r>
          </w:p>
        </w:tc>
        <w:tc>
          <w:tcPr>
            <w:tcW w:w="1924" w:type="dxa"/>
            <w:vAlign w:val="center"/>
          </w:tcPr>
          <w:p w:rsidR="00B02B5F" w:rsidRDefault="004267F5">
            <w:pPr>
              <w:jc w:val="right"/>
            </w:pPr>
            <w:r>
              <w:rPr>
                <w:color w:val="000000"/>
                <w:sz w:val="24"/>
                <w:szCs w:val="24"/>
              </w:rPr>
              <w:t>9,949,454.10</w:t>
            </w:r>
          </w:p>
        </w:tc>
        <w:tc>
          <w:tcPr>
            <w:tcW w:w="1644" w:type="dxa"/>
            <w:vAlign w:val="center"/>
          </w:tcPr>
          <w:p w:rsidR="00B02B5F" w:rsidRDefault="004267F5">
            <w:pPr>
              <w:jc w:val="right"/>
            </w:pPr>
            <w:r>
              <w:rPr>
                <w:color w:val="000000"/>
                <w:sz w:val="24"/>
                <w:szCs w:val="24"/>
              </w:rPr>
              <w:t>1.17</w:t>
            </w:r>
          </w:p>
        </w:tc>
      </w:tr>
      <w:tr w:rsidR="00B02B5F">
        <w:trPr>
          <w:jc w:val="center"/>
        </w:trPr>
        <w:tc>
          <w:tcPr>
            <w:tcW w:w="855" w:type="dxa"/>
            <w:vAlign w:val="center"/>
          </w:tcPr>
          <w:p w:rsidR="00B02B5F" w:rsidRDefault="004267F5">
            <w:pPr>
              <w:jc w:val="center"/>
            </w:pPr>
            <w:r>
              <w:rPr>
                <w:color w:val="000000"/>
                <w:sz w:val="24"/>
                <w:szCs w:val="24"/>
              </w:rPr>
              <w:t>7</w:t>
            </w:r>
          </w:p>
        </w:tc>
        <w:tc>
          <w:tcPr>
            <w:tcW w:w="1334" w:type="dxa"/>
            <w:vAlign w:val="center"/>
          </w:tcPr>
          <w:p w:rsidR="00B02B5F" w:rsidRDefault="004267F5">
            <w:pPr>
              <w:jc w:val="center"/>
            </w:pPr>
            <w:r>
              <w:rPr>
                <w:color w:val="000000"/>
                <w:sz w:val="24"/>
                <w:szCs w:val="24"/>
              </w:rPr>
              <w:t>000046</w:t>
            </w:r>
          </w:p>
        </w:tc>
        <w:tc>
          <w:tcPr>
            <w:tcW w:w="1777" w:type="dxa"/>
            <w:vAlign w:val="center"/>
          </w:tcPr>
          <w:p w:rsidR="00B02B5F" w:rsidRDefault="004267F5">
            <w:pPr>
              <w:jc w:val="center"/>
            </w:pPr>
            <w:r>
              <w:rPr>
                <w:color w:val="000000"/>
                <w:sz w:val="24"/>
                <w:szCs w:val="24"/>
              </w:rPr>
              <w:t>泛海控股</w:t>
            </w:r>
          </w:p>
        </w:tc>
        <w:tc>
          <w:tcPr>
            <w:tcW w:w="1334" w:type="dxa"/>
            <w:vAlign w:val="center"/>
          </w:tcPr>
          <w:p w:rsidR="00B02B5F" w:rsidRDefault="004267F5">
            <w:pPr>
              <w:jc w:val="right"/>
            </w:pPr>
            <w:r>
              <w:rPr>
                <w:color w:val="000000"/>
                <w:sz w:val="24"/>
                <w:szCs w:val="24"/>
              </w:rPr>
              <w:t>600,000</w:t>
            </w:r>
          </w:p>
        </w:tc>
        <w:tc>
          <w:tcPr>
            <w:tcW w:w="1924" w:type="dxa"/>
            <w:vAlign w:val="center"/>
          </w:tcPr>
          <w:p w:rsidR="00B02B5F" w:rsidRDefault="004267F5">
            <w:pPr>
              <w:jc w:val="right"/>
            </w:pPr>
            <w:r>
              <w:rPr>
                <w:color w:val="000000"/>
                <w:sz w:val="24"/>
                <w:szCs w:val="24"/>
              </w:rPr>
              <w:t>8,280,000.00</w:t>
            </w:r>
          </w:p>
        </w:tc>
        <w:tc>
          <w:tcPr>
            <w:tcW w:w="1644" w:type="dxa"/>
            <w:vAlign w:val="center"/>
          </w:tcPr>
          <w:p w:rsidR="00B02B5F" w:rsidRDefault="004267F5">
            <w:pPr>
              <w:jc w:val="right"/>
            </w:pPr>
            <w:r>
              <w:rPr>
                <w:color w:val="000000"/>
                <w:sz w:val="24"/>
                <w:szCs w:val="24"/>
              </w:rPr>
              <w:t>0.97</w:t>
            </w:r>
          </w:p>
        </w:tc>
      </w:tr>
      <w:tr w:rsidR="00B02B5F">
        <w:trPr>
          <w:jc w:val="center"/>
        </w:trPr>
        <w:tc>
          <w:tcPr>
            <w:tcW w:w="855" w:type="dxa"/>
            <w:vAlign w:val="center"/>
          </w:tcPr>
          <w:p w:rsidR="00B02B5F" w:rsidRDefault="004267F5">
            <w:pPr>
              <w:jc w:val="center"/>
            </w:pPr>
            <w:r>
              <w:rPr>
                <w:color w:val="000000"/>
                <w:sz w:val="24"/>
                <w:szCs w:val="24"/>
              </w:rPr>
              <w:t>8</w:t>
            </w:r>
          </w:p>
        </w:tc>
        <w:tc>
          <w:tcPr>
            <w:tcW w:w="1334" w:type="dxa"/>
            <w:vAlign w:val="center"/>
          </w:tcPr>
          <w:p w:rsidR="00B02B5F" w:rsidRDefault="004267F5">
            <w:pPr>
              <w:jc w:val="center"/>
            </w:pPr>
            <w:r>
              <w:rPr>
                <w:color w:val="000000"/>
                <w:sz w:val="24"/>
                <w:szCs w:val="24"/>
              </w:rPr>
              <w:t>600219</w:t>
            </w:r>
          </w:p>
        </w:tc>
        <w:tc>
          <w:tcPr>
            <w:tcW w:w="1777" w:type="dxa"/>
            <w:vAlign w:val="center"/>
          </w:tcPr>
          <w:p w:rsidR="00B02B5F" w:rsidRDefault="004267F5">
            <w:pPr>
              <w:jc w:val="center"/>
            </w:pPr>
            <w:r>
              <w:rPr>
                <w:color w:val="000000"/>
                <w:sz w:val="24"/>
                <w:szCs w:val="24"/>
              </w:rPr>
              <w:t>南山铝业</w:t>
            </w:r>
          </w:p>
        </w:tc>
        <w:tc>
          <w:tcPr>
            <w:tcW w:w="1334" w:type="dxa"/>
            <w:vAlign w:val="center"/>
          </w:tcPr>
          <w:p w:rsidR="00B02B5F" w:rsidRDefault="004267F5">
            <w:pPr>
              <w:jc w:val="right"/>
            </w:pPr>
            <w:r>
              <w:rPr>
                <w:color w:val="000000"/>
                <w:sz w:val="24"/>
                <w:szCs w:val="24"/>
              </w:rPr>
              <w:t>600,000</w:t>
            </w:r>
          </w:p>
        </w:tc>
        <w:tc>
          <w:tcPr>
            <w:tcW w:w="1924" w:type="dxa"/>
            <w:vAlign w:val="center"/>
          </w:tcPr>
          <w:p w:rsidR="00B02B5F" w:rsidRDefault="004267F5">
            <w:pPr>
              <w:jc w:val="right"/>
            </w:pPr>
            <w:r>
              <w:rPr>
                <w:color w:val="000000"/>
                <w:sz w:val="24"/>
                <w:szCs w:val="24"/>
              </w:rPr>
              <w:t>6,492,000.00</w:t>
            </w:r>
          </w:p>
        </w:tc>
        <w:tc>
          <w:tcPr>
            <w:tcW w:w="1644" w:type="dxa"/>
            <w:vAlign w:val="center"/>
          </w:tcPr>
          <w:p w:rsidR="00B02B5F" w:rsidRDefault="004267F5">
            <w:pPr>
              <w:jc w:val="right"/>
            </w:pPr>
            <w:r>
              <w:rPr>
                <w:color w:val="000000"/>
                <w:sz w:val="24"/>
                <w:szCs w:val="24"/>
              </w:rPr>
              <w:t>0.76</w:t>
            </w:r>
          </w:p>
        </w:tc>
      </w:tr>
      <w:tr w:rsidR="00B02B5F">
        <w:trPr>
          <w:jc w:val="center"/>
        </w:trPr>
        <w:tc>
          <w:tcPr>
            <w:tcW w:w="855" w:type="dxa"/>
            <w:vAlign w:val="center"/>
          </w:tcPr>
          <w:p w:rsidR="00B02B5F" w:rsidRDefault="004267F5">
            <w:pPr>
              <w:jc w:val="center"/>
            </w:pPr>
            <w:r>
              <w:rPr>
                <w:color w:val="000000"/>
                <w:sz w:val="24"/>
                <w:szCs w:val="24"/>
              </w:rPr>
              <w:t>9</w:t>
            </w:r>
          </w:p>
        </w:tc>
        <w:tc>
          <w:tcPr>
            <w:tcW w:w="1334" w:type="dxa"/>
            <w:vAlign w:val="center"/>
          </w:tcPr>
          <w:p w:rsidR="00B02B5F" w:rsidRDefault="004267F5">
            <w:pPr>
              <w:jc w:val="center"/>
            </w:pPr>
            <w:r>
              <w:rPr>
                <w:color w:val="000000"/>
                <w:sz w:val="24"/>
                <w:szCs w:val="24"/>
              </w:rPr>
              <w:t>600895</w:t>
            </w:r>
          </w:p>
        </w:tc>
        <w:tc>
          <w:tcPr>
            <w:tcW w:w="1777" w:type="dxa"/>
            <w:vAlign w:val="center"/>
          </w:tcPr>
          <w:p w:rsidR="00B02B5F" w:rsidRDefault="004267F5">
            <w:pPr>
              <w:jc w:val="center"/>
            </w:pPr>
            <w:r>
              <w:rPr>
                <w:color w:val="000000"/>
                <w:sz w:val="24"/>
                <w:szCs w:val="24"/>
              </w:rPr>
              <w:t>张江高科</w:t>
            </w:r>
          </w:p>
        </w:tc>
        <w:tc>
          <w:tcPr>
            <w:tcW w:w="1334" w:type="dxa"/>
            <w:vAlign w:val="center"/>
          </w:tcPr>
          <w:p w:rsidR="00B02B5F" w:rsidRDefault="004267F5">
            <w:pPr>
              <w:jc w:val="right"/>
            </w:pPr>
            <w:r>
              <w:rPr>
                <w:color w:val="000000"/>
                <w:sz w:val="24"/>
                <w:szCs w:val="24"/>
              </w:rPr>
              <w:t>300,000</w:t>
            </w:r>
          </w:p>
        </w:tc>
        <w:tc>
          <w:tcPr>
            <w:tcW w:w="1924" w:type="dxa"/>
            <w:vAlign w:val="center"/>
          </w:tcPr>
          <w:p w:rsidR="00B02B5F" w:rsidRDefault="004267F5">
            <w:pPr>
              <w:jc w:val="right"/>
            </w:pPr>
            <w:r>
              <w:rPr>
                <w:color w:val="000000"/>
                <w:sz w:val="24"/>
                <w:szCs w:val="24"/>
              </w:rPr>
              <w:t>6,213,000.00</w:t>
            </w:r>
          </w:p>
        </w:tc>
        <w:tc>
          <w:tcPr>
            <w:tcW w:w="1644" w:type="dxa"/>
            <w:vAlign w:val="center"/>
          </w:tcPr>
          <w:p w:rsidR="00B02B5F" w:rsidRDefault="004267F5">
            <w:pPr>
              <w:jc w:val="right"/>
            </w:pPr>
            <w:r>
              <w:rPr>
                <w:color w:val="000000"/>
                <w:sz w:val="24"/>
                <w:szCs w:val="24"/>
              </w:rPr>
              <w:t>0.73</w:t>
            </w:r>
          </w:p>
        </w:tc>
      </w:tr>
      <w:tr w:rsidR="00B02B5F">
        <w:trPr>
          <w:jc w:val="center"/>
        </w:trPr>
        <w:tc>
          <w:tcPr>
            <w:tcW w:w="855" w:type="dxa"/>
            <w:vAlign w:val="center"/>
          </w:tcPr>
          <w:p w:rsidR="00B02B5F" w:rsidRDefault="004267F5">
            <w:pPr>
              <w:jc w:val="center"/>
            </w:pPr>
            <w:r>
              <w:rPr>
                <w:color w:val="000000"/>
                <w:sz w:val="24"/>
                <w:szCs w:val="24"/>
              </w:rPr>
              <w:t>10</w:t>
            </w:r>
          </w:p>
        </w:tc>
        <w:tc>
          <w:tcPr>
            <w:tcW w:w="1334" w:type="dxa"/>
            <w:vAlign w:val="center"/>
          </w:tcPr>
          <w:p w:rsidR="00B02B5F" w:rsidRDefault="004267F5">
            <w:pPr>
              <w:jc w:val="center"/>
            </w:pPr>
            <w:r>
              <w:rPr>
                <w:color w:val="000000"/>
                <w:sz w:val="24"/>
                <w:szCs w:val="24"/>
              </w:rPr>
              <w:t>300010</w:t>
            </w:r>
          </w:p>
        </w:tc>
        <w:tc>
          <w:tcPr>
            <w:tcW w:w="1777" w:type="dxa"/>
            <w:vAlign w:val="center"/>
          </w:tcPr>
          <w:p w:rsidR="00B02B5F" w:rsidRDefault="004267F5">
            <w:pPr>
              <w:jc w:val="center"/>
            </w:pPr>
            <w:r>
              <w:rPr>
                <w:color w:val="000000"/>
                <w:sz w:val="24"/>
                <w:szCs w:val="24"/>
              </w:rPr>
              <w:t>立思辰</w:t>
            </w:r>
          </w:p>
        </w:tc>
        <w:tc>
          <w:tcPr>
            <w:tcW w:w="1334" w:type="dxa"/>
            <w:vAlign w:val="center"/>
          </w:tcPr>
          <w:p w:rsidR="00B02B5F" w:rsidRDefault="004267F5">
            <w:pPr>
              <w:jc w:val="right"/>
            </w:pPr>
            <w:r>
              <w:rPr>
                <w:color w:val="000000"/>
                <w:sz w:val="24"/>
                <w:szCs w:val="24"/>
              </w:rPr>
              <w:t>129,954</w:t>
            </w:r>
          </w:p>
        </w:tc>
        <w:tc>
          <w:tcPr>
            <w:tcW w:w="1924" w:type="dxa"/>
            <w:vAlign w:val="center"/>
          </w:tcPr>
          <w:p w:rsidR="00B02B5F" w:rsidRDefault="004267F5">
            <w:pPr>
              <w:jc w:val="right"/>
            </w:pPr>
            <w:r>
              <w:rPr>
                <w:color w:val="000000"/>
                <w:sz w:val="24"/>
                <w:szCs w:val="24"/>
              </w:rPr>
              <w:t>6,163,718.22</w:t>
            </w:r>
          </w:p>
        </w:tc>
        <w:tc>
          <w:tcPr>
            <w:tcW w:w="1644" w:type="dxa"/>
            <w:vAlign w:val="center"/>
          </w:tcPr>
          <w:p w:rsidR="00B02B5F" w:rsidRDefault="004267F5">
            <w:pPr>
              <w:jc w:val="right"/>
            </w:pPr>
            <w:r>
              <w:rPr>
                <w:color w:val="000000"/>
                <w:sz w:val="24"/>
                <w:szCs w:val="24"/>
              </w:rPr>
              <w:t>0.73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170,485,000.00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170,485,000.00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25,160,000.00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25,139,909.80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220,784,909.80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02B5F">
        <w:trPr>
          <w:jc w:val="center"/>
        </w:trPr>
        <w:tc>
          <w:tcPr>
            <w:tcW w:w="850" w:type="dxa"/>
            <w:vAlign w:val="center"/>
          </w:tcPr>
          <w:p w:rsidR="00B02B5F" w:rsidRDefault="004267F5">
            <w:pPr>
              <w:jc w:val="center"/>
            </w:pPr>
            <w:r>
              <w:rPr>
                <w:color w:val="000000"/>
                <w:sz w:val="24"/>
                <w:szCs w:val="24"/>
              </w:rPr>
              <w:t>1</w:t>
            </w:r>
          </w:p>
        </w:tc>
        <w:tc>
          <w:tcPr>
            <w:tcW w:w="1475" w:type="dxa"/>
            <w:vAlign w:val="center"/>
          </w:tcPr>
          <w:p w:rsidR="00B02B5F" w:rsidRDefault="004267F5">
            <w:pPr>
              <w:jc w:val="center"/>
            </w:pPr>
            <w:r>
              <w:rPr>
                <w:color w:val="000000"/>
                <w:sz w:val="24"/>
                <w:szCs w:val="24"/>
              </w:rPr>
              <w:t>140429</w:t>
            </w:r>
          </w:p>
        </w:tc>
        <w:tc>
          <w:tcPr>
            <w:tcW w:w="1769" w:type="dxa"/>
            <w:vAlign w:val="center"/>
          </w:tcPr>
          <w:p w:rsidR="00B02B5F" w:rsidRDefault="004267F5">
            <w:pPr>
              <w:jc w:val="center"/>
            </w:pPr>
            <w:r>
              <w:rPr>
                <w:color w:val="000000"/>
                <w:sz w:val="24"/>
                <w:szCs w:val="24"/>
              </w:rPr>
              <w:t>14</w:t>
            </w:r>
            <w:r>
              <w:rPr>
                <w:color w:val="000000"/>
                <w:sz w:val="24"/>
                <w:szCs w:val="24"/>
              </w:rPr>
              <w:t>农发</w:t>
            </w:r>
            <w:r>
              <w:rPr>
                <w:color w:val="000000"/>
                <w:sz w:val="24"/>
                <w:szCs w:val="24"/>
              </w:rPr>
              <w:t>29</w:t>
            </w:r>
          </w:p>
        </w:tc>
        <w:tc>
          <w:tcPr>
            <w:tcW w:w="1387" w:type="dxa"/>
            <w:vAlign w:val="center"/>
          </w:tcPr>
          <w:p w:rsidR="00B02B5F" w:rsidRDefault="004267F5">
            <w:pPr>
              <w:jc w:val="right"/>
            </w:pPr>
            <w:r>
              <w:rPr>
                <w:color w:val="000000"/>
                <w:sz w:val="24"/>
                <w:szCs w:val="24"/>
              </w:rPr>
              <w:t>1,000,000</w:t>
            </w:r>
          </w:p>
        </w:tc>
        <w:tc>
          <w:tcPr>
            <w:tcW w:w="2150" w:type="dxa"/>
            <w:vAlign w:val="center"/>
          </w:tcPr>
          <w:p w:rsidR="00B02B5F" w:rsidRDefault="004267F5">
            <w:pPr>
              <w:jc w:val="right"/>
            </w:pPr>
            <w:r>
              <w:rPr>
                <w:color w:val="000000"/>
                <w:sz w:val="24"/>
                <w:szCs w:val="24"/>
              </w:rPr>
              <w:t>100,030,000.00</w:t>
            </w:r>
          </w:p>
        </w:tc>
        <w:tc>
          <w:tcPr>
            <w:tcW w:w="1237" w:type="dxa"/>
            <w:vAlign w:val="center"/>
          </w:tcPr>
          <w:p w:rsidR="00B02B5F" w:rsidRDefault="004267F5">
            <w:pPr>
              <w:jc w:val="right"/>
            </w:pPr>
            <w:r>
              <w:rPr>
                <w:color w:val="000000"/>
                <w:sz w:val="24"/>
                <w:szCs w:val="24"/>
              </w:rPr>
              <w:t>11.78</w:t>
            </w:r>
          </w:p>
        </w:tc>
      </w:tr>
      <w:tr w:rsidR="00B02B5F">
        <w:trPr>
          <w:jc w:val="center"/>
        </w:trPr>
        <w:tc>
          <w:tcPr>
            <w:tcW w:w="850" w:type="dxa"/>
            <w:vAlign w:val="center"/>
          </w:tcPr>
          <w:p w:rsidR="00B02B5F" w:rsidRDefault="004267F5">
            <w:pPr>
              <w:jc w:val="center"/>
            </w:pPr>
            <w:r>
              <w:rPr>
                <w:color w:val="000000"/>
                <w:sz w:val="24"/>
                <w:szCs w:val="24"/>
              </w:rPr>
              <w:t>2</w:t>
            </w:r>
          </w:p>
        </w:tc>
        <w:tc>
          <w:tcPr>
            <w:tcW w:w="1475" w:type="dxa"/>
            <w:vAlign w:val="center"/>
          </w:tcPr>
          <w:p w:rsidR="00B02B5F" w:rsidRDefault="004267F5">
            <w:pPr>
              <w:jc w:val="center"/>
            </w:pPr>
            <w:r>
              <w:rPr>
                <w:color w:val="000000"/>
                <w:sz w:val="24"/>
                <w:szCs w:val="24"/>
              </w:rPr>
              <w:t>140446</w:t>
            </w:r>
          </w:p>
        </w:tc>
        <w:tc>
          <w:tcPr>
            <w:tcW w:w="1769" w:type="dxa"/>
            <w:vAlign w:val="center"/>
          </w:tcPr>
          <w:p w:rsidR="00B02B5F" w:rsidRDefault="004267F5">
            <w:pPr>
              <w:jc w:val="center"/>
            </w:pPr>
            <w:r>
              <w:rPr>
                <w:color w:val="000000"/>
                <w:sz w:val="24"/>
                <w:szCs w:val="24"/>
              </w:rPr>
              <w:t>14</w:t>
            </w:r>
            <w:r>
              <w:rPr>
                <w:color w:val="000000"/>
                <w:sz w:val="24"/>
                <w:szCs w:val="24"/>
              </w:rPr>
              <w:t>农发</w:t>
            </w:r>
            <w:r>
              <w:rPr>
                <w:color w:val="000000"/>
                <w:sz w:val="24"/>
                <w:szCs w:val="24"/>
              </w:rPr>
              <w:t>46</w:t>
            </w:r>
          </w:p>
        </w:tc>
        <w:tc>
          <w:tcPr>
            <w:tcW w:w="1387" w:type="dxa"/>
            <w:vAlign w:val="center"/>
          </w:tcPr>
          <w:p w:rsidR="00B02B5F" w:rsidRDefault="004267F5">
            <w:pPr>
              <w:jc w:val="right"/>
            </w:pPr>
            <w:r>
              <w:rPr>
                <w:color w:val="000000"/>
                <w:sz w:val="24"/>
                <w:szCs w:val="24"/>
              </w:rPr>
              <w:t>700,000</w:t>
            </w:r>
          </w:p>
        </w:tc>
        <w:tc>
          <w:tcPr>
            <w:tcW w:w="2150" w:type="dxa"/>
            <w:vAlign w:val="center"/>
          </w:tcPr>
          <w:p w:rsidR="00B02B5F" w:rsidRDefault="004267F5">
            <w:pPr>
              <w:jc w:val="right"/>
            </w:pPr>
            <w:r>
              <w:rPr>
                <w:color w:val="000000"/>
                <w:sz w:val="24"/>
                <w:szCs w:val="24"/>
              </w:rPr>
              <w:t>70,455,000.00</w:t>
            </w:r>
          </w:p>
        </w:tc>
        <w:tc>
          <w:tcPr>
            <w:tcW w:w="1237" w:type="dxa"/>
            <w:vAlign w:val="center"/>
          </w:tcPr>
          <w:p w:rsidR="00B02B5F" w:rsidRDefault="004267F5">
            <w:pPr>
              <w:jc w:val="right"/>
            </w:pPr>
            <w:r>
              <w:rPr>
                <w:color w:val="000000"/>
                <w:sz w:val="24"/>
                <w:szCs w:val="24"/>
              </w:rPr>
              <w:t>8.30</w:t>
            </w:r>
          </w:p>
        </w:tc>
      </w:tr>
      <w:tr w:rsidR="00B02B5F">
        <w:trPr>
          <w:jc w:val="center"/>
        </w:trPr>
        <w:tc>
          <w:tcPr>
            <w:tcW w:w="850" w:type="dxa"/>
            <w:vAlign w:val="center"/>
          </w:tcPr>
          <w:p w:rsidR="00B02B5F" w:rsidRDefault="004267F5">
            <w:pPr>
              <w:jc w:val="center"/>
            </w:pPr>
            <w:r>
              <w:rPr>
                <w:color w:val="000000"/>
                <w:sz w:val="24"/>
                <w:szCs w:val="24"/>
              </w:rPr>
              <w:t>3</w:t>
            </w:r>
          </w:p>
        </w:tc>
        <w:tc>
          <w:tcPr>
            <w:tcW w:w="1475" w:type="dxa"/>
            <w:vAlign w:val="center"/>
          </w:tcPr>
          <w:p w:rsidR="00B02B5F" w:rsidRDefault="004267F5">
            <w:pPr>
              <w:jc w:val="center"/>
            </w:pPr>
            <w:r>
              <w:rPr>
                <w:color w:val="000000"/>
                <w:sz w:val="24"/>
                <w:szCs w:val="24"/>
              </w:rPr>
              <w:t>122266</w:t>
            </w:r>
          </w:p>
        </w:tc>
        <w:tc>
          <w:tcPr>
            <w:tcW w:w="1769" w:type="dxa"/>
            <w:vAlign w:val="center"/>
          </w:tcPr>
          <w:p w:rsidR="00B02B5F" w:rsidRDefault="004267F5">
            <w:pPr>
              <w:jc w:val="center"/>
            </w:pPr>
            <w:r>
              <w:rPr>
                <w:color w:val="000000"/>
                <w:sz w:val="24"/>
                <w:szCs w:val="24"/>
              </w:rPr>
              <w:t>13</w:t>
            </w:r>
            <w:r>
              <w:rPr>
                <w:color w:val="000000"/>
                <w:sz w:val="24"/>
                <w:szCs w:val="24"/>
              </w:rPr>
              <w:t>中信</w:t>
            </w:r>
            <w:r>
              <w:rPr>
                <w:color w:val="000000"/>
                <w:sz w:val="24"/>
                <w:szCs w:val="24"/>
              </w:rPr>
              <w:t>03</w:t>
            </w:r>
          </w:p>
        </w:tc>
        <w:tc>
          <w:tcPr>
            <w:tcW w:w="1387" w:type="dxa"/>
            <w:vAlign w:val="center"/>
          </w:tcPr>
          <w:p w:rsidR="00B02B5F" w:rsidRDefault="004267F5">
            <w:pPr>
              <w:jc w:val="right"/>
            </w:pPr>
            <w:r>
              <w:rPr>
                <w:color w:val="000000"/>
                <w:sz w:val="24"/>
                <w:szCs w:val="24"/>
              </w:rPr>
              <w:t>250,000</w:t>
            </w:r>
          </w:p>
        </w:tc>
        <w:tc>
          <w:tcPr>
            <w:tcW w:w="2150" w:type="dxa"/>
            <w:vAlign w:val="center"/>
          </w:tcPr>
          <w:p w:rsidR="00B02B5F" w:rsidRDefault="004267F5">
            <w:pPr>
              <w:jc w:val="right"/>
            </w:pPr>
            <w:r>
              <w:rPr>
                <w:color w:val="000000"/>
                <w:sz w:val="24"/>
                <w:szCs w:val="24"/>
              </w:rPr>
              <w:t>25,160,000.00</w:t>
            </w:r>
          </w:p>
        </w:tc>
        <w:tc>
          <w:tcPr>
            <w:tcW w:w="1237" w:type="dxa"/>
            <w:vAlign w:val="center"/>
          </w:tcPr>
          <w:p w:rsidR="00B02B5F" w:rsidRDefault="004267F5">
            <w:pPr>
              <w:jc w:val="right"/>
            </w:pPr>
            <w:r>
              <w:rPr>
                <w:color w:val="000000"/>
                <w:sz w:val="24"/>
                <w:szCs w:val="24"/>
              </w:rPr>
              <w:t>2.96</w:t>
            </w:r>
          </w:p>
        </w:tc>
      </w:tr>
      <w:tr w:rsidR="00B02B5F">
        <w:trPr>
          <w:jc w:val="center"/>
        </w:trPr>
        <w:tc>
          <w:tcPr>
            <w:tcW w:w="850" w:type="dxa"/>
            <w:vAlign w:val="center"/>
          </w:tcPr>
          <w:p w:rsidR="00B02B5F" w:rsidRDefault="004267F5">
            <w:pPr>
              <w:jc w:val="center"/>
            </w:pPr>
            <w:r>
              <w:rPr>
                <w:color w:val="000000"/>
                <w:sz w:val="24"/>
                <w:szCs w:val="24"/>
              </w:rPr>
              <w:t>4</w:t>
            </w:r>
          </w:p>
        </w:tc>
        <w:tc>
          <w:tcPr>
            <w:tcW w:w="1475" w:type="dxa"/>
            <w:vAlign w:val="center"/>
          </w:tcPr>
          <w:p w:rsidR="00B02B5F" w:rsidRDefault="004267F5">
            <w:pPr>
              <w:jc w:val="center"/>
            </w:pPr>
            <w:r>
              <w:rPr>
                <w:color w:val="000000"/>
                <w:sz w:val="24"/>
                <w:szCs w:val="24"/>
              </w:rPr>
              <w:t>110028</w:t>
            </w:r>
          </w:p>
        </w:tc>
        <w:tc>
          <w:tcPr>
            <w:tcW w:w="1769" w:type="dxa"/>
            <w:vAlign w:val="center"/>
          </w:tcPr>
          <w:p w:rsidR="00B02B5F" w:rsidRDefault="004267F5">
            <w:pPr>
              <w:jc w:val="center"/>
            </w:pPr>
            <w:r>
              <w:rPr>
                <w:color w:val="000000"/>
                <w:sz w:val="24"/>
                <w:szCs w:val="24"/>
              </w:rPr>
              <w:t>冠城转债</w:t>
            </w:r>
          </w:p>
        </w:tc>
        <w:tc>
          <w:tcPr>
            <w:tcW w:w="1387" w:type="dxa"/>
            <w:vAlign w:val="center"/>
          </w:tcPr>
          <w:p w:rsidR="00B02B5F" w:rsidRDefault="004267F5">
            <w:pPr>
              <w:jc w:val="right"/>
            </w:pPr>
            <w:r>
              <w:rPr>
                <w:color w:val="000000"/>
                <w:sz w:val="24"/>
                <w:szCs w:val="24"/>
              </w:rPr>
              <w:t>88,020</w:t>
            </w:r>
          </w:p>
        </w:tc>
        <w:tc>
          <w:tcPr>
            <w:tcW w:w="2150" w:type="dxa"/>
            <w:vAlign w:val="center"/>
          </w:tcPr>
          <w:p w:rsidR="00B02B5F" w:rsidRDefault="004267F5">
            <w:pPr>
              <w:jc w:val="right"/>
            </w:pPr>
            <w:r>
              <w:rPr>
                <w:color w:val="000000"/>
                <w:sz w:val="24"/>
                <w:szCs w:val="24"/>
              </w:rPr>
              <w:t>14,277,724.20</w:t>
            </w:r>
          </w:p>
        </w:tc>
        <w:tc>
          <w:tcPr>
            <w:tcW w:w="1237" w:type="dxa"/>
            <w:vAlign w:val="center"/>
          </w:tcPr>
          <w:p w:rsidR="00B02B5F" w:rsidRDefault="004267F5">
            <w:pPr>
              <w:jc w:val="right"/>
            </w:pPr>
            <w:r>
              <w:rPr>
                <w:color w:val="000000"/>
                <w:sz w:val="24"/>
                <w:szCs w:val="24"/>
              </w:rPr>
              <w:t>1.68</w:t>
            </w:r>
          </w:p>
        </w:tc>
      </w:tr>
      <w:tr w:rsidR="00B02B5F">
        <w:trPr>
          <w:jc w:val="center"/>
        </w:trPr>
        <w:tc>
          <w:tcPr>
            <w:tcW w:w="850" w:type="dxa"/>
            <w:vAlign w:val="center"/>
          </w:tcPr>
          <w:p w:rsidR="00B02B5F" w:rsidRDefault="004267F5">
            <w:pPr>
              <w:jc w:val="center"/>
            </w:pPr>
            <w:r>
              <w:rPr>
                <w:color w:val="000000"/>
                <w:sz w:val="24"/>
                <w:szCs w:val="24"/>
              </w:rPr>
              <w:t>5</w:t>
            </w:r>
          </w:p>
        </w:tc>
        <w:tc>
          <w:tcPr>
            <w:tcW w:w="1475" w:type="dxa"/>
            <w:vAlign w:val="center"/>
          </w:tcPr>
          <w:p w:rsidR="00B02B5F" w:rsidRDefault="004267F5">
            <w:pPr>
              <w:jc w:val="center"/>
            </w:pPr>
            <w:r>
              <w:rPr>
                <w:color w:val="000000"/>
                <w:sz w:val="24"/>
                <w:szCs w:val="24"/>
              </w:rPr>
              <w:t>110023</w:t>
            </w:r>
          </w:p>
        </w:tc>
        <w:tc>
          <w:tcPr>
            <w:tcW w:w="1769" w:type="dxa"/>
            <w:vAlign w:val="center"/>
          </w:tcPr>
          <w:p w:rsidR="00B02B5F" w:rsidRDefault="004267F5">
            <w:pPr>
              <w:jc w:val="center"/>
            </w:pPr>
            <w:r>
              <w:rPr>
                <w:color w:val="000000"/>
                <w:sz w:val="24"/>
                <w:szCs w:val="24"/>
              </w:rPr>
              <w:t>民生转债</w:t>
            </w:r>
          </w:p>
        </w:tc>
        <w:tc>
          <w:tcPr>
            <w:tcW w:w="1387" w:type="dxa"/>
            <w:vAlign w:val="center"/>
          </w:tcPr>
          <w:p w:rsidR="00B02B5F" w:rsidRDefault="004267F5">
            <w:pPr>
              <w:jc w:val="right"/>
            </w:pPr>
            <w:r>
              <w:rPr>
                <w:color w:val="000000"/>
                <w:sz w:val="24"/>
                <w:szCs w:val="24"/>
              </w:rPr>
              <w:t>50,000</w:t>
            </w:r>
          </w:p>
        </w:tc>
        <w:tc>
          <w:tcPr>
            <w:tcW w:w="2150" w:type="dxa"/>
            <w:vAlign w:val="center"/>
          </w:tcPr>
          <w:p w:rsidR="00B02B5F" w:rsidRDefault="004267F5">
            <w:pPr>
              <w:jc w:val="right"/>
            </w:pPr>
            <w:r>
              <w:rPr>
                <w:color w:val="000000"/>
                <w:sz w:val="24"/>
                <w:szCs w:val="24"/>
              </w:rPr>
              <w:t>6,863,500.00</w:t>
            </w:r>
          </w:p>
        </w:tc>
        <w:tc>
          <w:tcPr>
            <w:tcW w:w="1237" w:type="dxa"/>
            <w:vAlign w:val="center"/>
          </w:tcPr>
          <w:p w:rsidR="00B02B5F" w:rsidRDefault="004267F5">
            <w:pPr>
              <w:jc w:val="right"/>
            </w:pPr>
            <w:r>
              <w:rPr>
                <w:color w:val="000000"/>
                <w:sz w:val="24"/>
                <w:szCs w:val="24"/>
              </w:rPr>
              <w:t>0.81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13</w:t>
      </w:r>
      <w:r w:rsidRPr="00BE5388">
        <w:rPr>
          <w:bCs/>
          <w:color w:val="000000"/>
          <w:kern w:val="0"/>
          <w:sz w:val="24"/>
          <w:szCs w:val="24"/>
        </w:rPr>
        <w:t>中信</w:t>
      </w:r>
      <w:r w:rsidRPr="00BE5388">
        <w:rPr>
          <w:bCs/>
          <w:color w:val="000000"/>
          <w:kern w:val="0"/>
          <w:sz w:val="24"/>
          <w:szCs w:val="24"/>
        </w:rPr>
        <w:t>03</w:t>
      </w:r>
      <w:r w:rsidRPr="00BE5388">
        <w:rPr>
          <w:bCs/>
          <w:color w:val="000000"/>
          <w:kern w:val="0"/>
          <w:sz w:val="24"/>
          <w:szCs w:val="24"/>
        </w:rPr>
        <w:t>（证券代码：</w:t>
      </w:r>
      <w:r w:rsidRPr="00BE5388">
        <w:rPr>
          <w:bCs/>
          <w:color w:val="000000"/>
          <w:kern w:val="0"/>
          <w:sz w:val="24"/>
          <w:szCs w:val="24"/>
        </w:rPr>
        <w:t>122266</w:t>
      </w:r>
      <w:r w:rsidRPr="00BE5388">
        <w:rPr>
          <w:bCs/>
          <w:color w:val="000000"/>
          <w:kern w:val="0"/>
          <w:sz w:val="24"/>
          <w:szCs w:val="24"/>
        </w:rPr>
        <w:t>）外，未出现被监管部门立案调查，或在报告编制日前一年内受到公开谴责、处罚的情形。</w:t>
      </w:r>
    </w:p>
    <w:p w:rsidR="00B02B5F" w:rsidRDefault="004267F5">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13</w:t>
      </w:r>
      <w:r>
        <w:rPr>
          <w:bCs/>
          <w:color w:val="000000"/>
          <w:kern w:val="0"/>
          <w:sz w:val="24"/>
          <w:szCs w:val="24"/>
        </w:rPr>
        <w:t>中信</w:t>
      </w:r>
      <w:r>
        <w:rPr>
          <w:bCs/>
          <w:color w:val="000000"/>
          <w:kern w:val="0"/>
          <w:sz w:val="24"/>
          <w:szCs w:val="24"/>
        </w:rPr>
        <w:t>03</w:t>
      </w:r>
      <w:r>
        <w:rPr>
          <w:bCs/>
          <w:color w:val="000000"/>
          <w:kern w:val="0"/>
          <w:sz w:val="24"/>
          <w:szCs w:val="24"/>
        </w:rPr>
        <w:t>（证券代码：</w:t>
      </w:r>
      <w:r>
        <w:rPr>
          <w:bCs/>
          <w:color w:val="000000"/>
          <w:kern w:val="0"/>
          <w:sz w:val="24"/>
          <w:szCs w:val="24"/>
        </w:rPr>
        <w:t>122266</w:t>
      </w:r>
      <w:r>
        <w:rPr>
          <w:bCs/>
          <w:color w:val="000000"/>
          <w:kern w:val="0"/>
          <w:sz w:val="24"/>
          <w:szCs w:val="24"/>
        </w:rPr>
        <w:t>）的发行主体中信证券于</w:t>
      </w:r>
      <w:r>
        <w:rPr>
          <w:bCs/>
          <w:color w:val="000000"/>
          <w:kern w:val="0"/>
          <w:sz w:val="24"/>
          <w:szCs w:val="24"/>
        </w:rPr>
        <w:t>2015</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18</w:t>
      </w:r>
      <w:r>
        <w:rPr>
          <w:bCs/>
          <w:color w:val="000000"/>
          <w:kern w:val="0"/>
          <w:sz w:val="24"/>
          <w:szCs w:val="24"/>
        </w:rPr>
        <w:t>日公告称，公司因存在为到期融资融券合约展期的问题，被中国证监会采取暂停新开融资融券客户信用账户</w:t>
      </w:r>
      <w:r>
        <w:rPr>
          <w:bCs/>
          <w:color w:val="000000"/>
          <w:kern w:val="0"/>
          <w:sz w:val="24"/>
          <w:szCs w:val="24"/>
        </w:rPr>
        <w:t>3</w:t>
      </w:r>
      <w:r>
        <w:rPr>
          <w:bCs/>
          <w:color w:val="000000"/>
          <w:kern w:val="0"/>
          <w:sz w:val="24"/>
          <w:szCs w:val="24"/>
        </w:rPr>
        <w:t>个月的行政监管措施。</w:t>
      </w:r>
    </w:p>
    <w:p w:rsidR="00B02B5F" w:rsidRDefault="004267F5">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339,675.39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7,171,561.45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95,342.97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7,606,579.81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B02B5F">
        <w:trPr>
          <w:jc w:val="center"/>
        </w:trPr>
        <w:tc>
          <w:tcPr>
            <w:tcW w:w="1883" w:type="dxa"/>
            <w:vAlign w:val="center"/>
          </w:tcPr>
          <w:p w:rsidR="00B02B5F" w:rsidRDefault="004267F5">
            <w:pPr>
              <w:jc w:val="center"/>
            </w:pPr>
            <w:r>
              <w:rPr>
                <w:color w:val="000000"/>
                <w:sz w:val="24"/>
                <w:szCs w:val="24"/>
              </w:rPr>
              <w:t>1</w:t>
            </w:r>
          </w:p>
        </w:tc>
        <w:tc>
          <w:tcPr>
            <w:tcW w:w="1801" w:type="dxa"/>
            <w:vAlign w:val="center"/>
          </w:tcPr>
          <w:p w:rsidR="00B02B5F" w:rsidRDefault="004267F5">
            <w:pPr>
              <w:jc w:val="center"/>
            </w:pPr>
            <w:r>
              <w:rPr>
                <w:color w:val="000000"/>
                <w:sz w:val="24"/>
                <w:szCs w:val="24"/>
              </w:rPr>
              <w:t>110028</w:t>
            </w:r>
          </w:p>
        </w:tc>
        <w:tc>
          <w:tcPr>
            <w:tcW w:w="1727" w:type="dxa"/>
            <w:vAlign w:val="center"/>
          </w:tcPr>
          <w:p w:rsidR="00B02B5F" w:rsidRDefault="004267F5">
            <w:pPr>
              <w:jc w:val="center"/>
            </w:pPr>
            <w:r>
              <w:rPr>
                <w:color w:val="000000"/>
                <w:sz w:val="24"/>
                <w:szCs w:val="24"/>
              </w:rPr>
              <w:t>冠城转债</w:t>
            </w:r>
          </w:p>
        </w:tc>
        <w:tc>
          <w:tcPr>
            <w:tcW w:w="1768" w:type="dxa"/>
            <w:vAlign w:val="center"/>
          </w:tcPr>
          <w:p w:rsidR="00B02B5F" w:rsidRDefault="004267F5">
            <w:pPr>
              <w:jc w:val="right"/>
            </w:pPr>
            <w:r>
              <w:rPr>
                <w:color w:val="000000"/>
                <w:sz w:val="24"/>
                <w:szCs w:val="24"/>
              </w:rPr>
              <w:t>14,277,724.20</w:t>
            </w:r>
          </w:p>
        </w:tc>
        <w:tc>
          <w:tcPr>
            <w:tcW w:w="1689" w:type="dxa"/>
            <w:vAlign w:val="center"/>
          </w:tcPr>
          <w:p w:rsidR="00B02B5F" w:rsidRDefault="004267F5">
            <w:pPr>
              <w:jc w:val="right"/>
            </w:pPr>
            <w:r>
              <w:rPr>
                <w:color w:val="000000"/>
                <w:sz w:val="24"/>
                <w:szCs w:val="24"/>
              </w:rPr>
              <w:t>1.68</w:t>
            </w:r>
          </w:p>
        </w:tc>
      </w:tr>
      <w:tr w:rsidR="00B02B5F">
        <w:trPr>
          <w:jc w:val="center"/>
        </w:trPr>
        <w:tc>
          <w:tcPr>
            <w:tcW w:w="1883" w:type="dxa"/>
            <w:vAlign w:val="center"/>
          </w:tcPr>
          <w:p w:rsidR="00B02B5F" w:rsidRDefault="004267F5">
            <w:pPr>
              <w:jc w:val="center"/>
            </w:pPr>
            <w:r>
              <w:rPr>
                <w:color w:val="000000"/>
                <w:sz w:val="24"/>
                <w:szCs w:val="24"/>
              </w:rPr>
              <w:t>2</w:t>
            </w:r>
          </w:p>
        </w:tc>
        <w:tc>
          <w:tcPr>
            <w:tcW w:w="1801" w:type="dxa"/>
            <w:vAlign w:val="center"/>
          </w:tcPr>
          <w:p w:rsidR="00B02B5F" w:rsidRDefault="004267F5">
            <w:pPr>
              <w:jc w:val="center"/>
            </w:pPr>
            <w:r>
              <w:rPr>
                <w:color w:val="000000"/>
                <w:sz w:val="24"/>
                <w:szCs w:val="24"/>
              </w:rPr>
              <w:t>110023</w:t>
            </w:r>
          </w:p>
        </w:tc>
        <w:tc>
          <w:tcPr>
            <w:tcW w:w="1727" w:type="dxa"/>
            <w:vAlign w:val="center"/>
          </w:tcPr>
          <w:p w:rsidR="00B02B5F" w:rsidRDefault="004267F5">
            <w:pPr>
              <w:jc w:val="center"/>
            </w:pPr>
            <w:r>
              <w:rPr>
                <w:color w:val="000000"/>
                <w:sz w:val="24"/>
                <w:szCs w:val="24"/>
              </w:rPr>
              <w:t>民生转债</w:t>
            </w:r>
          </w:p>
        </w:tc>
        <w:tc>
          <w:tcPr>
            <w:tcW w:w="1768" w:type="dxa"/>
            <w:vAlign w:val="center"/>
          </w:tcPr>
          <w:p w:rsidR="00B02B5F" w:rsidRDefault="004267F5">
            <w:pPr>
              <w:jc w:val="right"/>
            </w:pPr>
            <w:r>
              <w:rPr>
                <w:color w:val="000000"/>
                <w:sz w:val="24"/>
                <w:szCs w:val="24"/>
              </w:rPr>
              <w:t>6,863,500.00</w:t>
            </w:r>
          </w:p>
        </w:tc>
        <w:tc>
          <w:tcPr>
            <w:tcW w:w="1689" w:type="dxa"/>
            <w:vAlign w:val="center"/>
          </w:tcPr>
          <w:p w:rsidR="00B02B5F" w:rsidRDefault="004267F5">
            <w:pPr>
              <w:jc w:val="right"/>
            </w:pPr>
            <w:r>
              <w:rPr>
                <w:color w:val="000000"/>
                <w:sz w:val="24"/>
                <w:szCs w:val="24"/>
              </w:rPr>
              <w:t>0.81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B02B5F">
        <w:trPr>
          <w:jc w:val="center"/>
        </w:trPr>
        <w:tc>
          <w:tcPr>
            <w:tcW w:w="1129" w:type="dxa"/>
            <w:vAlign w:val="center"/>
          </w:tcPr>
          <w:p w:rsidR="00B02B5F" w:rsidRDefault="004267F5">
            <w:pPr>
              <w:jc w:val="center"/>
            </w:pPr>
            <w:r>
              <w:rPr>
                <w:color w:val="000000"/>
                <w:sz w:val="24"/>
                <w:szCs w:val="24"/>
              </w:rPr>
              <w:t>1</w:t>
            </w:r>
          </w:p>
        </w:tc>
        <w:tc>
          <w:tcPr>
            <w:tcW w:w="1356" w:type="dxa"/>
            <w:vAlign w:val="center"/>
          </w:tcPr>
          <w:p w:rsidR="00B02B5F" w:rsidRDefault="004267F5">
            <w:pPr>
              <w:jc w:val="center"/>
            </w:pPr>
            <w:r>
              <w:rPr>
                <w:color w:val="000000"/>
                <w:sz w:val="24"/>
                <w:szCs w:val="24"/>
              </w:rPr>
              <w:t>300168</w:t>
            </w:r>
          </w:p>
        </w:tc>
        <w:tc>
          <w:tcPr>
            <w:tcW w:w="1355" w:type="dxa"/>
            <w:vAlign w:val="center"/>
          </w:tcPr>
          <w:p w:rsidR="00B02B5F" w:rsidRDefault="004267F5">
            <w:pPr>
              <w:jc w:val="center"/>
            </w:pPr>
            <w:r>
              <w:rPr>
                <w:color w:val="000000"/>
                <w:sz w:val="24"/>
                <w:szCs w:val="24"/>
              </w:rPr>
              <w:t>万达信息</w:t>
            </w:r>
          </w:p>
        </w:tc>
        <w:tc>
          <w:tcPr>
            <w:tcW w:w="1880" w:type="dxa"/>
            <w:vAlign w:val="center"/>
          </w:tcPr>
          <w:p w:rsidR="00B02B5F" w:rsidRDefault="004267F5">
            <w:pPr>
              <w:jc w:val="right"/>
            </w:pPr>
            <w:r>
              <w:rPr>
                <w:color w:val="000000"/>
                <w:sz w:val="24"/>
                <w:szCs w:val="24"/>
              </w:rPr>
              <w:t>9,949,454.10</w:t>
            </w:r>
          </w:p>
        </w:tc>
        <w:tc>
          <w:tcPr>
            <w:tcW w:w="1724" w:type="dxa"/>
            <w:vAlign w:val="center"/>
          </w:tcPr>
          <w:p w:rsidR="00B02B5F" w:rsidRDefault="004267F5">
            <w:pPr>
              <w:jc w:val="right"/>
            </w:pPr>
            <w:r>
              <w:rPr>
                <w:color w:val="000000"/>
                <w:sz w:val="24"/>
                <w:szCs w:val="24"/>
              </w:rPr>
              <w:t>1.17</w:t>
            </w:r>
          </w:p>
        </w:tc>
        <w:tc>
          <w:tcPr>
            <w:tcW w:w="1424" w:type="dxa"/>
            <w:vAlign w:val="center"/>
          </w:tcPr>
          <w:p w:rsidR="00B02B5F" w:rsidRDefault="004267F5">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754,326,864.01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9,474,503.87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67,326,978.45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696,474,389.43</w:t>
            </w:r>
          </w:p>
        </w:tc>
      </w:tr>
    </w:tbl>
    <w:p w:rsidR="00B02B5F" w:rsidRDefault="004267F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61BB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E61BB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B02B5F" w:rsidRDefault="004267F5">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的通知》（中基协发</w:t>
      </w:r>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E61BB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02B5F" w:rsidRDefault="004267F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、中国证监会批准交银施罗德荣安保本混合型证券投资基金募集的文件；</w:t>
      </w:r>
      <w:r>
        <w:rPr>
          <w:color w:val="000000"/>
          <w:sz w:val="24"/>
          <w:szCs w:val="24"/>
        </w:rPr>
        <w:t xml:space="preserve"> </w:t>
      </w:r>
    </w:p>
    <w:p w:rsidR="00B02B5F" w:rsidRDefault="004267F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、《交银施罗德荣安保本混合型证券投资基金基金合同》；</w:t>
      </w:r>
      <w:r>
        <w:rPr>
          <w:color w:val="000000"/>
          <w:sz w:val="24"/>
          <w:szCs w:val="24"/>
        </w:rPr>
        <w:t xml:space="preserve"> </w:t>
      </w:r>
    </w:p>
    <w:p w:rsidR="00B02B5F" w:rsidRDefault="004267F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、《交银施罗德荣安保本混合型证券投资基金招募说明书》；</w:t>
      </w:r>
    </w:p>
    <w:p w:rsidR="00B02B5F" w:rsidRDefault="004267F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、《交银施罗德荣安保本混合型证券投资基金托管协议》；</w:t>
      </w:r>
      <w:r>
        <w:rPr>
          <w:color w:val="000000"/>
          <w:sz w:val="24"/>
          <w:szCs w:val="24"/>
        </w:rPr>
        <w:t xml:space="preserve"> </w:t>
      </w:r>
    </w:p>
    <w:p w:rsidR="00B02B5F" w:rsidRDefault="004267F5">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B02B5F" w:rsidRDefault="004267F5">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B02B5F" w:rsidRDefault="004267F5">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、关于申请募集交银施罗德荣安保本混合型证券投资基金之法律意见书；</w:t>
      </w:r>
    </w:p>
    <w:p w:rsidR="00B02B5F" w:rsidRDefault="004267F5">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、报告期内交银施罗德荣安保本混合型证券投资基金在指定报刊上各项公告的原稿。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02B5F" w:rsidRDefault="004267F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20C" w:rsidRDefault="0042220C" w:rsidP="00876D65">
      <w:r>
        <w:separator/>
      </w:r>
    </w:p>
  </w:endnote>
  <w:endnote w:type="continuationSeparator" w:id="0">
    <w:p w:rsidR="0042220C" w:rsidRDefault="0042220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BB" w:rsidRPr="001D0DB0" w:rsidRDefault="00E61BBB" w:rsidP="004D340C">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674E4">
      <w:rPr>
        <w:noProof/>
        <w:kern w:val="0"/>
        <w:szCs w:val="21"/>
      </w:rPr>
      <w:t>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3674E4">
      <w:rPr>
        <w:noProof/>
        <w:kern w:val="0"/>
        <w:szCs w:val="21"/>
      </w:rPr>
      <w:t>12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20C" w:rsidRDefault="0042220C" w:rsidP="00876D65">
      <w:r>
        <w:separator/>
      </w:r>
    </w:p>
  </w:footnote>
  <w:footnote w:type="continuationSeparator" w:id="0">
    <w:p w:rsidR="0042220C" w:rsidRDefault="0042220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BB" w:rsidRPr="00CA574C" w:rsidRDefault="00E61BBB"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390D"/>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674E4"/>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220C"/>
    <w:rsid w:val="00426096"/>
    <w:rsid w:val="004267F5"/>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3853"/>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3A09"/>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02B5F"/>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1BBB"/>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5730E0-C6F4-442F-B8E5-437F29D0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07609.40AC6ED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FC844-6C37-475C-9D67-D45E1756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12</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562</cp:revision>
  <dcterms:created xsi:type="dcterms:W3CDTF">2012-10-16T06:07:00Z</dcterms:created>
  <dcterms:modified xsi:type="dcterms:W3CDTF">2015-04-16T06:37:00Z</dcterms:modified>
</cp:coreProperties>
</file>