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交银施罗德先进制造股票证券投资基金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6F363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90835" w:rsidRDefault="006F363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90835" w:rsidRDefault="006F363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90835" w:rsidRDefault="006F363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90835" w:rsidRDefault="006F363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90835" w:rsidRDefault="006F363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F363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320,477,738.35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本基金是一只股票型基金，属于基金中的高风险品种，本基金的风险与预期收益高于混合型基金、债券型基</w:t>
            </w:r>
            <w:r w:rsidRPr="00414345">
              <w:rPr>
                <w:color w:val="000000"/>
                <w:kern w:val="0"/>
                <w:sz w:val="24"/>
                <w:szCs w:val="24"/>
              </w:rPr>
              <w:lastRenderedPageBreak/>
              <w:t>金和货币市场基金。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F363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F3636" w:rsidRPr="00414345" w:rsidTr="006F363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F3636" w:rsidRPr="00414345" w:rsidTr="006F36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157,282,819.87</w:t>
            </w:r>
          </w:p>
        </w:tc>
      </w:tr>
      <w:tr w:rsidR="006F3636" w:rsidRPr="00414345" w:rsidTr="006F36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205,869,603.15</w:t>
            </w:r>
          </w:p>
        </w:tc>
      </w:tr>
      <w:tr w:rsidR="006F3636" w:rsidRPr="00414345" w:rsidTr="006F36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0.5644</w:t>
            </w:r>
          </w:p>
        </w:tc>
      </w:tr>
      <w:tr w:rsidR="006F3636" w:rsidRPr="00414345" w:rsidTr="006F36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600,984,302.24</w:t>
            </w:r>
          </w:p>
        </w:tc>
      </w:tr>
      <w:tr w:rsidR="006F3636" w:rsidRPr="00414345" w:rsidTr="006F363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1.875</w:t>
            </w:r>
          </w:p>
        </w:tc>
      </w:tr>
    </w:tbl>
    <w:p w:rsidR="00C90835" w:rsidRDefault="006F363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90835">
        <w:trPr>
          <w:jc w:val="center"/>
        </w:trPr>
        <w:tc>
          <w:tcPr>
            <w:tcW w:w="1701" w:type="dxa"/>
            <w:vAlign w:val="center"/>
          </w:tcPr>
          <w:p w:rsidR="00C90835" w:rsidRDefault="006F3636">
            <w:pPr>
              <w:jc w:val="left"/>
            </w:pPr>
            <w:r>
              <w:rPr>
                <w:color w:val="000000"/>
                <w:sz w:val="24"/>
                <w:szCs w:val="24"/>
              </w:rPr>
              <w:t>过去三个月</w:t>
            </w:r>
          </w:p>
        </w:tc>
        <w:tc>
          <w:tcPr>
            <w:tcW w:w="1045" w:type="dxa"/>
            <w:vAlign w:val="center"/>
          </w:tcPr>
          <w:p w:rsidR="00C90835" w:rsidRDefault="006F3636">
            <w:pPr>
              <w:jc w:val="center"/>
            </w:pPr>
            <w:r>
              <w:rPr>
                <w:color w:val="000000"/>
                <w:sz w:val="24"/>
                <w:szCs w:val="24"/>
              </w:rPr>
              <w:t>42.59%</w:t>
            </w:r>
          </w:p>
        </w:tc>
        <w:tc>
          <w:tcPr>
            <w:tcW w:w="1344" w:type="dxa"/>
            <w:vAlign w:val="center"/>
          </w:tcPr>
          <w:p w:rsidR="00C90835" w:rsidRDefault="006F3636">
            <w:pPr>
              <w:jc w:val="center"/>
            </w:pPr>
            <w:r>
              <w:rPr>
                <w:color w:val="000000"/>
                <w:sz w:val="24"/>
                <w:szCs w:val="24"/>
              </w:rPr>
              <w:t>1.46%</w:t>
            </w:r>
          </w:p>
        </w:tc>
        <w:tc>
          <w:tcPr>
            <w:tcW w:w="1194" w:type="dxa"/>
            <w:vAlign w:val="center"/>
          </w:tcPr>
          <w:p w:rsidR="00C90835" w:rsidRDefault="006F3636">
            <w:pPr>
              <w:jc w:val="center"/>
            </w:pPr>
            <w:r>
              <w:rPr>
                <w:color w:val="000000"/>
                <w:sz w:val="24"/>
                <w:szCs w:val="24"/>
              </w:rPr>
              <w:t>30.02%</w:t>
            </w:r>
          </w:p>
        </w:tc>
        <w:tc>
          <w:tcPr>
            <w:tcW w:w="1492" w:type="dxa"/>
            <w:vAlign w:val="center"/>
          </w:tcPr>
          <w:p w:rsidR="00C90835" w:rsidRDefault="006F3636">
            <w:pPr>
              <w:jc w:val="center"/>
            </w:pPr>
            <w:r>
              <w:rPr>
                <w:color w:val="000000"/>
                <w:sz w:val="24"/>
                <w:szCs w:val="24"/>
              </w:rPr>
              <w:t>1.07%</w:t>
            </w:r>
          </w:p>
        </w:tc>
        <w:tc>
          <w:tcPr>
            <w:tcW w:w="1194" w:type="dxa"/>
            <w:vAlign w:val="center"/>
          </w:tcPr>
          <w:p w:rsidR="00C90835" w:rsidRDefault="006F3636">
            <w:pPr>
              <w:jc w:val="center"/>
            </w:pPr>
            <w:r>
              <w:rPr>
                <w:color w:val="000000"/>
                <w:sz w:val="24"/>
                <w:szCs w:val="24"/>
              </w:rPr>
              <w:t>12.57%</w:t>
            </w:r>
          </w:p>
        </w:tc>
        <w:tc>
          <w:tcPr>
            <w:tcW w:w="898" w:type="dxa"/>
            <w:vAlign w:val="center"/>
          </w:tcPr>
          <w:p w:rsidR="00C90835" w:rsidRDefault="006F3636">
            <w:pPr>
              <w:jc w:val="center"/>
            </w:pPr>
            <w:r>
              <w:rPr>
                <w:color w:val="000000"/>
                <w:sz w:val="24"/>
                <w:szCs w:val="24"/>
              </w:rPr>
              <w:t>0.39%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F363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90835">
        <w:trPr>
          <w:jc w:val="center"/>
        </w:trPr>
        <w:tc>
          <w:tcPr>
            <w:tcW w:w="846" w:type="dxa"/>
            <w:vAlign w:val="center"/>
          </w:tcPr>
          <w:p w:rsidR="00C90835" w:rsidRDefault="006F3636">
            <w:pPr>
              <w:jc w:val="center"/>
            </w:pPr>
            <w:r>
              <w:rPr>
                <w:color w:val="000000"/>
                <w:sz w:val="24"/>
                <w:szCs w:val="24"/>
              </w:rPr>
              <w:t>王少成</w:t>
            </w:r>
          </w:p>
        </w:tc>
        <w:tc>
          <w:tcPr>
            <w:tcW w:w="845" w:type="dxa"/>
            <w:vAlign w:val="center"/>
          </w:tcPr>
          <w:p w:rsidR="00C90835" w:rsidRDefault="006F3636">
            <w:pPr>
              <w:jc w:val="center"/>
            </w:pPr>
            <w:r>
              <w:rPr>
                <w:color w:val="000000"/>
                <w:sz w:val="24"/>
                <w:szCs w:val="24"/>
              </w:rPr>
              <w:t>本基金、交银成长股票、交银先锋股票、交银成长</w:t>
            </w:r>
            <w:r>
              <w:rPr>
                <w:color w:val="000000"/>
                <w:sz w:val="24"/>
                <w:szCs w:val="24"/>
              </w:rPr>
              <w:t>30</w:t>
            </w:r>
            <w:r>
              <w:rPr>
                <w:color w:val="000000"/>
                <w:sz w:val="24"/>
                <w:szCs w:val="24"/>
              </w:rPr>
              <w:t>股票的基金经理，公司权</w:t>
            </w:r>
            <w:r>
              <w:rPr>
                <w:color w:val="000000"/>
                <w:sz w:val="24"/>
                <w:szCs w:val="24"/>
              </w:rPr>
              <w:lastRenderedPageBreak/>
              <w:t>益部副总经理</w:t>
            </w:r>
          </w:p>
        </w:tc>
        <w:tc>
          <w:tcPr>
            <w:tcW w:w="1549" w:type="dxa"/>
            <w:vAlign w:val="center"/>
          </w:tcPr>
          <w:p w:rsidR="00C90835" w:rsidRDefault="006F3636">
            <w:pPr>
              <w:jc w:val="center"/>
            </w:pPr>
            <w:r>
              <w:rPr>
                <w:color w:val="000000"/>
                <w:sz w:val="24"/>
                <w:szCs w:val="24"/>
              </w:rPr>
              <w:lastRenderedPageBreak/>
              <w:t>2013-03-21</w:t>
            </w:r>
          </w:p>
        </w:tc>
        <w:tc>
          <w:tcPr>
            <w:tcW w:w="1548" w:type="dxa"/>
            <w:vAlign w:val="center"/>
          </w:tcPr>
          <w:p w:rsidR="00C90835" w:rsidRDefault="006F3636">
            <w:pPr>
              <w:jc w:val="center"/>
            </w:pPr>
            <w:r>
              <w:rPr>
                <w:color w:val="000000"/>
                <w:sz w:val="24"/>
                <w:szCs w:val="24"/>
              </w:rPr>
              <w:t>-</w:t>
            </w:r>
          </w:p>
        </w:tc>
        <w:tc>
          <w:tcPr>
            <w:tcW w:w="1407" w:type="dxa"/>
            <w:vAlign w:val="center"/>
          </w:tcPr>
          <w:p w:rsidR="00C90835" w:rsidRDefault="006F3636">
            <w:pPr>
              <w:jc w:val="center"/>
            </w:pPr>
            <w:r>
              <w:rPr>
                <w:color w:val="000000"/>
                <w:sz w:val="24"/>
                <w:szCs w:val="24"/>
              </w:rPr>
              <w:t>11</w:t>
            </w:r>
            <w:r>
              <w:rPr>
                <w:color w:val="000000"/>
                <w:sz w:val="24"/>
                <w:szCs w:val="24"/>
              </w:rPr>
              <w:t>年</w:t>
            </w:r>
          </w:p>
        </w:tc>
        <w:tc>
          <w:tcPr>
            <w:tcW w:w="2673" w:type="dxa"/>
            <w:vAlign w:val="center"/>
          </w:tcPr>
          <w:p w:rsidR="00C90835" w:rsidRDefault="006F3636">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w:t>
            </w:r>
            <w:r>
              <w:rPr>
                <w:color w:val="000000"/>
                <w:sz w:val="24"/>
                <w:szCs w:val="24"/>
              </w:rPr>
              <w:lastRenderedPageBreak/>
              <w:t>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r w:rsidR="00C90835">
        <w:trPr>
          <w:jc w:val="center"/>
        </w:trPr>
        <w:tc>
          <w:tcPr>
            <w:tcW w:w="846" w:type="dxa"/>
            <w:vAlign w:val="center"/>
          </w:tcPr>
          <w:p w:rsidR="00C90835" w:rsidRDefault="006F3636">
            <w:pPr>
              <w:jc w:val="center"/>
            </w:pPr>
            <w:r>
              <w:rPr>
                <w:color w:val="000000"/>
                <w:sz w:val="24"/>
                <w:szCs w:val="24"/>
              </w:rPr>
              <w:lastRenderedPageBreak/>
              <w:t>任相栋</w:t>
            </w:r>
          </w:p>
        </w:tc>
        <w:tc>
          <w:tcPr>
            <w:tcW w:w="845" w:type="dxa"/>
            <w:vAlign w:val="center"/>
          </w:tcPr>
          <w:p w:rsidR="00C90835" w:rsidRDefault="006F3636">
            <w:pPr>
              <w:jc w:val="center"/>
            </w:pPr>
            <w:r>
              <w:rPr>
                <w:color w:val="000000"/>
                <w:sz w:val="24"/>
                <w:szCs w:val="24"/>
              </w:rPr>
              <w:t>本基金的基金经理</w:t>
            </w:r>
          </w:p>
        </w:tc>
        <w:tc>
          <w:tcPr>
            <w:tcW w:w="1549" w:type="dxa"/>
            <w:vAlign w:val="center"/>
          </w:tcPr>
          <w:p w:rsidR="00C90835" w:rsidRDefault="006F3636">
            <w:pPr>
              <w:jc w:val="center"/>
            </w:pPr>
            <w:r>
              <w:rPr>
                <w:color w:val="000000"/>
                <w:sz w:val="24"/>
                <w:szCs w:val="24"/>
              </w:rPr>
              <w:t>2015-01-21</w:t>
            </w:r>
          </w:p>
        </w:tc>
        <w:tc>
          <w:tcPr>
            <w:tcW w:w="1548" w:type="dxa"/>
            <w:vAlign w:val="center"/>
          </w:tcPr>
          <w:p w:rsidR="00C90835" w:rsidRDefault="006F3636">
            <w:pPr>
              <w:jc w:val="center"/>
            </w:pPr>
            <w:r>
              <w:rPr>
                <w:color w:val="000000"/>
                <w:sz w:val="24"/>
                <w:szCs w:val="24"/>
              </w:rPr>
              <w:t>-</w:t>
            </w:r>
          </w:p>
        </w:tc>
        <w:tc>
          <w:tcPr>
            <w:tcW w:w="1407" w:type="dxa"/>
            <w:vAlign w:val="center"/>
          </w:tcPr>
          <w:p w:rsidR="00C90835" w:rsidRDefault="006F3636">
            <w:pPr>
              <w:jc w:val="center"/>
            </w:pPr>
            <w:r>
              <w:rPr>
                <w:color w:val="000000"/>
                <w:sz w:val="24"/>
                <w:szCs w:val="24"/>
              </w:rPr>
              <w:t>5</w:t>
            </w:r>
            <w:r>
              <w:rPr>
                <w:color w:val="000000"/>
                <w:sz w:val="24"/>
                <w:szCs w:val="24"/>
              </w:rPr>
              <w:t>年</w:t>
            </w:r>
          </w:p>
        </w:tc>
        <w:tc>
          <w:tcPr>
            <w:tcW w:w="2673" w:type="dxa"/>
            <w:vAlign w:val="center"/>
          </w:tcPr>
          <w:p w:rsidR="00C90835" w:rsidRDefault="006F3636">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90835" w:rsidRDefault="006F363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90835" w:rsidRDefault="006F363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90835" w:rsidRDefault="006F363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90835" w:rsidRDefault="006F3636">
      <w:pPr>
        <w:spacing w:before="29" w:line="288" w:lineRule="auto"/>
        <w:ind w:firstLineChars="200" w:firstLine="480"/>
        <w:rPr>
          <w:color w:val="000000"/>
          <w:sz w:val="24"/>
          <w:szCs w:val="24"/>
        </w:rPr>
      </w:pPr>
      <w:r>
        <w:rPr>
          <w:color w:val="000000"/>
          <w:sz w:val="24"/>
          <w:szCs w:val="24"/>
        </w:rPr>
        <w:t>一季度市场涨幅明显，国企改革、受益于成本下降的相关个股都取得明显涨幅，特别是代表新经济、新商业模式的板块和个股表现异常突出。一季度宏观经济表现仍延续</w:t>
      </w:r>
      <w:r>
        <w:rPr>
          <w:color w:val="000000"/>
          <w:sz w:val="24"/>
          <w:szCs w:val="24"/>
        </w:rPr>
        <w:t>2014</w:t>
      </w:r>
      <w:r>
        <w:rPr>
          <w:color w:val="000000"/>
          <w:sz w:val="24"/>
          <w:szCs w:val="24"/>
        </w:rPr>
        <w:t>年下半年的趋势，财政政策和货币政策的取向也没有大变化。与之形成对比，在政府</w:t>
      </w:r>
      <w:r>
        <w:rPr>
          <w:color w:val="000000"/>
          <w:sz w:val="24"/>
          <w:szCs w:val="24"/>
        </w:rPr>
        <w:t>“</w:t>
      </w:r>
      <w:r>
        <w:rPr>
          <w:color w:val="000000"/>
          <w:sz w:val="24"/>
          <w:szCs w:val="24"/>
        </w:rPr>
        <w:t>大众创业、万众创新</w:t>
      </w:r>
      <w:r>
        <w:rPr>
          <w:color w:val="000000"/>
          <w:sz w:val="24"/>
          <w:szCs w:val="24"/>
        </w:rPr>
        <w:t>”</w:t>
      </w:r>
      <w:r>
        <w:rPr>
          <w:color w:val="000000"/>
          <w:sz w:val="24"/>
          <w:szCs w:val="24"/>
        </w:rPr>
        <w:t>的号召下，全面的创新、创业意识达到了近年来前所未有的高度，新经济虽然仍处于早期培育阶段，但已表现出了明显的活力，资本市场的表现也是与目前宏观经济中这一现象形成呼应。一季度本基金净值跑赢业绩比较基准，配置相对均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展望未来一个季度，场外资金跑步入市的趋势仍将明显，新经济仍然是目前经济中的一抹亮色，相关板块和个股仍将受到追捧，国企改革等投资线条的机会也有望延续。</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1.875</w:t>
      </w:r>
      <w:r w:rsidRPr="00414345">
        <w:rPr>
          <w:color w:val="000000"/>
          <w:sz w:val="24"/>
          <w:szCs w:val="24"/>
        </w:rPr>
        <w:t>元，本报告期份额净值增长率为</w:t>
      </w:r>
      <w:r w:rsidRPr="00414345">
        <w:rPr>
          <w:color w:val="000000"/>
          <w:sz w:val="24"/>
          <w:szCs w:val="24"/>
        </w:rPr>
        <w:t>42.59%</w:t>
      </w:r>
      <w:r w:rsidRPr="00414345">
        <w:rPr>
          <w:color w:val="000000"/>
          <w:sz w:val="24"/>
          <w:szCs w:val="24"/>
        </w:rPr>
        <w:t>，同期业绩比较基准增长率</w:t>
      </w:r>
      <w:r w:rsidRPr="00414345">
        <w:rPr>
          <w:color w:val="000000"/>
          <w:sz w:val="24"/>
          <w:szCs w:val="24"/>
        </w:rPr>
        <w:t>30.02%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F363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551,759,293.00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89.45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551,759,293.00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89.45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56,007,279.39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9.08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9,061,168.48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616,827,740.87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409,196,107.44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10,389,048.00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11,171,706.00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61,543,890.20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6,868,072.08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6,032,928.00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30,433,122.72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16,124,418.56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551,759,293.00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91.81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90835">
        <w:trPr>
          <w:jc w:val="center"/>
        </w:trPr>
        <w:tc>
          <w:tcPr>
            <w:tcW w:w="855" w:type="dxa"/>
            <w:vAlign w:val="center"/>
          </w:tcPr>
          <w:p w:rsidR="00C90835" w:rsidRDefault="006F3636">
            <w:pPr>
              <w:jc w:val="center"/>
            </w:pPr>
            <w:r>
              <w:rPr>
                <w:color w:val="000000"/>
                <w:sz w:val="24"/>
                <w:szCs w:val="24"/>
              </w:rPr>
              <w:t>1</w:t>
            </w:r>
          </w:p>
        </w:tc>
        <w:tc>
          <w:tcPr>
            <w:tcW w:w="1334" w:type="dxa"/>
            <w:vAlign w:val="center"/>
          </w:tcPr>
          <w:p w:rsidR="00C90835" w:rsidRDefault="006F3636">
            <w:pPr>
              <w:jc w:val="center"/>
            </w:pPr>
            <w:r>
              <w:rPr>
                <w:color w:val="000000"/>
                <w:sz w:val="24"/>
                <w:szCs w:val="24"/>
              </w:rPr>
              <w:t>600389</w:t>
            </w:r>
          </w:p>
        </w:tc>
        <w:tc>
          <w:tcPr>
            <w:tcW w:w="1777" w:type="dxa"/>
            <w:vAlign w:val="center"/>
          </w:tcPr>
          <w:p w:rsidR="00C90835" w:rsidRDefault="006F3636">
            <w:pPr>
              <w:jc w:val="center"/>
            </w:pPr>
            <w:r>
              <w:rPr>
                <w:color w:val="000000"/>
                <w:sz w:val="24"/>
                <w:szCs w:val="24"/>
              </w:rPr>
              <w:t>江山股份</w:t>
            </w:r>
          </w:p>
        </w:tc>
        <w:tc>
          <w:tcPr>
            <w:tcW w:w="1334" w:type="dxa"/>
            <w:vAlign w:val="center"/>
          </w:tcPr>
          <w:p w:rsidR="00C90835" w:rsidRDefault="006F3636">
            <w:pPr>
              <w:jc w:val="right"/>
            </w:pPr>
            <w:r>
              <w:rPr>
                <w:color w:val="000000"/>
                <w:sz w:val="24"/>
                <w:szCs w:val="24"/>
              </w:rPr>
              <w:t>1,444,936</w:t>
            </w:r>
          </w:p>
        </w:tc>
        <w:tc>
          <w:tcPr>
            <w:tcW w:w="1924" w:type="dxa"/>
            <w:vAlign w:val="center"/>
          </w:tcPr>
          <w:p w:rsidR="00C90835" w:rsidRDefault="006F3636">
            <w:pPr>
              <w:jc w:val="right"/>
            </w:pPr>
            <w:r>
              <w:rPr>
                <w:color w:val="000000"/>
                <w:sz w:val="24"/>
                <w:szCs w:val="24"/>
              </w:rPr>
              <w:t>49,864,741.36</w:t>
            </w:r>
          </w:p>
        </w:tc>
        <w:tc>
          <w:tcPr>
            <w:tcW w:w="1644" w:type="dxa"/>
            <w:vAlign w:val="center"/>
          </w:tcPr>
          <w:p w:rsidR="00C90835" w:rsidRDefault="006F3636">
            <w:pPr>
              <w:jc w:val="right"/>
            </w:pPr>
            <w:r>
              <w:rPr>
                <w:color w:val="000000"/>
                <w:sz w:val="24"/>
                <w:szCs w:val="24"/>
              </w:rPr>
              <w:t>8.30</w:t>
            </w:r>
          </w:p>
        </w:tc>
      </w:tr>
      <w:tr w:rsidR="00C90835">
        <w:trPr>
          <w:jc w:val="center"/>
        </w:trPr>
        <w:tc>
          <w:tcPr>
            <w:tcW w:w="855" w:type="dxa"/>
            <w:vAlign w:val="center"/>
          </w:tcPr>
          <w:p w:rsidR="00C90835" w:rsidRDefault="006F3636">
            <w:pPr>
              <w:jc w:val="center"/>
            </w:pPr>
            <w:r>
              <w:rPr>
                <w:color w:val="000000"/>
                <w:sz w:val="24"/>
                <w:szCs w:val="24"/>
              </w:rPr>
              <w:t>2</w:t>
            </w:r>
          </w:p>
        </w:tc>
        <w:tc>
          <w:tcPr>
            <w:tcW w:w="1334" w:type="dxa"/>
            <w:vAlign w:val="center"/>
          </w:tcPr>
          <w:p w:rsidR="00C90835" w:rsidRDefault="006F3636">
            <w:pPr>
              <w:jc w:val="center"/>
            </w:pPr>
            <w:r>
              <w:rPr>
                <w:color w:val="000000"/>
                <w:sz w:val="24"/>
                <w:szCs w:val="24"/>
              </w:rPr>
              <w:t>600967</w:t>
            </w:r>
          </w:p>
        </w:tc>
        <w:tc>
          <w:tcPr>
            <w:tcW w:w="1777" w:type="dxa"/>
            <w:vAlign w:val="center"/>
          </w:tcPr>
          <w:p w:rsidR="00C90835" w:rsidRDefault="006F3636">
            <w:pPr>
              <w:jc w:val="center"/>
            </w:pPr>
            <w:r>
              <w:rPr>
                <w:color w:val="000000"/>
                <w:sz w:val="24"/>
                <w:szCs w:val="24"/>
              </w:rPr>
              <w:t>北方创业</w:t>
            </w:r>
          </w:p>
        </w:tc>
        <w:tc>
          <w:tcPr>
            <w:tcW w:w="1334" w:type="dxa"/>
            <w:vAlign w:val="center"/>
          </w:tcPr>
          <w:p w:rsidR="00C90835" w:rsidRDefault="006F3636">
            <w:pPr>
              <w:jc w:val="right"/>
            </w:pPr>
            <w:r>
              <w:rPr>
                <w:color w:val="000000"/>
                <w:sz w:val="24"/>
                <w:szCs w:val="24"/>
              </w:rPr>
              <w:t>2,275,423</w:t>
            </w:r>
          </w:p>
        </w:tc>
        <w:tc>
          <w:tcPr>
            <w:tcW w:w="1924" w:type="dxa"/>
            <w:vAlign w:val="center"/>
          </w:tcPr>
          <w:p w:rsidR="00C90835" w:rsidRDefault="006F3636">
            <w:pPr>
              <w:jc w:val="right"/>
            </w:pPr>
            <w:r>
              <w:rPr>
                <w:color w:val="000000"/>
                <w:sz w:val="24"/>
                <w:szCs w:val="24"/>
              </w:rPr>
              <w:t>36,907,361.06</w:t>
            </w:r>
          </w:p>
        </w:tc>
        <w:tc>
          <w:tcPr>
            <w:tcW w:w="1644" w:type="dxa"/>
            <w:vAlign w:val="center"/>
          </w:tcPr>
          <w:p w:rsidR="00C90835" w:rsidRDefault="006F3636">
            <w:pPr>
              <w:jc w:val="right"/>
            </w:pPr>
            <w:r>
              <w:rPr>
                <w:color w:val="000000"/>
                <w:sz w:val="24"/>
                <w:szCs w:val="24"/>
              </w:rPr>
              <w:t>6.14</w:t>
            </w:r>
          </w:p>
        </w:tc>
      </w:tr>
      <w:tr w:rsidR="00C90835">
        <w:trPr>
          <w:jc w:val="center"/>
        </w:trPr>
        <w:tc>
          <w:tcPr>
            <w:tcW w:w="855" w:type="dxa"/>
            <w:vAlign w:val="center"/>
          </w:tcPr>
          <w:p w:rsidR="00C90835" w:rsidRDefault="006F3636">
            <w:pPr>
              <w:jc w:val="center"/>
            </w:pPr>
            <w:r>
              <w:rPr>
                <w:color w:val="000000"/>
                <w:sz w:val="24"/>
                <w:szCs w:val="24"/>
              </w:rPr>
              <w:t>3</w:t>
            </w:r>
          </w:p>
        </w:tc>
        <w:tc>
          <w:tcPr>
            <w:tcW w:w="1334" w:type="dxa"/>
            <w:vAlign w:val="center"/>
          </w:tcPr>
          <w:p w:rsidR="00C90835" w:rsidRDefault="006F3636">
            <w:pPr>
              <w:jc w:val="center"/>
            </w:pPr>
            <w:r>
              <w:rPr>
                <w:color w:val="000000"/>
                <w:sz w:val="24"/>
                <w:szCs w:val="24"/>
              </w:rPr>
              <w:t>300166</w:t>
            </w:r>
          </w:p>
        </w:tc>
        <w:tc>
          <w:tcPr>
            <w:tcW w:w="1777" w:type="dxa"/>
            <w:vAlign w:val="center"/>
          </w:tcPr>
          <w:p w:rsidR="00C90835" w:rsidRDefault="006F3636">
            <w:pPr>
              <w:jc w:val="center"/>
            </w:pPr>
            <w:r>
              <w:rPr>
                <w:color w:val="000000"/>
                <w:sz w:val="24"/>
                <w:szCs w:val="24"/>
              </w:rPr>
              <w:t>东方国信</w:t>
            </w:r>
          </w:p>
        </w:tc>
        <w:tc>
          <w:tcPr>
            <w:tcW w:w="1334" w:type="dxa"/>
            <w:vAlign w:val="center"/>
          </w:tcPr>
          <w:p w:rsidR="00C90835" w:rsidRDefault="006F3636">
            <w:pPr>
              <w:jc w:val="right"/>
            </w:pPr>
            <w:r>
              <w:rPr>
                <w:color w:val="000000"/>
                <w:sz w:val="24"/>
                <w:szCs w:val="24"/>
              </w:rPr>
              <w:t>651,061</w:t>
            </w:r>
          </w:p>
        </w:tc>
        <w:tc>
          <w:tcPr>
            <w:tcW w:w="1924" w:type="dxa"/>
            <w:vAlign w:val="center"/>
          </w:tcPr>
          <w:p w:rsidR="00C90835" w:rsidRDefault="006F3636">
            <w:pPr>
              <w:jc w:val="right"/>
            </w:pPr>
            <w:r>
              <w:rPr>
                <w:color w:val="000000"/>
                <w:sz w:val="24"/>
                <w:szCs w:val="24"/>
              </w:rPr>
              <w:t>35,547,930.60</w:t>
            </w:r>
          </w:p>
        </w:tc>
        <w:tc>
          <w:tcPr>
            <w:tcW w:w="1644" w:type="dxa"/>
            <w:vAlign w:val="center"/>
          </w:tcPr>
          <w:p w:rsidR="00C90835" w:rsidRDefault="006F3636">
            <w:pPr>
              <w:jc w:val="right"/>
            </w:pPr>
            <w:r>
              <w:rPr>
                <w:color w:val="000000"/>
                <w:sz w:val="24"/>
                <w:szCs w:val="24"/>
              </w:rPr>
              <w:t>5.91</w:t>
            </w:r>
          </w:p>
        </w:tc>
      </w:tr>
      <w:tr w:rsidR="00C90835">
        <w:trPr>
          <w:jc w:val="center"/>
        </w:trPr>
        <w:tc>
          <w:tcPr>
            <w:tcW w:w="855" w:type="dxa"/>
            <w:vAlign w:val="center"/>
          </w:tcPr>
          <w:p w:rsidR="00C90835" w:rsidRDefault="006F3636">
            <w:pPr>
              <w:jc w:val="center"/>
            </w:pPr>
            <w:r>
              <w:rPr>
                <w:color w:val="000000"/>
                <w:sz w:val="24"/>
                <w:szCs w:val="24"/>
              </w:rPr>
              <w:t>4</w:t>
            </w:r>
          </w:p>
        </w:tc>
        <w:tc>
          <w:tcPr>
            <w:tcW w:w="1334" w:type="dxa"/>
            <w:vAlign w:val="center"/>
          </w:tcPr>
          <w:p w:rsidR="00C90835" w:rsidRDefault="006F3636">
            <w:pPr>
              <w:jc w:val="center"/>
            </w:pPr>
            <w:r>
              <w:rPr>
                <w:color w:val="000000"/>
                <w:sz w:val="24"/>
                <w:szCs w:val="24"/>
              </w:rPr>
              <w:t>600499</w:t>
            </w:r>
          </w:p>
        </w:tc>
        <w:tc>
          <w:tcPr>
            <w:tcW w:w="1777" w:type="dxa"/>
            <w:vAlign w:val="center"/>
          </w:tcPr>
          <w:p w:rsidR="00C90835" w:rsidRDefault="006F3636">
            <w:pPr>
              <w:jc w:val="center"/>
            </w:pPr>
            <w:r>
              <w:rPr>
                <w:color w:val="000000"/>
                <w:sz w:val="24"/>
                <w:szCs w:val="24"/>
              </w:rPr>
              <w:t>科达洁能</w:t>
            </w:r>
          </w:p>
        </w:tc>
        <w:tc>
          <w:tcPr>
            <w:tcW w:w="1334" w:type="dxa"/>
            <w:vAlign w:val="center"/>
          </w:tcPr>
          <w:p w:rsidR="00C90835" w:rsidRDefault="006F3636">
            <w:pPr>
              <w:jc w:val="right"/>
            </w:pPr>
            <w:r>
              <w:rPr>
                <w:color w:val="000000"/>
                <w:sz w:val="24"/>
                <w:szCs w:val="24"/>
              </w:rPr>
              <w:t>1,428,200</w:t>
            </w:r>
          </w:p>
        </w:tc>
        <w:tc>
          <w:tcPr>
            <w:tcW w:w="1924" w:type="dxa"/>
            <w:vAlign w:val="center"/>
          </w:tcPr>
          <w:p w:rsidR="00C90835" w:rsidRDefault="006F3636">
            <w:pPr>
              <w:jc w:val="right"/>
            </w:pPr>
            <w:r>
              <w:rPr>
                <w:color w:val="000000"/>
                <w:sz w:val="24"/>
                <w:szCs w:val="24"/>
              </w:rPr>
              <w:t>32,377,294.00</w:t>
            </w:r>
          </w:p>
        </w:tc>
        <w:tc>
          <w:tcPr>
            <w:tcW w:w="1644" w:type="dxa"/>
            <w:vAlign w:val="center"/>
          </w:tcPr>
          <w:p w:rsidR="00C90835" w:rsidRDefault="006F3636">
            <w:pPr>
              <w:jc w:val="right"/>
            </w:pPr>
            <w:r>
              <w:rPr>
                <w:color w:val="000000"/>
                <w:sz w:val="24"/>
                <w:szCs w:val="24"/>
              </w:rPr>
              <w:t>5.39</w:t>
            </w:r>
          </w:p>
        </w:tc>
      </w:tr>
      <w:tr w:rsidR="00C90835">
        <w:trPr>
          <w:jc w:val="center"/>
        </w:trPr>
        <w:tc>
          <w:tcPr>
            <w:tcW w:w="855" w:type="dxa"/>
            <w:vAlign w:val="center"/>
          </w:tcPr>
          <w:p w:rsidR="00C90835" w:rsidRDefault="006F3636">
            <w:pPr>
              <w:jc w:val="center"/>
            </w:pPr>
            <w:r>
              <w:rPr>
                <w:color w:val="000000"/>
                <w:sz w:val="24"/>
                <w:szCs w:val="24"/>
              </w:rPr>
              <w:t>5</w:t>
            </w:r>
          </w:p>
        </w:tc>
        <w:tc>
          <w:tcPr>
            <w:tcW w:w="1334" w:type="dxa"/>
            <w:vAlign w:val="center"/>
          </w:tcPr>
          <w:p w:rsidR="00C90835" w:rsidRDefault="006F3636">
            <w:pPr>
              <w:jc w:val="center"/>
            </w:pPr>
            <w:r>
              <w:rPr>
                <w:color w:val="000000"/>
                <w:sz w:val="24"/>
                <w:szCs w:val="24"/>
              </w:rPr>
              <w:t>600763</w:t>
            </w:r>
          </w:p>
        </w:tc>
        <w:tc>
          <w:tcPr>
            <w:tcW w:w="1777" w:type="dxa"/>
            <w:vAlign w:val="center"/>
          </w:tcPr>
          <w:p w:rsidR="00C90835" w:rsidRDefault="006F3636">
            <w:pPr>
              <w:jc w:val="center"/>
            </w:pPr>
            <w:r>
              <w:rPr>
                <w:color w:val="000000"/>
                <w:sz w:val="24"/>
                <w:szCs w:val="24"/>
              </w:rPr>
              <w:t>通策医疗</w:t>
            </w:r>
          </w:p>
        </w:tc>
        <w:tc>
          <w:tcPr>
            <w:tcW w:w="1334" w:type="dxa"/>
            <w:vAlign w:val="center"/>
          </w:tcPr>
          <w:p w:rsidR="00C90835" w:rsidRDefault="006F3636">
            <w:pPr>
              <w:jc w:val="right"/>
            </w:pPr>
            <w:r>
              <w:rPr>
                <w:color w:val="000000"/>
                <w:sz w:val="24"/>
                <w:szCs w:val="24"/>
              </w:rPr>
              <w:t>443,373</w:t>
            </w:r>
          </w:p>
        </w:tc>
        <w:tc>
          <w:tcPr>
            <w:tcW w:w="1924" w:type="dxa"/>
            <w:vAlign w:val="center"/>
          </w:tcPr>
          <w:p w:rsidR="00C90835" w:rsidRDefault="006F3636">
            <w:pPr>
              <w:jc w:val="right"/>
            </w:pPr>
            <w:r>
              <w:rPr>
                <w:color w:val="000000"/>
                <w:sz w:val="24"/>
                <w:szCs w:val="24"/>
              </w:rPr>
              <w:t>30,433,122.72</w:t>
            </w:r>
          </w:p>
        </w:tc>
        <w:tc>
          <w:tcPr>
            <w:tcW w:w="1644" w:type="dxa"/>
            <w:vAlign w:val="center"/>
          </w:tcPr>
          <w:p w:rsidR="00C90835" w:rsidRDefault="006F3636">
            <w:pPr>
              <w:jc w:val="right"/>
            </w:pPr>
            <w:r>
              <w:rPr>
                <w:color w:val="000000"/>
                <w:sz w:val="24"/>
                <w:szCs w:val="24"/>
              </w:rPr>
              <w:t>5.06</w:t>
            </w:r>
          </w:p>
        </w:tc>
      </w:tr>
      <w:tr w:rsidR="00C90835">
        <w:trPr>
          <w:jc w:val="center"/>
        </w:trPr>
        <w:tc>
          <w:tcPr>
            <w:tcW w:w="855" w:type="dxa"/>
            <w:vAlign w:val="center"/>
          </w:tcPr>
          <w:p w:rsidR="00C90835" w:rsidRDefault="006F3636">
            <w:pPr>
              <w:jc w:val="center"/>
            </w:pPr>
            <w:r>
              <w:rPr>
                <w:color w:val="000000"/>
                <w:sz w:val="24"/>
                <w:szCs w:val="24"/>
              </w:rPr>
              <w:t>6</w:t>
            </w:r>
          </w:p>
        </w:tc>
        <w:tc>
          <w:tcPr>
            <w:tcW w:w="1334" w:type="dxa"/>
            <w:vAlign w:val="center"/>
          </w:tcPr>
          <w:p w:rsidR="00C90835" w:rsidRDefault="006F3636">
            <w:pPr>
              <w:jc w:val="center"/>
            </w:pPr>
            <w:r>
              <w:rPr>
                <w:color w:val="000000"/>
                <w:sz w:val="24"/>
                <w:szCs w:val="24"/>
              </w:rPr>
              <w:t>600038</w:t>
            </w:r>
          </w:p>
        </w:tc>
        <w:tc>
          <w:tcPr>
            <w:tcW w:w="1777" w:type="dxa"/>
            <w:vAlign w:val="center"/>
          </w:tcPr>
          <w:p w:rsidR="00C90835" w:rsidRDefault="006F3636">
            <w:pPr>
              <w:jc w:val="center"/>
            </w:pPr>
            <w:r>
              <w:rPr>
                <w:color w:val="000000"/>
                <w:sz w:val="24"/>
                <w:szCs w:val="24"/>
              </w:rPr>
              <w:t>中直股份</w:t>
            </w:r>
          </w:p>
        </w:tc>
        <w:tc>
          <w:tcPr>
            <w:tcW w:w="1334" w:type="dxa"/>
            <w:vAlign w:val="center"/>
          </w:tcPr>
          <w:p w:rsidR="00C90835" w:rsidRDefault="006F3636">
            <w:pPr>
              <w:jc w:val="right"/>
            </w:pPr>
            <w:r>
              <w:rPr>
                <w:color w:val="000000"/>
                <w:sz w:val="24"/>
                <w:szCs w:val="24"/>
              </w:rPr>
              <w:t>526,298</w:t>
            </w:r>
          </w:p>
        </w:tc>
        <w:tc>
          <w:tcPr>
            <w:tcW w:w="1924" w:type="dxa"/>
            <w:vAlign w:val="center"/>
          </w:tcPr>
          <w:p w:rsidR="00C90835" w:rsidRDefault="006F3636">
            <w:pPr>
              <w:jc w:val="right"/>
            </w:pPr>
            <w:r>
              <w:rPr>
                <w:color w:val="000000"/>
                <w:sz w:val="24"/>
                <w:szCs w:val="24"/>
              </w:rPr>
              <w:t>24,983,366.06</w:t>
            </w:r>
          </w:p>
        </w:tc>
        <w:tc>
          <w:tcPr>
            <w:tcW w:w="1644" w:type="dxa"/>
            <w:vAlign w:val="center"/>
          </w:tcPr>
          <w:p w:rsidR="00C90835" w:rsidRDefault="006F3636">
            <w:pPr>
              <w:jc w:val="right"/>
            </w:pPr>
            <w:r>
              <w:rPr>
                <w:color w:val="000000"/>
                <w:sz w:val="24"/>
                <w:szCs w:val="24"/>
              </w:rPr>
              <w:t>4.16</w:t>
            </w:r>
          </w:p>
        </w:tc>
      </w:tr>
      <w:tr w:rsidR="00C90835">
        <w:trPr>
          <w:jc w:val="center"/>
        </w:trPr>
        <w:tc>
          <w:tcPr>
            <w:tcW w:w="855" w:type="dxa"/>
            <w:vAlign w:val="center"/>
          </w:tcPr>
          <w:p w:rsidR="00C90835" w:rsidRDefault="006F3636">
            <w:pPr>
              <w:jc w:val="center"/>
            </w:pPr>
            <w:r>
              <w:rPr>
                <w:color w:val="000000"/>
                <w:sz w:val="24"/>
                <w:szCs w:val="24"/>
              </w:rPr>
              <w:t>7</w:t>
            </w:r>
          </w:p>
        </w:tc>
        <w:tc>
          <w:tcPr>
            <w:tcW w:w="1334" w:type="dxa"/>
            <w:vAlign w:val="center"/>
          </w:tcPr>
          <w:p w:rsidR="00C90835" w:rsidRDefault="006F3636">
            <w:pPr>
              <w:jc w:val="center"/>
            </w:pPr>
            <w:r>
              <w:rPr>
                <w:color w:val="000000"/>
                <w:sz w:val="24"/>
                <w:szCs w:val="24"/>
              </w:rPr>
              <w:t>600707</w:t>
            </w:r>
          </w:p>
        </w:tc>
        <w:tc>
          <w:tcPr>
            <w:tcW w:w="1777" w:type="dxa"/>
            <w:vAlign w:val="center"/>
          </w:tcPr>
          <w:p w:rsidR="00C90835" w:rsidRDefault="006F3636">
            <w:pPr>
              <w:jc w:val="center"/>
            </w:pPr>
            <w:r>
              <w:rPr>
                <w:color w:val="000000"/>
                <w:sz w:val="24"/>
                <w:szCs w:val="24"/>
              </w:rPr>
              <w:t>彩虹股份</w:t>
            </w:r>
          </w:p>
        </w:tc>
        <w:tc>
          <w:tcPr>
            <w:tcW w:w="1334" w:type="dxa"/>
            <w:vAlign w:val="center"/>
          </w:tcPr>
          <w:p w:rsidR="00C90835" w:rsidRDefault="006F3636">
            <w:pPr>
              <w:jc w:val="right"/>
            </w:pPr>
            <w:r>
              <w:rPr>
                <w:color w:val="000000"/>
                <w:sz w:val="24"/>
                <w:szCs w:val="24"/>
              </w:rPr>
              <w:t>1,618,733</w:t>
            </w:r>
          </w:p>
        </w:tc>
        <w:tc>
          <w:tcPr>
            <w:tcW w:w="1924" w:type="dxa"/>
            <w:vAlign w:val="center"/>
          </w:tcPr>
          <w:p w:rsidR="00C90835" w:rsidRDefault="006F3636">
            <w:pPr>
              <w:jc w:val="right"/>
            </w:pPr>
            <w:r>
              <w:rPr>
                <w:color w:val="000000"/>
                <w:sz w:val="24"/>
                <w:szCs w:val="24"/>
              </w:rPr>
              <w:t>22,289,953.41</w:t>
            </w:r>
          </w:p>
        </w:tc>
        <w:tc>
          <w:tcPr>
            <w:tcW w:w="1644" w:type="dxa"/>
            <w:vAlign w:val="center"/>
          </w:tcPr>
          <w:p w:rsidR="00C90835" w:rsidRDefault="006F3636">
            <w:pPr>
              <w:jc w:val="right"/>
            </w:pPr>
            <w:r>
              <w:rPr>
                <w:color w:val="000000"/>
                <w:sz w:val="24"/>
                <w:szCs w:val="24"/>
              </w:rPr>
              <w:t>3.71</w:t>
            </w:r>
          </w:p>
        </w:tc>
      </w:tr>
      <w:tr w:rsidR="00C90835">
        <w:trPr>
          <w:jc w:val="center"/>
        </w:trPr>
        <w:tc>
          <w:tcPr>
            <w:tcW w:w="855" w:type="dxa"/>
            <w:vAlign w:val="center"/>
          </w:tcPr>
          <w:p w:rsidR="00C90835" w:rsidRDefault="006F3636">
            <w:pPr>
              <w:jc w:val="center"/>
            </w:pPr>
            <w:r>
              <w:rPr>
                <w:color w:val="000000"/>
                <w:sz w:val="24"/>
                <w:szCs w:val="24"/>
              </w:rPr>
              <w:t>8</w:t>
            </w:r>
          </w:p>
        </w:tc>
        <w:tc>
          <w:tcPr>
            <w:tcW w:w="1334" w:type="dxa"/>
            <w:vAlign w:val="center"/>
          </w:tcPr>
          <w:p w:rsidR="00C90835" w:rsidRDefault="006F3636">
            <w:pPr>
              <w:jc w:val="center"/>
            </w:pPr>
            <w:r>
              <w:rPr>
                <w:color w:val="000000"/>
                <w:sz w:val="24"/>
                <w:szCs w:val="24"/>
              </w:rPr>
              <w:t>601877</w:t>
            </w:r>
          </w:p>
        </w:tc>
        <w:tc>
          <w:tcPr>
            <w:tcW w:w="1777" w:type="dxa"/>
            <w:vAlign w:val="center"/>
          </w:tcPr>
          <w:p w:rsidR="00C90835" w:rsidRDefault="006F3636">
            <w:pPr>
              <w:jc w:val="center"/>
            </w:pPr>
            <w:r>
              <w:rPr>
                <w:color w:val="000000"/>
                <w:sz w:val="24"/>
                <w:szCs w:val="24"/>
              </w:rPr>
              <w:t>正泰电器</w:t>
            </w:r>
          </w:p>
        </w:tc>
        <w:tc>
          <w:tcPr>
            <w:tcW w:w="1334" w:type="dxa"/>
            <w:vAlign w:val="center"/>
          </w:tcPr>
          <w:p w:rsidR="00C90835" w:rsidRDefault="006F3636">
            <w:pPr>
              <w:jc w:val="right"/>
            </w:pPr>
            <w:r>
              <w:rPr>
                <w:color w:val="000000"/>
                <w:sz w:val="24"/>
                <w:szCs w:val="24"/>
              </w:rPr>
              <w:t>454,817</w:t>
            </w:r>
          </w:p>
        </w:tc>
        <w:tc>
          <w:tcPr>
            <w:tcW w:w="1924" w:type="dxa"/>
            <w:vAlign w:val="center"/>
          </w:tcPr>
          <w:p w:rsidR="00C90835" w:rsidRDefault="006F3636">
            <w:pPr>
              <w:jc w:val="right"/>
            </w:pPr>
            <w:r>
              <w:rPr>
                <w:color w:val="000000"/>
                <w:sz w:val="24"/>
                <w:szCs w:val="24"/>
              </w:rPr>
              <w:t>18,697,526.87</w:t>
            </w:r>
          </w:p>
        </w:tc>
        <w:tc>
          <w:tcPr>
            <w:tcW w:w="1644" w:type="dxa"/>
            <w:vAlign w:val="center"/>
          </w:tcPr>
          <w:p w:rsidR="00C90835" w:rsidRDefault="006F3636">
            <w:pPr>
              <w:jc w:val="right"/>
            </w:pPr>
            <w:r>
              <w:rPr>
                <w:color w:val="000000"/>
                <w:sz w:val="24"/>
                <w:szCs w:val="24"/>
              </w:rPr>
              <w:t>3.11</w:t>
            </w:r>
          </w:p>
        </w:tc>
      </w:tr>
      <w:tr w:rsidR="00C90835">
        <w:trPr>
          <w:jc w:val="center"/>
        </w:trPr>
        <w:tc>
          <w:tcPr>
            <w:tcW w:w="855" w:type="dxa"/>
            <w:vAlign w:val="center"/>
          </w:tcPr>
          <w:p w:rsidR="00C90835" w:rsidRDefault="006F3636">
            <w:pPr>
              <w:jc w:val="center"/>
            </w:pPr>
            <w:r>
              <w:rPr>
                <w:color w:val="000000"/>
                <w:sz w:val="24"/>
                <w:szCs w:val="24"/>
              </w:rPr>
              <w:t>9</w:t>
            </w:r>
          </w:p>
        </w:tc>
        <w:tc>
          <w:tcPr>
            <w:tcW w:w="1334" w:type="dxa"/>
            <w:vAlign w:val="center"/>
          </w:tcPr>
          <w:p w:rsidR="00C90835" w:rsidRDefault="006F3636">
            <w:pPr>
              <w:jc w:val="center"/>
            </w:pPr>
            <w:r>
              <w:rPr>
                <w:color w:val="000000"/>
                <w:sz w:val="24"/>
                <w:szCs w:val="24"/>
              </w:rPr>
              <w:t>600055</w:t>
            </w:r>
          </w:p>
        </w:tc>
        <w:tc>
          <w:tcPr>
            <w:tcW w:w="1777" w:type="dxa"/>
            <w:vAlign w:val="center"/>
          </w:tcPr>
          <w:p w:rsidR="00C90835" w:rsidRDefault="006F3636">
            <w:pPr>
              <w:jc w:val="center"/>
            </w:pPr>
            <w:r>
              <w:rPr>
                <w:color w:val="000000"/>
                <w:sz w:val="24"/>
                <w:szCs w:val="24"/>
              </w:rPr>
              <w:t>华润万东</w:t>
            </w:r>
          </w:p>
        </w:tc>
        <w:tc>
          <w:tcPr>
            <w:tcW w:w="1334" w:type="dxa"/>
            <w:vAlign w:val="center"/>
          </w:tcPr>
          <w:p w:rsidR="00C90835" w:rsidRDefault="006F3636">
            <w:pPr>
              <w:jc w:val="right"/>
            </w:pPr>
            <w:r>
              <w:rPr>
                <w:color w:val="000000"/>
                <w:sz w:val="24"/>
                <w:szCs w:val="24"/>
              </w:rPr>
              <w:t>736,593</w:t>
            </w:r>
          </w:p>
        </w:tc>
        <w:tc>
          <w:tcPr>
            <w:tcW w:w="1924" w:type="dxa"/>
            <w:vAlign w:val="center"/>
          </w:tcPr>
          <w:p w:rsidR="00C90835" w:rsidRDefault="006F3636">
            <w:pPr>
              <w:jc w:val="right"/>
            </w:pPr>
            <w:r>
              <w:rPr>
                <w:color w:val="000000"/>
                <w:sz w:val="24"/>
                <w:szCs w:val="24"/>
              </w:rPr>
              <w:t>18,606,339.18</w:t>
            </w:r>
          </w:p>
        </w:tc>
        <w:tc>
          <w:tcPr>
            <w:tcW w:w="1644" w:type="dxa"/>
            <w:vAlign w:val="center"/>
          </w:tcPr>
          <w:p w:rsidR="00C90835" w:rsidRDefault="006F3636">
            <w:pPr>
              <w:jc w:val="right"/>
            </w:pPr>
            <w:r>
              <w:rPr>
                <w:color w:val="000000"/>
                <w:sz w:val="24"/>
                <w:szCs w:val="24"/>
              </w:rPr>
              <w:t>3.10</w:t>
            </w:r>
          </w:p>
        </w:tc>
      </w:tr>
      <w:tr w:rsidR="00C90835">
        <w:trPr>
          <w:jc w:val="center"/>
        </w:trPr>
        <w:tc>
          <w:tcPr>
            <w:tcW w:w="855" w:type="dxa"/>
            <w:vAlign w:val="center"/>
          </w:tcPr>
          <w:p w:rsidR="00C90835" w:rsidRDefault="006F3636">
            <w:pPr>
              <w:jc w:val="center"/>
            </w:pPr>
            <w:r>
              <w:rPr>
                <w:color w:val="000000"/>
                <w:sz w:val="24"/>
                <w:szCs w:val="24"/>
              </w:rPr>
              <w:t>10</w:t>
            </w:r>
          </w:p>
        </w:tc>
        <w:tc>
          <w:tcPr>
            <w:tcW w:w="1334" w:type="dxa"/>
            <w:vAlign w:val="center"/>
          </w:tcPr>
          <w:p w:rsidR="00C90835" w:rsidRDefault="006F3636">
            <w:pPr>
              <w:jc w:val="center"/>
            </w:pPr>
            <w:r>
              <w:rPr>
                <w:color w:val="000000"/>
                <w:sz w:val="24"/>
                <w:szCs w:val="24"/>
              </w:rPr>
              <w:t>002514</w:t>
            </w:r>
          </w:p>
        </w:tc>
        <w:tc>
          <w:tcPr>
            <w:tcW w:w="1777" w:type="dxa"/>
            <w:vAlign w:val="center"/>
          </w:tcPr>
          <w:p w:rsidR="00C90835" w:rsidRDefault="006F3636">
            <w:pPr>
              <w:jc w:val="center"/>
            </w:pPr>
            <w:r>
              <w:rPr>
                <w:color w:val="000000"/>
                <w:sz w:val="24"/>
                <w:szCs w:val="24"/>
              </w:rPr>
              <w:t>宝馨科技</w:t>
            </w:r>
          </w:p>
        </w:tc>
        <w:tc>
          <w:tcPr>
            <w:tcW w:w="1334" w:type="dxa"/>
            <w:vAlign w:val="center"/>
          </w:tcPr>
          <w:p w:rsidR="00C90835" w:rsidRDefault="006F3636">
            <w:pPr>
              <w:jc w:val="right"/>
            </w:pPr>
            <w:r>
              <w:rPr>
                <w:color w:val="000000"/>
                <w:sz w:val="24"/>
                <w:szCs w:val="24"/>
              </w:rPr>
              <w:t>857,830</w:t>
            </w:r>
          </w:p>
        </w:tc>
        <w:tc>
          <w:tcPr>
            <w:tcW w:w="1924" w:type="dxa"/>
            <w:vAlign w:val="center"/>
          </w:tcPr>
          <w:p w:rsidR="00C90835" w:rsidRDefault="006F3636">
            <w:pPr>
              <w:jc w:val="right"/>
            </w:pPr>
            <w:r>
              <w:rPr>
                <w:color w:val="000000"/>
                <w:sz w:val="24"/>
                <w:szCs w:val="24"/>
              </w:rPr>
              <w:t>18,100,213.00</w:t>
            </w:r>
          </w:p>
        </w:tc>
        <w:tc>
          <w:tcPr>
            <w:tcW w:w="1644" w:type="dxa"/>
            <w:vAlign w:val="center"/>
          </w:tcPr>
          <w:p w:rsidR="00C90835" w:rsidRDefault="006F3636">
            <w:pPr>
              <w:jc w:val="right"/>
            </w:pPr>
            <w:r>
              <w:rPr>
                <w:color w:val="000000"/>
                <w:sz w:val="24"/>
                <w:szCs w:val="24"/>
              </w:rPr>
              <w:t>3.01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152,947.38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6,086,675.46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11,326.79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2,810,218.85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9,061,168.48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410,086,118.24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110,214,763.25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199,823,143.14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320,477,738.35</w:t>
            </w:r>
          </w:p>
        </w:tc>
      </w:tr>
    </w:tbl>
    <w:p w:rsidR="00C90835" w:rsidRDefault="006F363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F363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6F3636" w:rsidRPr="002A21BD" w:rsidRDefault="006F3636" w:rsidP="006F3636">
      <w:pPr>
        <w:autoSpaceDE w:val="0"/>
        <w:autoSpaceDN w:val="0"/>
        <w:spacing w:before="29" w:line="288" w:lineRule="auto"/>
        <w:jc w:val="left"/>
        <w:rPr>
          <w:color w:val="000000"/>
          <w:sz w:val="24"/>
          <w:szCs w:val="24"/>
        </w:rPr>
      </w:pPr>
      <w:r w:rsidRPr="002A21BD">
        <w:rPr>
          <w:rFonts w:ascii="宋体" w:hAnsi="宋体" w:hint="eastAsia"/>
          <w:color w:val="000000"/>
          <w:sz w:val="24"/>
          <w:szCs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6F3636" w:rsidRPr="002A21BD" w:rsidRDefault="006F3636" w:rsidP="006F3636">
      <w:pPr>
        <w:spacing w:line="288" w:lineRule="auto"/>
        <w:jc w:val="left"/>
        <w:rPr>
          <w:b/>
          <w:sz w:val="24"/>
        </w:rPr>
      </w:pPr>
      <w:r w:rsidRPr="002A21BD">
        <w:rPr>
          <w:b/>
          <w:sz w:val="24"/>
        </w:rPr>
        <w:t xml:space="preserve">7.2 </w:t>
      </w:r>
      <w:r w:rsidRPr="002A21BD">
        <w:rPr>
          <w:rFonts w:hint="eastAsia"/>
          <w:b/>
          <w:sz w:val="24"/>
        </w:rPr>
        <w:t>基金管理人运用固有资金投资本基金交易明细</w:t>
      </w:r>
    </w:p>
    <w:p w:rsidR="006F3636" w:rsidRDefault="006F3636" w:rsidP="006F3636">
      <w:pPr>
        <w:autoSpaceDE w:val="0"/>
        <w:autoSpaceDN w:val="0"/>
        <w:spacing w:before="29" w:line="288" w:lineRule="auto"/>
        <w:jc w:val="left"/>
        <w:rPr>
          <w:color w:val="000000"/>
          <w:sz w:val="24"/>
          <w:szCs w:val="24"/>
        </w:rPr>
      </w:pPr>
      <w:r w:rsidRPr="002A21BD">
        <w:rPr>
          <w:rFonts w:ascii="宋体" w:hAnsi="宋体" w:hint="eastAsia"/>
          <w:color w:val="000000"/>
          <w:sz w:val="24"/>
          <w:szCs w:val="24"/>
        </w:rPr>
        <w:t>本基金管理人本报告期内未进行</w:t>
      </w:r>
      <w:bookmarkStart w:id="0" w:name="_GoBack"/>
      <w:bookmarkEnd w:id="0"/>
      <w:r w:rsidRPr="002A21BD">
        <w:rPr>
          <w:rFonts w:ascii="宋体" w:hAnsi="宋体" w:hint="eastAsia"/>
          <w:color w:val="000000"/>
          <w:sz w:val="24"/>
          <w:szCs w:val="24"/>
        </w:rPr>
        <w:t>本基金的申购、赎回、红利再投等。</w:t>
      </w:r>
    </w:p>
    <w:p w:rsidR="006F3636" w:rsidRPr="006F3636" w:rsidRDefault="006F3636" w:rsidP="00C15CAC">
      <w:pPr>
        <w:autoSpaceDE w:val="0"/>
        <w:autoSpaceDN w:val="0"/>
        <w:adjustRightInd w:val="0"/>
        <w:spacing w:before="29" w:line="288" w:lineRule="auto"/>
        <w:jc w:val="left"/>
        <w:rPr>
          <w:rFonts w:eastAsiaTheme="minorEastAsia"/>
          <w:color w:val="000000"/>
          <w:sz w:val="24"/>
        </w:rPr>
      </w:pPr>
    </w:p>
    <w:p w:rsidR="004061AC" w:rsidRPr="00414345" w:rsidRDefault="004061AC" w:rsidP="006F363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C90835" w:rsidRDefault="006F3636">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6F363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90835" w:rsidRDefault="006F363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C90835" w:rsidRDefault="006F363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、《交银施罗德先进制造股票证券投资基金基金合同》；</w:t>
      </w:r>
      <w:r>
        <w:rPr>
          <w:color w:val="000000"/>
          <w:sz w:val="24"/>
          <w:szCs w:val="24"/>
        </w:rPr>
        <w:t xml:space="preserve"> </w:t>
      </w:r>
    </w:p>
    <w:p w:rsidR="00C90835" w:rsidRDefault="006F363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、《交银施罗德先进制造股票证券投资基金招募说明书》；</w:t>
      </w:r>
      <w:r>
        <w:rPr>
          <w:color w:val="000000"/>
          <w:sz w:val="24"/>
          <w:szCs w:val="24"/>
        </w:rPr>
        <w:t xml:space="preserve"> </w:t>
      </w:r>
    </w:p>
    <w:p w:rsidR="00C90835" w:rsidRDefault="006F363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、《交银施罗德先进制造股票证券投资基金托管协议》；</w:t>
      </w:r>
    </w:p>
    <w:p w:rsidR="00C90835" w:rsidRDefault="006F3636">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、关于募集交银施罗德先进制造股票证券投资基金之法律意见书；</w:t>
      </w:r>
    </w:p>
    <w:p w:rsidR="00C90835" w:rsidRDefault="006F363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C90835" w:rsidRDefault="006F363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90835" w:rsidRDefault="006F363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158" w:rsidRDefault="00953158" w:rsidP="00876D65">
      <w:r>
        <w:separator/>
      </w:r>
    </w:p>
  </w:endnote>
  <w:endnote w:type="continuationSeparator" w:id="0">
    <w:p w:rsidR="00953158" w:rsidRDefault="0095315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C90835">
      <w:rPr>
        <w:kern w:val="0"/>
        <w:szCs w:val="21"/>
      </w:rPr>
      <w:fldChar w:fldCharType="begin"/>
    </w:r>
    <w:r>
      <w:rPr>
        <w:kern w:val="0"/>
        <w:szCs w:val="21"/>
      </w:rPr>
      <w:instrText xml:space="preserve"> PAGE </w:instrText>
    </w:r>
    <w:r w:rsidR="00C90835">
      <w:rPr>
        <w:kern w:val="0"/>
        <w:szCs w:val="21"/>
      </w:rPr>
      <w:fldChar w:fldCharType="separate"/>
    </w:r>
    <w:r w:rsidR="002A21BD">
      <w:rPr>
        <w:noProof/>
        <w:kern w:val="0"/>
        <w:szCs w:val="21"/>
      </w:rPr>
      <w:t>11</w:t>
    </w:r>
    <w:r w:rsidR="00C908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C90835">
      <w:rPr>
        <w:kern w:val="0"/>
        <w:szCs w:val="21"/>
      </w:rPr>
      <w:fldChar w:fldCharType="begin"/>
    </w:r>
    <w:r>
      <w:rPr>
        <w:kern w:val="0"/>
        <w:szCs w:val="21"/>
      </w:rPr>
      <w:instrText xml:space="preserve"> NUMPAGES </w:instrText>
    </w:r>
    <w:r w:rsidR="00C90835">
      <w:rPr>
        <w:kern w:val="0"/>
        <w:szCs w:val="21"/>
      </w:rPr>
      <w:fldChar w:fldCharType="separate"/>
    </w:r>
    <w:r w:rsidR="002A21BD">
      <w:rPr>
        <w:noProof/>
        <w:kern w:val="0"/>
        <w:szCs w:val="21"/>
      </w:rPr>
      <w:t>11</w:t>
    </w:r>
    <w:r w:rsidR="00C908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158" w:rsidRDefault="00953158" w:rsidP="00876D65">
      <w:r>
        <w:separator/>
      </w:r>
    </w:p>
  </w:footnote>
  <w:footnote w:type="continuationSeparator" w:id="0">
    <w:p w:rsidR="00953158" w:rsidRDefault="0095315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21BD"/>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363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3158"/>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0835"/>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6328B6-BE3B-42DE-9227-6CDB2493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C391E-DD17-4A76-BB54-3208606D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1</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561</cp:revision>
  <dcterms:created xsi:type="dcterms:W3CDTF">2012-10-16T06:07:00Z</dcterms:created>
  <dcterms:modified xsi:type="dcterms:W3CDTF">2015-04-16T02:27:00Z</dcterms:modified>
</cp:coreProperties>
</file>