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2015</w:t>
      </w:r>
      <w:r w:rsidRPr="006C615F">
        <w:rPr>
          <w:b/>
          <w:sz w:val="36"/>
          <w:szCs w:val="36"/>
        </w:rPr>
        <w:t>年第</w:t>
      </w:r>
      <w:r w:rsidRPr="006C615F">
        <w:rPr>
          <w:b/>
          <w:sz w:val="36"/>
          <w:szCs w:val="36"/>
        </w:rPr>
        <w:t>1</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2015</w:t>
      </w:r>
      <w:r w:rsidRPr="006C615F">
        <w:rPr>
          <w:b/>
          <w:sz w:val="36"/>
          <w:szCs w:val="36"/>
        </w:rPr>
        <w:t>年</w:t>
      </w:r>
      <w:r w:rsidRPr="006C615F">
        <w:rPr>
          <w:b/>
          <w:sz w:val="36"/>
          <w:szCs w:val="36"/>
        </w:rPr>
        <w:t>3</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二〇一五年四月二十一日</w:t>
      </w:r>
    </w:p>
    <w:p w:rsidR="00220542" w:rsidRPr="00324C76" w:rsidRDefault="00220542" w:rsidP="003D754A">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922DDD" w:rsidRDefault="003B2D6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22DDD" w:rsidRDefault="003B2D6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22DDD" w:rsidRDefault="003B2D6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22DDD" w:rsidRDefault="003B2D6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22DDD" w:rsidRDefault="003B2D69">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2015</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1,365,002,782.65</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lastRenderedPageBreak/>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586DEF" w:rsidRPr="00324C76" w:rsidTr="00586DEF">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2015</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-2015</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586DEF" w:rsidRPr="00324C76" w:rsidTr="00586DEF">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148,587,898.30</w:t>
            </w:r>
          </w:p>
        </w:tc>
      </w:tr>
      <w:tr w:rsidR="00586DEF" w:rsidRPr="00324C76" w:rsidTr="00586DEF">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140,536,986.12</w:t>
            </w:r>
          </w:p>
        </w:tc>
      </w:tr>
      <w:tr w:rsidR="00586DEF" w:rsidRPr="00324C76" w:rsidTr="00586DEF">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0.0854</w:t>
            </w:r>
          </w:p>
        </w:tc>
      </w:tr>
      <w:tr w:rsidR="00586DEF" w:rsidRPr="00324C76" w:rsidTr="00586DEF">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1,770,506,498.49</w:t>
            </w:r>
          </w:p>
        </w:tc>
      </w:tr>
      <w:tr w:rsidR="00586DEF" w:rsidRPr="00324C76" w:rsidTr="00586DEF">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1.297</w:t>
            </w:r>
          </w:p>
        </w:tc>
      </w:tr>
    </w:tbl>
    <w:p w:rsidR="00922DDD" w:rsidRDefault="003B2D6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922DDD">
        <w:trPr>
          <w:jc w:val="center"/>
        </w:trPr>
        <w:tc>
          <w:tcPr>
            <w:tcW w:w="1469" w:type="dxa"/>
            <w:vAlign w:val="center"/>
          </w:tcPr>
          <w:p w:rsidR="00922DDD" w:rsidRDefault="003B2D69">
            <w:pPr>
              <w:jc w:val="left"/>
            </w:pPr>
            <w:r>
              <w:rPr>
                <w:color w:val="000000"/>
                <w:sz w:val="24"/>
              </w:rPr>
              <w:t>过去三个月</w:t>
            </w:r>
          </w:p>
        </w:tc>
        <w:tc>
          <w:tcPr>
            <w:tcW w:w="1150" w:type="dxa"/>
            <w:vAlign w:val="center"/>
          </w:tcPr>
          <w:p w:rsidR="00922DDD" w:rsidRDefault="003B2D69">
            <w:pPr>
              <w:jc w:val="center"/>
            </w:pPr>
            <w:r>
              <w:rPr>
                <w:color w:val="000000"/>
                <w:sz w:val="24"/>
              </w:rPr>
              <w:t>9.27%</w:t>
            </w:r>
          </w:p>
        </w:tc>
        <w:tc>
          <w:tcPr>
            <w:tcW w:w="1223" w:type="dxa"/>
            <w:vAlign w:val="center"/>
          </w:tcPr>
          <w:p w:rsidR="00922DDD" w:rsidRDefault="003B2D69">
            <w:pPr>
              <w:jc w:val="center"/>
            </w:pPr>
            <w:r>
              <w:rPr>
                <w:color w:val="000000"/>
                <w:sz w:val="24"/>
              </w:rPr>
              <w:t>1.98%</w:t>
            </w:r>
          </w:p>
        </w:tc>
        <w:tc>
          <w:tcPr>
            <w:tcW w:w="1244" w:type="dxa"/>
            <w:vAlign w:val="center"/>
          </w:tcPr>
          <w:p w:rsidR="00922DDD" w:rsidRDefault="003B2D69">
            <w:pPr>
              <w:jc w:val="center"/>
            </w:pPr>
            <w:r>
              <w:rPr>
                <w:color w:val="000000"/>
                <w:sz w:val="24"/>
              </w:rPr>
              <w:t>8.95%</w:t>
            </w:r>
          </w:p>
        </w:tc>
        <w:tc>
          <w:tcPr>
            <w:tcW w:w="1251" w:type="dxa"/>
            <w:vAlign w:val="center"/>
          </w:tcPr>
          <w:p w:rsidR="00922DDD" w:rsidRDefault="003B2D69">
            <w:pPr>
              <w:jc w:val="center"/>
            </w:pPr>
            <w:r>
              <w:rPr>
                <w:color w:val="000000"/>
                <w:sz w:val="24"/>
              </w:rPr>
              <w:t>1.99%</w:t>
            </w:r>
          </w:p>
        </w:tc>
        <w:tc>
          <w:tcPr>
            <w:tcW w:w="1263" w:type="dxa"/>
            <w:vAlign w:val="center"/>
          </w:tcPr>
          <w:p w:rsidR="00922DDD" w:rsidRDefault="003B2D69">
            <w:pPr>
              <w:jc w:val="center"/>
            </w:pPr>
            <w:r>
              <w:rPr>
                <w:color w:val="000000"/>
                <w:sz w:val="24"/>
              </w:rPr>
              <w:t>0.32%</w:t>
            </w:r>
          </w:p>
        </w:tc>
        <w:tc>
          <w:tcPr>
            <w:tcW w:w="1268" w:type="dxa"/>
            <w:vAlign w:val="center"/>
          </w:tcPr>
          <w:p w:rsidR="00922DDD" w:rsidRDefault="003B2D69">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2015</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922DDD">
        <w:trPr>
          <w:jc w:val="center"/>
        </w:trPr>
        <w:tc>
          <w:tcPr>
            <w:tcW w:w="846" w:type="dxa"/>
            <w:vAlign w:val="center"/>
          </w:tcPr>
          <w:p w:rsidR="00922DDD" w:rsidRDefault="003B2D69">
            <w:pPr>
              <w:jc w:val="center"/>
            </w:pPr>
            <w:r>
              <w:rPr>
                <w:color w:val="000000"/>
                <w:sz w:val="24"/>
              </w:rPr>
              <w:t>蔡铮</w:t>
            </w:r>
          </w:p>
        </w:tc>
        <w:tc>
          <w:tcPr>
            <w:tcW w:w="845" w:type="dxa"/>
            <w:vAlign w:val="center"/>
          </w:tcPr>
          <w:p w:rsidR="00922DDD" w:rsidRDefault="003B2D69" w:rsidP="00EC1D63">
            <w:pPr>
              <w:jc w:val="center"/>
            </w:pPr>
            <w:r>
              <w:rPr>
                <w:color w:val="000000"/>
                <w:sz w:val="24"/>
              </w:rPr>
              <w:t>本基金及上证</w:t>
            </w:r>
            <w:r>
              <w:rPr>
                <w:color w:val="000000"/>
                <w:sz w:val="24"/>
              </w:rPr>
              <w:t>180</w:t>
            </w:r>
            <w:r>
              <w:rPr>
                <w:color w:val="000000"/>
                <w:sz w:val="24"/>
              </w:rPr>
              <w:t>公司治理</w:t>
            </w:r>
            <w:r>
              <w:rPr>
                <w:color w:val="000000"/>
                <w:sz w:val="24"/>
              </w:rPr>
              <w:t>ETF</w:t>
            </w:r>
            <w:r>
              <w:rPr>
                <w:color w:val="000000"/>
                <w:sz w:val="24"/>
              </w:rPr>
              <w:t>、交银深证</w:t>
            </w:r>
            <w:r>
              <w:rPr>
                <w:color w:val="000000"/>
                <w:sz w:val="24"/>
              </w:rPr>
              <w:t>300</w:t>
            </w:r>
            <w:r>
              <w:rPr>
                <w:color w:val="000000"/>
                <w:sz w:val="24"/>
              </w:rPr>
              <w:t>价值</w:t>
            </w:r>
            <w:r>
              <w:rPr>
                <w:color w:val="000000"/>
                <w:sz w:val="24"/>
              </w:rPr>
              <w:t>ETF</w:t>
            </w:r>
            <w:r>
              <w:rPr>
                <w:color w:val="000000"/>
                <w:sz w:val="24"/>
              </w:rPr>
              <w:t>及其联接基金、</w:t>
            </w:r>
            <w:r>
              <w:rPr>
                <w:color w:val="000000"/>
                <w:sz w:val="24"/>
              </w:rPr>
              <w:lastRenderedPageBreak/>
              <w:t>交银沪深</w:t>
            </w:r>
            <w:r>
              <w:rPr>
                <w:color w:val="000000"/>
                <w:sz w:val="24"/>
              </w:rPr>
              <w:t>300</w:t>
            </w:r>
            <w:r>
              <w:rPr>
                <w:color w:val="000000"/>
                <w:sz w:val="24"/>
              </w:rPr>
              <w:t>分层等权指数基金</w:t>
            </w:r>
            <w:r w:rsidR="00EC1D63">
              <w:rPr>
                <w:rFonts w:hint="eastAsia"/>
                <w:color w:val="000000"/>
                <w:sz w:val="24"/>
              </w:rPr>
              <w:t>、</w:t>
            </w:r>
            <w:r w:rsidR="00EC1D63" w:rsidRPr="00586DEF">
              <w:rPr>
                <w:rFonts w:hint="eastAsia"/>
                <w:color w:val="000000"/>
                <w:sz w:val="24"/>
              </w:rPr>
              <w:t>交银国证新能源指数分级基金的</w:t>
            </w:r>
            <w:r>
              <w:rPr>
                <w:color w:val="000000"/>
                <w:sz w:val="24"/>
              </w:rPr>
              <w:t>基金经理，公司量化投资部助理总经理</w:t>
            </w:r>
          </w:p>
        </w:tc>
        <w:tc>
          <w:tcPr>
            <w:tcW w:w="1549" w:type="dxa"/>
            <w:vAlign w:val="center"/>
          </w:tcPr>
          <w:p w:rsidR="00922DDD" w:rsidRDefault="003B2D69">
            <w:pPr>
              <w:jc w:val="center"/>
            </w:pPr>
            <w:r>
              <w:rPr>
                <w:color w:val="000000"/>
                <w:sz w:val="24"/>
              </w:rPr>
              <w:lastRenderedPageBreak/>
              <w:t>2012-12-27</w:t>
            </w:r>
          </w:p>
        </w:tc>
        <w:tc>
          <w:tcPr>
            <w:tcW w:w="1548" w:type="dxa"/>
            <w:vAlign w:val="center"/>
          </w:tcPr>
          <w:p w:rsidR="00922DDD" w:rsidRDefault="003B2D69">
            <w:pPr>
              <w:jc w:val="center"/>
            </w:pPr>
            <w:r>
              <w:rPr>
                <w:color w:val="000000"/>
                <w:sz w:val="24"/>
              </w:rPr>
              <w:t>-</w:t>
            </w:r>
          </w:p>
        </w:tc>
        <w:tc>
          <w:tcPr>
            <w:tcW w:w="1407" w:type="dxa"/>
            <w:vAlign w:val="center"/>
          </w:tcPr>
          <w:p w:rsidR="00922DDD" w:rsidRDefault="003B2D69">
            <w:pPr>
              <w:jc w:val="center"/>
            </w:pPr>
            <w:r>
              <w:rPr>
                <w:color w:val="000000"/>
                <w:sz w:val="24"/>
              </w:rPr>
              <w:t>6</w:t>
            </w:r>
            <w:r>
              <w:rPr>
                <w:color w:val="000000"/>
                <w:sz w:val="24"/>
              </w:rPr>
              <w:t>年</w:t>
            </w:r>
          </w:p>
        </w:tc>
        <w:tc>
          <w:tcPr>
            <w:tcW w:w="2673" w:type="dxa"/>
            <w:vAlign w:val="center"/>
          </w:tcPr>
          <w:p w:rsidR="00922DDD" w:rsidRDefault="003B2D69">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bookmarkStart w:id="1" w:name="_GoBack"/>
      <w:bookmarkEnd w:id="1"/>
    </w:p>
    <w:p w:rsidR="00922DDD" w:rsidRDefault="003B2D6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22DDD" w:rsidRDefault="003B2D6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22DDD" w:rsidRDefault="003B2D6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w:t>
      </w:r>
      <w:r w:rsidRPr="00324C76">
        <w:rPr>
          <w:color w:val="000000"/>
          <w:sz w:val="24"/>
        </w:rPr>
        <w:t>,</w:t>
      </w:r>
      <w:r w:rsidRPr="00324C76">
        <w:rPr>
          <w:color w:val="000000"/>
          <w:sz w:val="24"/>
        </w:rPr>
        <w:t>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922DDD" w:rsidRDefault="003B2D69">
      <w:pPr>
        <w:spacing w:before="29" w:line="288" w:lineRule="auto"/>
        <w:ind w:firstLineChars="200" w:firstLine="480"/>
        <w:rPr>
          <w:color w:val="000000"/>
          <w:sz w:val="24"/>
        </w:rPr>
      </w:pPr>
      <w:r>
        <w:rPr>
          <w:color w:val="000000"/>
          <w:sz w:val="24"/>
        </w:rPr>
        <w:t>2015</w:t>
      </w:r>
      <w:r>
        <w:rPr>
          <w:color w:val="000000"/>
          <w:sz w:val="24"/>
        </w:rPr>
        <w:t>年第一季度，国内经济增速依旧低迷，经济基本面对资本市场的支持力度较为有限。但随着无风险利率下行预期和居民大类资产配置对风险资产的偏好，市场维持着自去年第四季度以来的强势行情。市场结构分化比较显著，代表结构转型和技术进步的投资标的表现突出。作为跟踪基准指数的指数基金，在本季度获得较为可喜的涨幅。</w:t>
      </w:r>
    </w:p>
    <w:p w:rsidR="004D6E34" w:rsidRPr="00324C76" w:rsidRDefault="00E27AF2" w:rsidP="00B04217">
      <w:pPr>
        <w:spacing w:before="29" w:line="288" w:lineRule="auto"/>
        <w:ind w:firstLineChars="200" w:firstLine="480"/>
        <w:rPr>
          <w:color w:val="000000"/>
          <w:sz w:val="24"/>
        </w:rPr>
      </w:pPr>
      <w:r w:rsidRPr="00324C76">
        <w:rPr>
          <w:color w:val="000000"/>
          <w:sz w:val="24"/>
        </w:rPr>
        <w:t>展望未来一个季度，在微刺激的经济政策背景下，预计货币政策将逐渐趋于宽松，预计股市将持续震荡向上。在整体政策着力于改革与结构调整的大趋势下，市场或将进入良性有序的可持续发展阶段。</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2015</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1.297</w:t>
      </w:r>
      <w:r w:rsidRPr="00324C76">
        <w:rPr>
          <w:color w:val="000000"/>
          <w:sz w:val="24"/>
        </w:rPr>
        <w:t>元，本报告期份额净值增长率为</w:t>
      </w:r>
      <w:r w:rsidRPr="00324C76">
        <w:rPr>
          <w:color w:val="000000"/>
          <w:sz w:val="24"/>
        </w:rPr>
        <w:t>9.27%</w:t>
      </w:r>
      <w:r w:rsidRPr="00324C76">
        <w:rPr>
          <w:color w:val="000000"/>
          <w:sz w:val="24"/>
        </w:rPr>
        <w:t>，同期业绩比较基准增长率为</w:t>
      </w:r>
      <w:r w:rsidRPr="00324C76">
        <w:rPr>
          <w:color w:val="000000"/>
          <w:sz w:val="24"/>
        </w:rPr>
        <w:t>8.95%</w:t>
      </w:r>
      <w:r w:rsidRPr="00324C76">
        <w:rPr>
          <w:color w:val="000000"/>
          <w:sz w:val="24"/>
        </w:rPr>
        <w:t>。本报告期内本基金的日均跟踪偏离度为</w:t>
      </w:r>
      <w:r w:rsidRPr="00324C76">
        <w:rPr>
          <w:color w:val="000000"/>
          <w:sz w:val="24"/>
        </w:rPr>
        <w:t>0.04%</w:t>
      </w:r>
      <w:r w:rsidRPr="00324C76">
        <w:rPr>
          <w:color w:val="000000"/>
          <w:sz w:val="24"/>
        </w:rPr>
        <w:t>，跟踪误差为</w:t>
      </w:r>
      <w:r w:rsidRPr="00324C76">
        <w:rPr>
          <w:color w:val="000000"/>
          <w:sz w:val="24"/>
        </w:rPr>
        <w:t>0.06%</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w:t>
            </w:r>
            <w:r w:rsidRPr="00324C76">
              <w:rPr>
                <w:color w:val="000000"/>
                <w:sz w:val="24"/>
              </w:rPr>
              <w:lastRenderedPageBreak/>
              <w:t>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lastRenderedPageBreak/>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50,305,759.37</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2.79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50,305,759.37</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2.79</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1,626,276,171.93</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90.04</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40,024,000.00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2.22</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40,024,000.00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2.22</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65,707,579.81</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3.64</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23,876,110.89</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1.32</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1,806,189,622.00</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922DDD">
        <w:trPr>
          <w:jc w:val="center"/>
        </w:trPr>
        <w:tc>
          <w:tcPr>
            <w:tcW w:w="1265" w:type="dxa"/>
            <w:vAlign w:val="center"/>
          </w:tcPr>
          <w:p w:rsidR="00922DDD" w:rsidRDefault="003B2D69">
            <w:pPr>
              <w:jc w:val="center"/>
            </w:pPr>
            <w:r>
              <w:rPr>
                <w:sz w:val="24"/>
              </w:rPr>
              <w:t>1</w:t>
            </w:r>
          </w:p>
        </w:tc>
        <w:tc>
          <w:tcPr>
            <w:tcW w:w="1266" w:type="dxa"/>
            <w:vAlign w:val="center"/>
          </w:tcPr>
          <w:p w:rsidR="00922DDD" w:rsidRDefault="003B2D69">
            <w:pPr>
              <w:jc w:val="center"/>
            </w:pPr>
            <w:r>
              <w:rPr>
                <w:sz w:val="24"/>
              </w:rPr>
              <w:t>上证</w:t>
            </w:r>
            <w:r>
              <w:rPr>
                <w:sz w:val="24"/>
              </w:rPr>
              <w:t>180</w:t>
            </w:r>
            <w:r>
              <w:rPr>
                <w:sz w:val="24"/>
              </w:rPr>
              <w:t>公司治理交易型开放式指数证券投资基金</w:t>
            </w:r>
          </w:p>
        </w:tc>
        <w:tc>
          <w:tcPr>
            <w:tcW w:w="1267" w:type="dxa"/>
            <w:vAlign w:val="center"/>
          </w:tcPr>
          <w:p w:rsidR="00922DDD" w:rsidRDefault="003B2D69">
            <w:pPr>
              <w:jc w:val="center"/>
            </w:pPr>
            <w:r>
              <w:rPr>
                <w:sz w:val="24"/>
              </w:rPr>
              <w:t>股票型</w:t>
            </w:r>
          </w:p>
        </w:tc>
        <w:tc>
          <w:tcPr>
            <w:tcW w:w="1267" w:type="dxa"/>
            <w:vAlign w:val="center"/>
          </w:tcPr>
          <w:p w:rsidR="00922DDD" w:rsidRDefault="003B2D69">
            <w:pPr>
              <w:jc w:val="center"/>
            </w:pPr>
            <w:r>
              <w:rPr>
                <w:sz w:val="24"/>
              </w:rPr>
              <w:t>交易型开放式</w:t>
            </w:r>
          </w:p>
        </w:tc>
        <w:tc>
          <w:tcPr>
            <w:tcW w:w="1267" w:type="dxa"/>
            <w:vAlign w:val="center"/>
          </w:tcPr>
          <w:p w:rsidR="00922DDD" w:rsidRDefault="003B2D69">
            <w:pPr>
              <w:jc w:val="center"/>
            </w:pPr>
            <w:r>
              <w:rPr>
                <w:sz w:val="24"/>
              </w:rPr>
              <w:t>交银施罗德基金管理有限公司</w:t>
            </w:r>
          </w:p>
        </w:tc>
        <w:tc>
          <w:tcPr>
            <w:tcW w:w="1268" w:type="dxa"/>
            <w:vAlign w:val="center"/>
          </w:tcPr>
          <w:p w:rsidR="00922DDD" w:rsidRDefault="003B2D69">
            <w:pPr>
              <w:jc w:val="right"/>
            </w:pPr>
            <w:r>
              <w:rPr>
                <w:sz w:val="24"/>
              </w:rPr>
              <w:t>1,626,276,171.93</w:t>
            </w:r>
          </w:p>
        </w:tc>
        <w:tc>
          <w:tcPr>
            <w:tcW w:w="1268" w:type="dxa"/>
            <w:vAlign w:val="center"/>
          </w:tcPr>
          <w:p w:rsidR="00922DDD" w:rsidRDefault="003B2D69">
            <w:pPr>
              <w:jc w:val="right"/>
            </w:pPr>
            <w:r>
              <w:rPr>
                <w:sz w:val="24"/>
              </w:rPr>
              <w:t>91.85</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108,355.50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1,863,516.75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11,781,960.67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0.67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w:t>
            </w:r>
            <w:r w:rsidRPr="00324C76">
              <w:rPr>
                <w:sz w:val="24"/>
              </w:rPr>
              <w:lastRenderedPageBreak/>
              <w:t>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lastRenderedPageBreak/>
              <w:t>1,921,042.77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lastRenderedPageBreak/>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3,044,648.44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517,813.20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1,364,162.77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1,474,876.20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25,432,380.19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1.44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2,333,302.44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463,700.44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50,305,759.37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2.84</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922DDD">
        <w:trPr>
          <w:jc w:val="center"/>
        </w:trPr>
        <w:tc>
          <w:tcPr>
            <w:tcW w:w="849" w:type="dxa"/>
            <w:vAlign w:val="center"/>
          </w:tcPr>
          <w:p w:rsidR="00922DDD" w:rsidRDefault="003B2D69">
            <w:pPr>
              <w:jc w:val="center"/>
            </w:pPr>
            <w:r>
              <w:rPr>
                <w:color w:val="000000"/>
                <w:sz w:val="24"/>
              </w:rPr>
              <w:t>1</w:t>
            </w:r>
          </w:p>
        </w:tc>
        <w:tc>
          <w:tcPr>
            <w:tcW w:w="1327" w:type="dxa"/>
            <w:vAlign w:val="center"/>
          </w:tcPr>
          <w:p w:rsidR="00922DDD" w:rsidRDefault="003B2D69">
            <w:pPr>
              <w:jc w:val="center"/>
            </w:pPr>
            <w:r>
              <w:rPr>
                <w:color w:val="000000"/>
                <w:sz w:val="24"/>
              </w:rPr>
              <w:t>601318</w:t>
            </w:r>
          </w:p>
        </w:tc>
        <w:tc>
          <w:tcPr>
            <w:tcW w:w="1621" w:type="dxa"/>
            <w:vAlign w:val="center"/>
          </w:tcPr>
          <w:p w:rsidR="00922DDD" w:rsidRDefault="003B2D69">
            <w:pPr>
              <w:jc w:val="center"/>
            </w:pPr>
            <w:r>
              <w:rPr>
                <w:color w:val="000000"/>
                <w:sz w:val="24"/>
              </w:rPr>
              <w:t>中国平安</w:t>
            </w:r>
          </w:p>
        </w:tc>
        <w:tc>
          <w:tcPr>
            <w:tcW w:w="1769" w:type="dxa"/>
            <w:vAlign w:val="center"/>
          </w:tcPr>
          <w:p w:rsidR="00922DDD" w:rsidRDefault="003B2D69">
            <w:pPr>
              <w:jc w:val="right"/>
            </w:pPr>
            <w:r>
              <w:rPr>
                <w:color w:val="000000"/>
                <w:sz w:val="24"/>
              </w:rPr>
              <w:t>47,535</w:t>
            </w:r>
          </w:p>
        </w:tc>
        <w:tc>
          <w:tcPr>
            <w:tcW w:w="2211" w:type="dxa"/>
            <w:vAlign w:val="center"/>
          </w:tcPr>
          <w:p w:rsidR="00922DDD" w:rsidRDefault="003B2D69">
            <w:pPr>
              <w:jc w:val="right"/>
            </w:pPr>
            <w:r>
              <w:rPr>
                <w:color w:val="000000"/>
                <w:sz w:val="24"/>
              </w:rPr>
              <w:t>3,719,138.40</w:t>
            </w:r>
          </w:p>
        </w:tc>
        <w:tc>
          <w:tcPr>
            <w:tcW w:w="1091" w:type="dxa"/>
            <w:vAlign w:val="center"/>
          </w:tcPr>
          <w:p w:rsidR="00922DDD" w:rsidRDefault="003B2D69">
            <w:pPr>
              <w:jc w:val="right"/>
            </w:pPr>
            <w:r>
              <w:rPr>
                <w:color w:val="000000"/>
                <w:sz w:val="24"/>
              </w:rPr>
              <w:t>0.21</w:t>
            </w:r>
          </w:p>
        </w:tc>
      </w:tr>
      <w:tr w:rsidR="00922DDD">
        <w:trPr>
          <w:jc w:val="center"/>
        </w:trPr>
        <w:tc>
          <w:tcPr>
            <w:tcW w:w="849" w:type="dxa"/>
            <w:vAlign w:val="center"/>
          </w:tcPr>
          <w:p w:rsidR="00922DDD" w:rsidRDefault="003B2D69">
            <w:pPr>
              <w:jc w:val="center"/>
            </w:pPr>
            <w:r>
              <w:rPr>
                <w:color w:val="000000"/>
                <w:sz w:val="24"/>
              </w:rPr>
              <w:t>2</w:t>
            </w:r>
          </w:p>
        </w:tc>
        <w:tc>
          <w:tcPr>
            <w:tcW w:w="1327" w:type="dxa"/>
            <w:vAlign w:val="center"/>
          </w:tcPr>
          <w:p w:rsidR="00922DDD" w:rsidRDefault="003B2D69">
            <w:pPr>
              <w:jc w:val="center"/>
            </w:pPr>
            <w:r>
              <w:rPr>
                <w:color w:val="000000"/>
                <w:sz w:val="24"/>
              </w:rPr>
              <w:t>600016</w:t>
            </w:r>
          </w:p>
        </w:tc>
        <w:tc>
          <w:tcPr>
            <w:tcW w:w="1621" w:type="dxa"/>
            <w:vAlign w:val="center"/>
          </w:tcPr>
          <w:p w:rsidR="00922DDD" w:rsidRDefault="003B2D69">
            <w:pPr>
              <w:jc w:val="center"/>
            </w:pPr>
            <w:r>
              <w:rPr>
                <w:color w:val="000000"/>
                <w:sz w:val="24"/>
              </w:rPr>
              <w:t>民生银行</w:t>
            </w:r>
          </w:p>
        </w:tc>
        <w:tc>
          <w:tcPr>
            <w:tcW w:w="1769" w:type="dxa"/>
            <w:vAlign w:val="center"/>
          </w:tcPr>
          <w:p w:rsidR="00922DDD" w:rsidRDefault="003B2D69">
            <w:pPr>
              <w:jc w:val="right"/>
            </w:pPr>
            <w:r>
              <w:rPr>
                <w:color w:val="000000"/>
                <w:sz w:val="24"/>
              </w:rPr>
              <w:t>248,877</w:t>
            </w:r>
          </w:p>
        </w:tc>
        <w:tc>
          <w:tcPr>
            <w:tcW w:w="2211" w:type="dxa"/>
            <w:vAlign w:val="center"/>
          </w:tcPr>
          <w:p w:rsidR="00922DDD" w:rsidRDefault="003B2D69">
            <w:pPr>
              <w:jc w:val="right"/>
            </w:pPr>
            <w:r>
              <w:rPr>
                <w:color w:val="000000"/>
                <w:sz w:val="24"/>
              </w:rPr>
              <w:t>2,414,106.90</w:t>
            </w:r>
          </w:p>
        </w:tc>
        <w:tc>
          <w:tcPr>
            <w:tcW w:w="1091" w:type="dxa"/>
            <w:vAlign w:val="center"/>
          </w:tcPr>
          <w:p w:rsidR="00922DDD" w:rsidRDefault="003B2D69">
            <w:pPr>
              <w:jc w:val="right"/>
            </w:pPr>
            <w:r>
              <w:rPr>
                <w:color w:val="000000"/>
                <w:sz w:val="24"/>
              </w:rPr>
              <w:t>0.14</w:t>
            </w:r>
          </w:p>
        </w:tc>
      </w:tr>
      <w:tr w:rsidR="00922DDD">
        <w:trPr>
          <w:jc w:val="center"/>
        </w:trPr>
        <w:tc>
          <w:tcPr>
            <w:tcW w:w="849" w:type="dxa"/>
            <w:vAlign w:val="center"/>
          </w:tcPr>
          <w:p w:rsidR="00922DDD" w:rsidRDefault="003B2D69">
            <w:pPr>
              <w:jc w:val="center"/>
            </w:pPr>
            <w:r>
              <w:rPr>
                <w:color w:val="000000"/>
                <w:sz w:val="24"/>
              </w:rPr>
              <w:t>3</w:t>
            </w:r>
          </w:p>
        </w:tc>
        <w:tc>
          <w:tcPr>
            <w:tcW w:w="1327" w:type="dxa"/>
            <w:vAlign w:val="center"/>
          </w:tcPr>
          <w:p w:rsidR="00922DDD" w:rsidRDefault="003B2D69">
            <w:pPr>
              <w:jc w:val="center"/>
            </w:pPr>
            <w:r>
              <w:rPr>
                <w:color w:val="000000"/>
                <w:sz w:val="24"/>
              </w:rPr>
              <w:t>600030</w:t>
            </w:r>
          </w:p>
        </w:tc>
        <w:tc>
          <w:tcPr>
            <w:tcW w:w="1621" w:type="dxa"/>
            <w:vAlign w:val="center"/>
          </w:tcPr>
          <w:p w:rsidR="00922DDD" w:rsidRDefault="003B2D69">
            <w:pPr>
              <w:jc w:val="center"/>
            </w:pPr>
            <w:r>
              <w:rPr>
                <w:color w:val="000000"/>
                <w:sz w:val="24"/>
              </w:rPr>
              <w:t>中信证券</w:t>
            </w:r>
          </w:p>
        </w:tc>
        <w:tc>
          <w:tcPr>
            <w:tcW w:w="1769" w:type="dxa"/>
            <w:vAlign w:val="center"/>
          </w:tcPr>
          <w:p w:rsidR="00922DDD" w:rsidRDefault="003B2D69">
            <w:pPr>
              <w:jc w:val="right"/>
            </w:pPr>
            <w:r>
              <w:rPr>
                <w:color w:val="000000"/>
                <w:sz w:val="24"/>
              </w:rPr>
              <w:t>72,292</w:t>
            </w:r>
          </w:p>
        </w:tc>
        <w:tc>
          <w:tcPr>
            <w:tcW w:w="2211" w:type="dxa"/>
            <w:vAlign w:val="center"/>
          </w:tcPr>
          <w:p w:rsidR="00922DDD" w:rsidRDefault="003B2D69">
            <w:pPr>
              <w:jc w:val="right"/>
            </w:pPr>
            <w:r>
              <w:rPr>
                <w:color w:val="000000"/>
                <w:sz w:val="24"/>
              </w:rPr>
              <w:t>2,372,623.44</w:t>
            </w:r>
          </w:p>
        </w:tc>
        <w:tc>
          <w:tcPr>
            <w:tcW w:w="1091" w:type="dxa"/>
            <w:vAlign w:val="center"/>
          </w:tcPr>
          <w:p w:rsidR="00922DDD" w:rsidRDefault="003B2D69">
            <w:pPr>
              <w:jc w:val="right"/>
            </w:pPr>
            <w:r>
              <w:rPr>
                <w:color w:val="000000"/>
                <w:sz w:val="24"/>
              </w:rPr>
              <w:t>0.13</w:t>
            </w:r>
          </w:p>
        </w:tc>
      </w:tr>
      <w:tr w:rsidR="00922DDD">
        <w:trPr>
          <w:jc w:val="center"/>
        </w:trPr>
        <w:tc>
          <w:tcPr>
            <w:tcW w:w="849" w:type="dxa"/>
            <w:vAlign w:val="center"/>
          </w:tcPr>
          <w:p w:rsidR="00922DDD" w:rsidRDefault="003B2D69">
            <w:pPr>
              <w:jc w:val="center"/>
            </w:pPr>
            <w:r>
              <w:rPr>
                <w:color w:val="000000"/>
                <w:sz w:val="24"/>
              </w:rPr>
              <w:t>4</w:t>
            </w:r>
          </w:p>
        </w:tc>
        <w:tc>
          <w:tcPr>
            <w:tcW w:w="1327" w:type="dxa"/>
            <w:vAlign w:val="center"/>
          </w:tcPr>
          <w:p w:rsidR="00922DDD" w:rsidRDefault="003B2D69">
            <w:pPr>
              <w:jc w:val="center"/>
            </w:pPr>
            <w:r>
              <w:rPr>
                <w:color w:val="000000"/>
                <w:sz w:val="24"/>
              </w:rPr>
              <w:t>600036</w:t>
            </w:r>
          </w:p>
        </w:tc>
        <w:tc>
          <w:tcPr>
            <w:tcW w:w="1621" w:type="dxa"/>
            <w:vAlign w:val="center"/>
          </w:tcPr>
          <w:p w:rsidR="00922DDD" w:rsidRDefault="003B2D69">
            <w:pPr>
              <w:jc w:val="center"/>
            </w:pPr>
            <w:r>
              <w:rPr>
                <w:color w:val="000000"/>
                <w:sz w:val="24"/>
              </w:rPr>
              <w:t>招商银行</w:t>
            </w:r>
          </w:p>
        </w:tc>
        <w:tc>
          <w:tcPr>
            <w:tcW w:w="1769" w:type="dxa"/>
            <w:vAlign w:val="center"/>
          </w:tcPr>
          <w:p w:rsidR="00922DDD" w:rsidRDefault="003B2D69">
            <w:pPr>
              <w:jc w:val="right"/>
            </w:pPr>
            <w:r>
              <w:rPr>
                <w:color w:val="000000"/>
                <w:sz w:val="24"/>
              </w:rPr>
              <w:t>151,518</w:t>
            </w:r>
          </w:p>
        </w:tc>
        <w:tc>
          <w:tcPr>
            <w:tcW w:w="2211" w:type="dxa"/>
            <w:vAlign w:val="center"/>
          </w:tcPr>
          <w:p w:rsidR="00922DDD" w:rsidRDefault="003B2D69">
            <w:pPr>
              <w:jc w:val="right"/>
            </w:pPr>
            <w:r>
              <w:rPr>
                <w:color w:val="000000"/>
                <w:sz w:val="24"/>
              </w:rPr>
              <w:t>2,359,135.26</w:t>
            </w:r>
          </w:p>
        </w:tc>
        <w:tc>
          <w:tcPr>
            <w:tcW w:w="1091" w:type="dxa"/>
            <w:vAlign w:val="center"/>
          </w:tcPr>
          <w:p w:rsidR="00922DDD" w:rsidRDefault="003B2D69">
            <w:pPr>
              <w:jc w:val="right"/>
            </w:pPr>
            <w:r>
              <w:rPr>
                <w:color w:val="000000"/>
                <w:sz w:val="24"/>
              </w:rPr>
              <w:t>0.13</w:t>
            </w:r>
          </w:p>
        </w:tc>
      </w:tr>
      <w:tr w:rsidR="00922DDD">
        <w:trPr>
          <w:jc w:val="center"/>
        </w:trPr>
        <w:tc>
          <w:tcPr>
            <w:tcW w:w="849" w:type="dxa"/>
            <w:vAlign w:val="center"/>
          </w:tcPr>
          <w:p w:rsidR="00922DDD" w:rsidRDefault="003B2D69">
            <w:pPr>
              <w:jc w:val="center"/>
            </w:pPr>
            <w:r>
              <w:rPr>
                <w:color w:val="000000"/>
                <w:sz w:val="24"/>
              </w:rPr>
              <w:t>5</w:t>
            </w:r>
          </w:p>
        </w:tc>
        <w:tc>
          <w:tcPr>
            <w:tcW w:w="1327" w:type="dxa"/>
            <w:vAlign w:val="center"/>
          </w:tcPr>
          <w:p w:rsidR="00922DDD" w:rsidRDefault="003B2D69">
            <w:pPr>
              <w:jc w:val="center"/>
            </w:pPr>
            <w:r>
              <w:rPr>
                <w:color w:val="000000"/>
                <w:sz w:val="24"/>
              </w:rPr>
              <w:t>601166</w:t>
            </w:r>
          </w:p>
        </w:tc>
        <w:tc>
          <w:tcPr>
            <w:tcW w:w="1621" w:type="dxa"/>
            <w:vAlign w:val="center"/>
          </w:tcPr>
          <w:p w:rsidR="00922DDD" w:rsidRDefault="003B2D69">
            <w:pPr>
              <w:jc w:val="center"/>
            </w:pPr>
            <w:r>
              <w:rPr>
                <w:color w:val="000000"/>
                <w:sz w:val="24"/>
              </w:rPr>
              <w:t>兴业银行</w:t>
            </w:r>
          </w:p>
        </w:tc>
        <w:tc>
          <w:tcPr>
            <w:tcW w:w="1769" w:type="dxa"/>
            <w:vAlign w:val="center"/>
          </w:tcPr>
          <w:p w:rsidR="00922DDD" w:rsidRDefault="003B2D69">
            <w:pPr>
              <w:jc w:val="right"/>
            </w:pPr>
            <w:r>
              <w:rPr>
                <w:color w:val="000000"/>
                <w:sz w:val="24"/>
              </w:rPr>
              <w:t>105,043</w:t>
            </w:r>
          </w:p>
        </w:tc>
        <w:tc>
          <w:tcPr>
            <w:tcW w:w="2211" w:type="dxa"/>
            <w:vAlign w:val="center"/>
          </w:tcPr>
          <w:p w:rsidR="00922DDD" w:rsidRDefault="003B2D69">
            <w:pPr>
              <w:jc w:val="right"/>
            </w:pPr>
            <w:r>
              <w:rPr>
                <w:color w:val="000000"/>
                <w:sz w:val="24"/>
              </w:rPr>
              <w:t>1,928,589.48</w:t>
            </w:r>
          </w:p>
        </w:tc>
        <w:tc>
          <w:tcPr>
            <w:tcW w:w="1091" w:type="dxa"/>
            <w:vAlign w:val="center"/>
          </w:tcPr>
          <w:p w:rsidR="00922DDD" w:rsidRDefault="003B2D69">
            <w:pPr>
              <w:jc w:val="right"/>
            </w:pPr>
            <w:r>
              <w:rPr>
                <w:color w:val="000000"/>
                <w:sz w:val="24"/>
              </w:rPr>
              <w:t>0.11</w:t>
            </w:r>
          </w:p>
        </w:tc>
      </w:tr>
      <w:tr w:rsidR="00922DDD">
        <w:trPr>
          <w:jc w:val="center"/>
        </w:trPr>
        <w:tc>
          <w:tcPr>
            <w:tcW w:w="849" w:type="dxa"/>
            <w:vAlign w:val="center"/>
          </w:tcPr>
          <w:p w:rsidR="00922DDD" w:rsidRDefault="003B2D69">
            <w:pPr>
              <w:jc w:val="center"/>
            </w:pPr>
            <w:r>
              <w:rPr>
                <w:color w:val="000000"/>
                <w:sz w:val="24"/>
              </w:rPr>
              <w:t>6</w:t>
            </w:r>
          </w:p>
        </w:tc>
        <w:tc>
          <w:tcPr>
            <w:tcW w:w="1327" w:type="dxa"/>
            <w:vAlign w:val="center"/>
          </w:tcPr>
          <w:p w:rsidR="00922DDD" w:rsidRDefault="003B2D69">
            <w:pPr>
              <w:jc w:val="center"/>
            </w:pPr>
            <w:r>
              <w:rPr>
                <w:color w:val="000000"/>
                <w:sz w:val="24"/>
              </w:rPr>
              <w:t>600837</w:t>
            </w:r>
          </w:p>
        </w:tc>
        <w:tc>
          <w:tcPr>
            <w:tcW w:w="1621" w:type="dxa"/>
            <w:vAlign w:val="center"/>
          </w:tcPr>
          <w:p w:rsidR="00922DDD" w:rsidRDefault="003B2D69">
            <w:pPr>
              <w:jc w:val="center"/>
            </w:pPr>
            <w:r>
              <w:rPr>
                <w:color w:val="000000"/>
                <w:sz w:val="24"/>
              </w:rPr>
              <w:t>海通证券</w:t>
            </w:r>
          </w:p>
        </w:tc>
        <w:tc>
          <w:tcPr>
            <w:tcW w:w="1769" w:type="dxa"/>
            <w:vAlign w:val="center"/>
          </w:tcPr>
          <w:p w:rsidR="00922DDD" w:rsidRDefault="003B2D69">
            <w:pPr>
              <w:jc w:val="right"/>
            </w:pPr>
            <w:r>
              <w:rPr>
                <w:color w:val="000000"/>
                <w:sz w:val="24"/>
              </w:rPr>
              <w:t>74,316</w:t>
            </w:r>
          </w:p>
        </w:tc>
        <w:tc>
          <w:tcPr>
            <w:tcW w:w="2211" w:type="dxa"/>
            <w:vAlign w:val="center"/>
          </w:tcPr>
          <w:p w:rsidR="00922DDD" w:rsidRDefault="003B2D69">
            <w:pPr>
              <w:jc w:val="right"/>
            </w:pPr>
            <w:r>
              <w:rPr>
                <w:color w:val="000000"/>
                <w:sz w:val="24"/>
              </w:rPr>
              <w:t>1,739,737.56</w:t>
            </w:r>
          </w:p>
        </w:tc>
        <w:tc>
          <w:tcPr>
            <w:tcW w:w="1091" w:type="dxa"/>
            <w:vAlign w:val="center"/>
          </w:tcPr>
          <w:p w:rsidR="00922DDD" w:rsidRDefault="003B2D69">
            <w:pPr>
              <w:jc w:val="right"/>
            </w:pPr>
            <w:r>
              <w:rPr>
                <w:color w:val="000000"/>
                <w:sz w:val="24"/>
              </w:rPr>
              <w:t>0.10</w:t>
            </w:r>
          </w:p>
        </w:tc>
      </w:tr>
      <w:tr w:rsidR="00922DDD">
        <w:trPr>
          <w:jc w:val="center"/>
        </w:trPr>
        <w:tc>
          <w:tcPr>
            <w:tcW w:w="849" w:type="dxa"/>
            <w:vAlign w:val="center"/>
          </w:tcPr>
          <w:p w:rsidR="00922DDD" w:rsidRDefault="003B2D69">
            <w:pPr>
              <w:jc w:val="center"/>
            </w:pPr>
            <w:r>
              <w:rPr>
                <w:color w:val="000000"/>
                <w:sz w:val="24"/>
              </w:rPr>
              <w:t>7</w:t>
            </w:r>
          </w:p>
        </w:tc>
        <w:tc>
          <w:tcPr>
            <w:tcW w:w="1327" w:type="dxa"/>
            <w:vAlign w:val="center"/>
          </w:tcPr>
          <w:p w:rsidR="00922DDD" w:rsidRDefault="003B2D69">
            <w:pPr>
              <w:jc w:val="center"/>
            </w:pPr>
            <w:r>
              <w:rPr>
                <w:color w:val="000000"/>
                <w:sz w:val="24"/>
              </w:rPr>
              <w:t>600000</w:t>
            </w:r>
          </w:p>
        </w:tc>
        <w:tc>
          <w:tcPr>
            <w:tcW w:w="1621" w:type="dxa"/>
            <w:vAlign w:val="center"/>
          </w:tcPr>
          <w:p w:rsidR="00922DDD" w:rsidRDefault="003B2D69">
            <w:pPr>
              <w:jc w:val="center"/>
            </w:pPr>
            <w:r>
              <w:rPr>
                <w:color w:val="000000"/>
                <w:sz w:val="24"/>
              </w:rPr>
              <w:t>浦发银行</w:t>
            </w:r>
          </w:p>
        </w:tc>
        <w:tc>
          <w:tcPr>
            <w:tcW w:w="1769" w:type="dxa"/>
            <w:vAlign w:val="center"/>
          </w:tcPr>
          <w:p w:rsidR="00922DDD" w:rsidRDefault="003B2D69">
            <w:pPr>
              <w:jc w:val="right"/>
            </w:pPr>
            <w:r>
              <w:rPr>
                <w:color w:val="000000"/>
                <w:sz w:val="24"/>
              </w:rPr>
              <w:t>102,752</w:t>
            </w:r>
          </w:p>
        </w:tc>
        <w:tc>
          <w:tcPr>
            <w:tcW w:w="2211" w:type="dxa"/>
            <w:vAlign w:val="center"/>
          </w:tcPr>
          <w:p w:rsidR="00922DDD" w:rsidRDefault="003B2D69">
            <w:pPr>
              <w:jc w:val="right"/>
            </w:pPr>
            <w:r>
              <w:rPr>
                <w:color w:val="000000"/>
                <w:sz w:val="24"/>
              </w:rPr>
              <w:t>1,622,454.08</w:t>
            </w:r>
          </w:p>
        </w:tc>
        <w:tc>
          <w:tcPr>
            <w:tcW w:w="1091" w:type="dxa"/>
            <w:vAlign w:val="center"/>
          </w:tcPr>
          <w:p w:rsidR="00922DDD" w:rsidRDefault="003B2D69">
            <w:pPr>
              <w:jc w:val="right"/>
            </w:pPr>
            <w:r>
              <w:rPr>
                <w:color w:val="000000"/>
                <w:sz w:val="24"/>
              </w:rPr>
              <w:t>0.09</w:t>
            </w:r>
          </w:p>
        </w:tc>
      </w:tr>
      <w:tr w:rsidR="00922DDD">
        <w:trPr>
          <w:jc w:val="center"/>
        </w:trPr>
        <w:tc>
          <w:tcPr>
            <w:tcW w:w="849" w:type="dxa"/>
            <w:vAlign w:val="center"/>
          </w:tcPr>
          <w:p w:rsidR="00922DDD" w:rsidRDefault="003B2D69">
            <w:pPr>
              <w:jc w:val="center"/>
            </w:pPr>
            <w:r>
              <w:rPr>
                <w:color w:val="000000"/>
                <w:sz w:val="24"/>
              </w:rPr>
              <w:t>8</w:t>
            </w:r>
          </w:p>
        </w:tc>
        <w:tc>
          <w:tcPr>
            <w:tcW w:w="1327" w:type="dxa"/>
            <w:vAlign w:val="center"/>
          </w:tcPr>
          <w:p w:rsidR="00922DDD" w:rsidRDefault="003B2D69">
            <w:pPr>
              <w:jc w:val="center"/>
            </w:pPr>
            <w:r>
              <w:rPr>
                <w:color w:val="000000"/>
                <w:sz w:val="24"/>
              </w:rPr>
              <w:t>600741</w:t>
            </w:r>
          </w:p>
        </w:tc>
        <w:tc>
          <w:tcPr>
            <w:tcW w:w="1621" w:type="dxa"/>
            <w:vAlign w:val="center"/>
          </w:tcPr>
          <w:p w:rsidR="00922DDD" w:rsidRDefault="003B2D69">
            <w:pPr>
              <w:jc w:val="center"/>
            </w:pPr>
            <w:r>
              <w:rPr>
                <w:color w:val="000000"/>
                <w:sz w:val="24"/>
              </w:rPr>
              <w:t>华域汽车</w:t>
            </w:r>
          </w:p>
        </w:tc>
        <w:tc>
          <w:tcPr>
            <w:tcW w:w="1769" w:type="dxa"/>
            <w:vAlign w:val="center"/>
          </w:tcPr>
          <w:p w:rsidR="00922DDD" w:rsidRDefault="003B2D69">
            <w:pPr>
              <w:jc w:val="right"/>
            </w:pPr>
            <w:r>
              <w:rPr>
                <w:color w:val="000000"/>
                <w:sz w:val="24"/>
              </w:rPr>
              <w:t>54,905</w:t>
            </w:r>
          </w:p>
        </w:tc>
        <w:tc>
          <w:tcPr>
            <w:tcW w:w="2211" w:type="dxa"/>
            <w:vAlign w:val="center"/>
          </w:tcPr>
          <w:p w:rsidR="00922DDD" w:rsidRDefault="003B2D69">
            <w:pPr>
              <w:jc w:val="right"/>
            </w:pPr>
            <w:r>
              <w:rPr>
                <w:color w:val="000000"/>
                <w:sz w:val="24"/>
              </w:rPr>
              <w:t>1,097,550.95</w:t>
            </w:r>
          </w:p>
        </w:tc>
        <w:tc>
          <w:tcPr>
            <w:tcW w:w="1091" w:type="dxa"/>
            <w:vAlign w:val="center"/>
          </w:tcPr>
          <w:p w:rsidR="00922DDD" w:rsidRDefault="003B2D69">
            <w:pPr>
              <w:jc w:val="right"/>
            </w:pPr>
            <w:r>
              <w:rPr>
                <w:color w:val="000000"/>
                <w:sz w:val="24"/>
              </w:rPr>
              <w:t>0.06</w:t>
            </w:r>
          </w:p>
        </w:tc>
      </w:tr>
      <w:tr w:rsidR="00922DDD">
        <w:trPr>
          <w:jc w:val="center"/>
        </w:trPr>
        <w:tc>
          <w:tcPr>
            <w:tcW w:w="849" w:type="dxa"/>
            <w:vAlign w:val="center"/>
          </w:tcPr>
          <w:p w:rsidR="00922DDD" w:rsidRDefault="003B2D69">
            <w:pPr>
              <w:jc w:val="center"/>
            </w:pPr>
            <w:r>
              <w:rPr>
                <w:color w:val="000000"/>
                <w:sz w:val="24"/>
              </w:rPr>
              <w:lastRenderedPageBreak/>
              <w:t>9</w:t>
            </w:r>
          </w:p>
        </w:tc>
        <w:tc>
          <w:tcPr>
            <w:tcW w:w="1327" w:type="dxa"/>
            <w:vAlign w:val="center"/>
          </w:tcPr>
          <w:p w:rsidR="00922DDD" w:rsidRDefault="003B2D69">
            <w:pPr>
              <w:jc w:val="center"/>
            </w:pPr>
            <w:r>
              <w:rPr>
                <w:color w:val="000000"/>
                <w:sz w:val="24"/>
              </w:rPr>
              <w:t>601668</w:t>
            </w:r>
          </w:p>
        </w:tc>
        <w:tc>
          <w:tcPr>
            <w:tcW w:w="1621" w:type="dxa"/>
            <w:vAlign w:val="center"/>
          </w:tcPr>
          <w:p w:rsidR="00922DDD" w:rsidRDefault="003B2D69">
            <w:pPr>
              <w:jc w:val="center"/>
            </w:pPr>
            <w:r>
              <w:rPr>
                <w:color w:val="000000"/>
                <w:sz w:val="24"/>
              </w:rPr>
              <w:t>中国建筑</w:t>
            </w:r>
          </w:p>
        </w:tc>
        <w:tc>
          <w:tcPr>
            <w:tcW w:w="1769" w:type="dxa"/>
            <w:vAlign w:val="center"/>
          </w:tcPr>
          <w:p w:rsidR="00922DDD" w:rsidRDefault="003B2D69">
            <w:pPr>
              <w:jc w:val="right"/>
            </w:pPr>
            <w:r>
              <w:rPr>
                <w:color w:val="000000"/>
                <w:sz w:val="24"/>
              </w:rPr>
              <w:t>137,724</w:t>
            </w:r>
          </w:p>
        </w:tc>
        <w:tc>
          <w:tcPr>
            <w:tcW w:w="2211" w:type="dxa"/>
            <w:vAlign w:val="center"/>
          </w:tcPr>
          <w:p w:rsidR="00922DDD" w:rsidRDefault="003B2D69">
            <w:pPr>
              <w:jc w:val="right"/>
            </w:pPr>
            <w:r>
              <w:rPr>
                <w:color w:val="000000"/>
                <w:sz w:val="24"/>
              </w:rPr>
              <w:t>1,056,343.08</w:t>
            </w:r>
          </w:p>
        </w:tc>
        <w:tc>
          <w:tcPr>
            <w:tcW w:w="1091" w:type="dxa"/>
            <w:vAlign w:val="center"/>
          </w:tcPr>
          <w:p w:rsidR="00922DDD" w:rsidRDefault="003B2D69">
            <w:pPr>
              <w:jc w:val="right"/>
            </w:pPr>
            <w:r>
              <w:rPr>
                <w:color w:val="000000"/>
                <w:sz w:val="24"/>
              </w:rPr>
              <w:t>0.06</w:t>
            </w:r>
          </w:p>
        </w:tc>
      </w:tr>
      <w:tr w:rsidR="00922DDD">
        <w:trPr>
          <w:jc w:val="center"/>
        </w:trPr>
        <w:tc>
          <w:tcPr>
            <w:tcW w:w="849" w:type="dxa"/>
            <w:vAlign w:val="center"/>
          </w:tcPr>
          <w:p w:rsidR="00922DDD" w:rsidRDefault="003B2D69">
            <w:pPr>
              <w:jc w:val="center"/>
            </w:pPr>
            <w:r>
              <w:rPr>
                <w:color w:val="000000"/>
                <w:sz w:val="24"/>
              </w:rPr>
              <w:t>10</w:t>
            </w:r>
          </w:p>
        </w:tc>
        <w:tc>
          <w:tcPr>
            <w:tcW w:w="1327" w:type="dxa"/>
            <w:vAlign w:val="center"/>
          </w:tcPr>
          <w:p w:rsidR="00922DDD" w:rsidRDefault="003B2D69">
            <w:pPr>
              <w:jc w:val="center"/>
            </w:pPr>
            <w:r>
              <w:rPr>
                <w:color w:val="000000"/>
                <w:sz w:val="24"/>
              </w:rPr>
              <w:t>600649</w:t>
            </w:r>
          </w:p>
        </w:tc>
        <w:tc>
          <w:tcPr>
            <w:tcW w:w="1621" w:type="dxa"/>
            <w:vAlign w:val="center"/>
          </w:tcPr>
          <w:p w:rsidR="00922DDD" w:rsidRDefault="003B2D69">
            <w:pPr>
              <w:jc w:val="center"/>
            </w:pPr>
            <w:r>
              <w:rPr>
                <w:color w:val="000000"/>
                <w:sz w:val="24"/>
              </w:rPr>
              <w:t>城投控股</w:t>
            </w:r>
          </w:p>
        </w:tc>
        <w:tc>
          <w:tcPr>
            <w:tcW w:w="1769" w:type="dxa"/>
            <w:vAlign w:val="center"/>
          </w:tcPr>
          <w:p w:rsidR="00922DDD" w:rsidRDefault="003B2D69">
            <w:pPr>
              <w:jc w:val="right"/>
            </w:pPr>
            <w:r>
              <w:rPr>
                <w:color w:val="000000"/>
                <w:sz w:val="24"/>
              </w:rPr>
              <w:t>143,579</w:t>
            </w:r>
          </w:p>
        </w:tc>
        <w:tc>
          <w:tcPr>
            <w:tcW w:w="2211" w:type="dxa"/>
            <w:vAlign w:val="center"/>
          </w:tcPr>
          <w:p w:rsidR="00922DDD" w:rsidRDefault="003B2D69">
            <w:pPr>
              <w:jc w:val="right"/>
            </w:pPr>
            <w:r>
              <w:rPr>
                <w:color w:val="000000"/>
                <w:sz w:val="24"/>
              </w:rPr>
              <w:t>1,038,076.17</w:t>
            </w:r>
          </w:p>
        </w:tc>
        <w:tc>
          <w:tcPr>
            <w:tcW w:w="1091" w:type="dxa"/>
            <w:vAlign w:val="center"/>
          </w:tcPr>
          <w:p w:rsidR="00922DDD" w:rsidRDefault="003B2D69">
            <w:pPr>
              <w:jc w:val="right"/>
            </w:pPr>
            <w:r>
              <w:rPr>
                <w:color w:val="000000"/>
                <w:sz w:val="24"/>
              </w:rPr>
              <w:t>0.06</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26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694"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75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3</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40,024,000.00</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2.26</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40,024,000.00</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2.26</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4</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5</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7</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8</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9</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40,024,000.00</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2.26</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922DDD">
        <w:trPr>
          <w:jc w:val="center"/>
        </w:trPr>
        <w:tc>
          <w:tcPr>
            <w:tcW w:w="850" w:type="dxa"/>
            <w:vAlign w:val="center"/>
          </w:tcPr>
          <w:p w:rsidR="00922DDD" w:rsidRDefault="003B2D69">
            <w:pPr>
              <w:jc w:val="center"/>
            </w:pPr>
            <w:r>
              <w:rPr>
                <w:color w:val="000000"/>
                <w:sz w:val="24"/>
              </w:rPr>
              <w:t>1</w:t>
            </w:r>
          </w:p>
        </w:tc>
        <w:tc>
          <w:tcPr>
            <w:tcW w:w="1475" w:type="dxa"/>
            <w:vAlign w:val="center"/>
          </w:tcPr>
          <w:p w:rsidR="00922DDD" w:rsidRDefault="003B2D69">
            <w:pPr>
              <w:jc w:val="center"/>
            </w:pPr>
            <w:r>
              <w:rPr>
                <w:color w:val="000000"/>
                <w:sz w:val="24"/>
              </w:rPr>
              <w:t>140443</w:t>
            </w:r>
          </w:p>
        </w:tc>
        <w:tc>
          <w:tcPr>
            <w:tcW w:w="1915" w:type="dxa"/>
            <w:vAlign w:val="center"/>
          </w:tcPr>
          <w:p w:rsidR="00922DDD" w:rsidRDefault="003B2D69">
            <w:pPr>
              <w:jc w:val="center"/>
            </w:pPr>
            <w:r>
              <w:rPr>
                <w:color w:val="000000"/>
                <w:sz w:val="24"/>
              </w:rPr>
              <w:t>14</w:t>
            </w:r>
            <w:r>
              <w:rPr>
                <w:color w:val="000000"/>
                <w:sz w:val="24"/>
              </w:rPr>
              <w:t>农发</w:t>
            </w:r>
            <w:r>
              <w:rPr>
                <w:color w:val="000000"/>
                <w:sz w:val="24"/>
              </w:rPr>
              <w:t>43</w:t>
            </w:r>
          </w:p>
        </w:tc>
        <w:tc>
          <w:tcPr>
            <w:tcW w:w="1327" w:type="dxa"/>
            <w:vAlign w:val="center"/>
          </w:tcPr>
          <w:p w:rsidR="00922DDD" w:rsidRDefault="003B2D69">
            <w:pPr>
              <w:jc w:val="right"/>
            </w:pPr>
            <w:r>
              <w:rPr>
                <w:color w:val="000000"/>
                <w:sz w:val="24"/>
              </w:rPr>
              <w:t>200,000</w:t>
            </w:r>
          </w:p>
        </w:tc>
        <w:tc>
          <w:tcPr>
            <w:tcW w:w="1916" w:type="dxa"/>
            <w:vAlign w:val="center"/>
          </w:tcPr>
          <w:p w:rsidR="00922DDD" w:rsidRDefault="003B2D69">
            <w:pPr>
              <w:jc w:val="right"/>
            </w:pPr>
            <w:r>
              <w:rPr>
                <w:color w:val="000000"/>
                <w:sz w:val="24"/>
              </w:rPr>
              <w:t>20,012,000.00</w:t>
            </w:r>
          </w:p>
        </w:tc>
        <w:tc>
          <w:tcPr>
            <w:tcW w:w="1385" w:type="dxa"/>
            <w:vAlign w:val="center"/>
          </w:tcPr>
          <w:p w:rsidR="00922DDD" w:rsidRDefault="003B2D69">
            <w:pPr>
              <w:jc w:val="right"/>
            </w:pPr>
            <w:r>
              <w:rPr>
                <w:color w:val="000000"/>
                <w:sz w:val="24"/>
              </w:rPr>
              <w:t>1.13</w:t>
            </w:r>
          </w:p>
        </w:tc>
      </w:tr>
      <w:tr w:rsidR="00922DDD">
        <w:trPr>
          <w:jc w:val="center"/>
        </w:trPr>
        <w:tc>
          <w:tcPr>
            <w:tcW w:w="850" w:type="dxa"/>
            <w:vAlign w:val="center"/>
          </w:tcPr>
          <w:p w:rsidR="00922DDD" w:rsidRDefault="003B2D69">
            <w:pPr>
              <w:jc w:val="center"/>
            </w:pPr>
            <w:r>
              <w:rPr>
                <w:color w:val="000000"/>
                <w:sz w:val="24"/>
              </w:rPr>
              <w:t>2</w:t>
            </w:r>
          </w:p>
        </w:tc>
        <w:tc>
          <w:tcPr>
            <w:tcW w:w="1475" w:type="dxa"/>
            <w:vAlign w:val="center"/>
          </w:tcPr>
          <w:p w:rsidR="00922DDD" w:rsidRDefault="003B2D69">
            <w:pPr>
              <w:jc w:val="center"/>
            </w:pPr>
            <w:r>
              <w:rPr>
                <w:color w:val="000000"/>
                <w:sz w:val="24"/>
              </w:rPr>
              <w:t>140436</w:t>
            </w:r>
          </w:p>
        </w:tc>
        <w:tc>
          <w:tcPr>
            <w:tcW w:w="1915" w:type="dxa"/>
            <w:vAlign w:val="center"/>
          </w:tcPr>
          <w:p w:rsidR="00922DDD" w:rsidRDefault="003B2D69">
            <w:pPr>
              <w:jc w:val="center"/>
            </w:pPr>
            <w:r>
              <w:rPr>
                <w:color w:val="000000"/>
                <w:sz w:val="24"/>
              </w:rPr>
              <w:t>14</w:t>
            </w:r>
            <w:r>
              <w:rPr>
                <w:color w:val="000000"/>
                <w:sz w:val="24"/>
              </w:rPr>
              <w:t>农发</w:t>
            </w:r>
            <w:r>
              <w:rPr>
                <w:color w:val="000000"/>
                <w:sz w:val="24"/>
              </w:rPr>
              <w:t>36</w:t>
            </w:r>
          </w:p>
        </w:tc>
        <w:tc>
          <w:tcPr>
            <w:tcW w:w="1327" w:type="dxa"/>
            <w:vAlign w:val="center"/>
          </w:tcPr>
          <w:p w:rsidR="00922DDD" w:rsidRDefault="003B2D69">
            <w:pPr>
              <w:jc w:val="right"/>
            </w:pPr>
            <w:r>
              <w:rPr>
                <w:color w:val="000000"/>
                <w:sz w:val="24"/>
              </w:rPr>
              <w:t>200,000</w:t>
            </w:r>
          </w:p>
        </w:tc>
        <w:tc>
          <w:tcPr>
            <w:tcW w:w="1916" w:type="dxa"/>
            <w:vAlign w:val="center"/>
          </w:tcPr>
          <w:p w:rsidR="00922DDD" w:rsidRDefault="003B2D69">
            <w:pPr>
              <w:jc w:val="right"/>
            </w:pPr>
            <w:r>
              <w:rPr>
                <w:color w:val="000000"/>
                <w:sz w:val="24"/>
              </w:rPr>
              <w:t>20,012,000.00</w:t>
            </w:r>
          </w:p>
        </w:tc>
        <w:tc>
          <w:tcPr>
            <w:tcW w:w="1385" w:type="dxa"/>
            <w:vAlign w:val="center"/>
          </w:tcPr>
          <w:p w:rsidR="00922DDD" w:rsidRDefault="003B2D69">
            <w:pPr>
              <w:jc w:val="right"/>
            </w:pPr>
            <w:r>
              <w:rPr>
                <w:color w:val="000000"/>
                <w:sz w:val="24"/>
              </w:rPr>
              <w:t>1.13</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A700D6" w:rsidRDefault="002A089C" w:rsidP="00B04217">
      <w:pPr>
        <w:autoSpaceDE w:val="0"/>
        <w:autoSpaceDN w:val="0"/>
        <w:adjustRightInd w:val="0"/>
        <w:spacing w:before="29" w:line="288" w:lineRule="auto"/>
        <w:jc w:val="left"/>
        <w:rPr>
          <w:sz w:val="24"/>
          <w:szCs w:val="21"/>
        </w:rPr>
      </w:pPr>
      <w:r w:rsidRPr="00A700D6">
        <w:rPr>
          <w:rFonts w:hint="eastAsia"/>
          <w:sz w:val="24"/>
          <w:szCs w:val="21"/>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lastRenderedPageBreak/>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C5716C" w:rsidRPr="00A700D6" w:rsidRDefault="00786656" w:rsidP="00A700D6">
      <w:pPr>
        <w:autoSpaceDE w:val="0"/>
        <w:autoSpaceDN w:val="0"/>
        <w:adjustRightInd w:val="0"/>
        <w:spacing w:before="29" w:line="288" w:lineRule="auto"/>
        <w:rPr>
          <w:kern w:val="0"/>
          <w:sz w:val="24"/>
        </w:rPr>
      </w:pPr>
      <w:r w:rsidRPr="00120EC8">
        <w:rPr>
          <w:kern w:val="0"/>
          <w:sz w:val="24"/>
        </w:rPr>
        <w:t>5.12.1</w:t>
      </w:r>
      <w:r w:rsidR="00C5716C" w:rsidRPr="00A700D6">
        <w:rPr>
          <w:rFonts w:hint="eastAsia"/>
          <w:kern w:val="0"/>
          <w:sz w:val="24"/>
        </w:rPr>
        <w:t>报告期内本基金投资的前十名证券的发行主体除中信证券（证券代码：</w:t>
      </w:r>
      <w:r w:rsidR="00C5716C" w:rsidRPr="00A700D6">
        <w:rPr>
          <w:kern w:val="0"/>
          <w:sz w:val="24"/>
        </w:rPr>
        <w:t>600030</w:t>
      </w:r>
      <w:r w:rsidR="00C5716C" w:rsidRPr="00A700D6">
        <w:rPr>
          <w:rFonts w:hint="eastAsia"/>
          <w:kern w:val="0"/>
          <w:sz w:val="24"/>
        </w:rPr>
        <w:t>）、海通证券（证券代码：</w:t>
      </w:r>
      <w:r w:rsidR="00C5716C" w:rsidRPr="00A700D6">
        <w:rPr>
          <w:kern w:val="0"/>
          <w:sz w:val="24"/>
        </w:rPr>
        <w:t>600837</w:t>
      </w:r>
      <w:r w:rsidR="00C5716C" w:rsidRPr="00A700D6">
        <w:rPr>
          <w:rFonts w:hint="eastAsia"/>
          <w:kern w:val="0"/>
          <w:sz w:val="24"/>
        </w:rPr>
        <w:t>）外，未出现被监管部门立案调查，或在报告编制日前一年内受到公开谴责、处罚的情形。</w:t>
      </w:r>
    </w:p>
    <w:p w:rsidR="00C5716C" w:rsidRPr="00A700D6" w:rsidRDefault="00C5716C" w:rsidP="00A700D6">
      <w:pPr>
        <w:autoSpaceDE w:val="0"/>
        <w:autoSpaceDN w:val="0"/>
        <w:adjustRightInd w:val="0"/>
        <w:spacing w:before="29" w:line="288" w:lineRule="auto"/>
        <w:rPr>
          <w:kern w:val="0"/>
          <w:sz w:val="24"/>
        </w:rPr>
      </w:pPr>
      <w:r w:rsidRPr="00A700D6">
        <w:rPr>
          <w:rFonts w:hint="eastAsia"/>
          <w:kern w:val="0"/>
          <w:sz w:val="24"/>
        </w:rPr>
        <w:t>报告期内本基金投资的前十名证券之一中信证券（证券代码：</w:t>
      </w:r>
      <w:r w:rsidRPr="00A700D6">
        <w:rPr>
          <w:kern w:val="0"/>
          <w:sz w:val="24"/>
        </w:rPr>
        <w:t>600030</w:t>
      </w:r>
      <w:r w:rsidRPr="00A700D6">
        <w:rPr>
          <w:rFonts w:hint="eastAsia"/>
          <w:kern w:val="0"/>
          <w:sz w:val="24"/>
        </w:rPr>
        <w:t>）于</w:t>
      </w:r>
      <w:r w:rsidRPr="00A700D6">
        <w:rPr>
          <w:kern w:val="0"/>
          <w:sz w:val="24"/>
        </w:rPr>
        <w:t>2015</w:t>
      </w:r>
      <w:r w:rsidRPr="00A700D6">
        <w:rPr>
          <w:rFonts w:hint="eastAsia"/>
          <w:kern w:val="0"/>
          <w:sz w:val="24"/>
        </w:rPr>
        <w:t>年</w:t>
      </w:r>
      <w:r w:rsidRPr="00A700D6">
        <w:rPr>
          <w:kern w:val="0"/>
          <w:sz w:val="24"/>
        </w:rPr>
        <w:t>1</w:t>
      </w:r>
      <w:r w:rsidRPr="00A700D6">
        <w:rPr>
          <w:rFonts w:hint="eastAsia"/>
          <w:kern w:val="0"/>
          <w:sz w:val="24"/>
        </w:rPr>
        <w:t>月</w:t>
      </w:r>
      <w:r w:rsidRPr="00A700D6">
        <w:rPr>
          <w:kern w:val="0"/>
          <w:sz w:val="24"/>
        </w:rPr>
        <w:t>18</w:t>
      </w:r>
      <w:r w:rsidRPr="00A700D6">
        <w:rPr>
          <w:rFonts w:hint="eastAsia"/>
          <w:kern w:val="0"/>
          <w:sz w:val="24"/>
        </w:rPr>
        <w:t>日公告，公司因存在为到期融资融券合约展期的问题，被中国证监会采取暂停新开融资融券客户信用账户</w:t>
      </w:r>
      <w:r w:rsidRPr="00A700D6">
        <w:rPr>
          <w:kern w:val="0"/>
          <w:sz w:val="24"/>
        </w:rPr>
        <w:t>3</w:t>
      </w:r>
      <w:r w:rsidRPr="00A700D6">
        <w:rPr>
          <w:rFonts w:hint="eastAsia"/>
          <w:kern w:val="0"/>
          <w:sz w:val="24"/>
        </w:rPr>
        <w:t>个月的行政监管措施。</w:t>
      </w:r>
    </w:p>
    <w:p w:rsidR="00C5716C" w:rsidRPr="00A700D6" w:rsidRDefault="00C5716C" w:rsidP="00A700D6">
      <w:pPr>
        <w:autoSpaceDE w:val="0"/>
        <w:autoSpaceDN w:val="0"/>
        <w:adjustRightInd w:val="0"/>
        <w:spacing w:before="29" w:line="288" w:lineRule="auto"/>
        <w:rPr>
          <w:kern w:val="0"/>
          <w:sz w:val="24"/>
        </w:rPr>
      </w:pPr>
      <w:r w:rsidRPr="00A700D6">
        <w:rPr>
          <w:rFonts w:hint="eastAsia"/>
          <w:kern w:val="0"/>
          <w:sz w:val="24"/>
        </w:rPr>
        <w:t>报告期内本基金投资的前十名证券之一海通证券（证券代码：</w:t>
      </w:r>
      <w:r w:rsidRPr="00A700D6">
        <w:rPr>
          <w:kern w:val="0"/>
          <w:sz w:val="24"/>
        </w:rPr>
        <w:t>600837</w:t>
      </w:r>
      <w:r w:rsidRPr="00A700D6">
        <w:rPr>
          <w:rFonts w:hint="eastAsia"/>
          <w:kern w:val="0"/>
          <w:sz w:val="24"/>
        </w:rPr>
        <w:t>）于</w:t>
      </w:r>
      <w:r w:rsidRPr="00A700D6">
        <w:rPr>
          <w:kern w:val="0"/>
          <w:sz w:val="24"/>
        </w:rPr>
        <w:t>2015</w:t>
      </w:r>
      <w:r w:rsidRPr="00A700D6">
        <w:rPr>
          <w:rFonts w:hint="eastAsia"/>
          <w:kern w:val="0"/>
          <w:sz w:val="24"/>
        </w:rPr>
        <w:t>年</w:t>
      </w:r>
      <w:r w:rsidRPr="00A700D6">
        <w:rPr>
          <w:kern w:val="0"/>
          <w:sz w:val="24"/>
        </w:rPr>
        <w:t>1</w:t>
      </w:r>
      <w:r w:rsidRPr="00A700D6">
        <w:rPr>
          <w:rFonts w:hint="eastAsia"/>
          <w:kern w:val="0"/>
          <w:sz w:val="24"/>
        </w:rPr>
        <w:t>月</w:t>
      </w:r>
      <w:r w:rsidRPr="00A700D6">
        <w:rPr>
          <w:kern w:val="0"/>
          <w:sz w:val="24"/>
        </w:rPr>
        <w:t>19</w:t>
      </w:r>
      <w:r w:rsidRPr="00A700D6">
        <w:rPr>
          <w:rFonts w:hint="eastAsia"/>
          <w:kern w:val="0"/>
          <w:sz w:val="24"/>
        </w:rPr>
        <w:t>日公告，公司因存在违规为到期融资融券合约展期问题，被中国证监会采取暂停新开融资融券客户信用账户</w:t>
      </w:r>
      <w:r w:rsidRPr="00A700D6">
        <w:rPr>
          <w:kern w:val="0"/>
          <w:sz w:val="24"/>
        </w:rPr>
        <w:t>3</w:t>
      </w:r>
      <w:r w:rsidRPr="00A700D6">
        <w:rPr>
          <w:rFonts w:hint="eastAsia"/>
          <w:kern w:val="0"/>
          <w:sz w:val="24"/>
        </w:rPr>
        <w:t>个月的行政监管措施。</w:t>
      </w:r>
    </w:p>
    <w:p w:rsidR="00C5716C" w:rsidRPr="00A700D6" w:rsidRDefault="00C5716C" w:rsidP="00A700D6">
      <w:pPr>
        <w:autoSpaceDE w:val="0"/>
        <w:autoSpaceDN w:val="0"/>
        <w:adjustRightInd w:val="0"/>
        <w:spacing w:before="29" w:line="288" w:lineRule="auto"/>
        <w:rPr>
          <w:kern w:val="0"/>
          <w:sz w:val="24"/>
        </w:rPr>
      </w:pPr>
      <w:r w:rsidRPr="00A700D6">
        <w:rPr>
          <w:rFonts w:hint="eastAsia"/>
          <w:kern w:val="0"/>
          <w:sz w:val="24"/>
        </w:rPr>
        <w:t>本基金遵循指数化投资理念，本基金通过把全部或接近全部的基金资产投资于目标</w:t>
      </w:r>
      <w:r w:rsidRPr="00A700D6">
        <w:rPr>
          <w:kern w:val="0"/>
          <w:sz w:val="24"/>
        </w:rPr>
        <w:t>ETF</w:t>
      </w:r>
      <w:r w:rsidRPr="00A700D6">
        <w:rPr>
          <w:rFonts w:hint="eastAsia"/>
          <w:kern w:val="0"/>
          <w:sz w:val="24"/>
        </w:rPr>
        <w:t>、标的指数成份股和备选成份股进行被动式指数化投资。本基金对上述证券的投资遵守本基金管理人基金投资管理相关制度及被动式指数化投资策略。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346,881.61</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14,335,562.88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1,273,765.07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7,919,901.33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23,876,110.89</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lastRenderedPageBreak/>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922DDD">
        <w:trPr>
          <w:jc w:val="center"/>
        </w:trPr>
        <w:tc>
          <w:tcPr>
            <w:tcW w:w="1129" w:type="dxa"/>
            <w:vAlign w:val="center"/>
          </w:tcPr>
          <w:p w:rsidR="00922DDD" w:rsidRDefault="003B2D69">
            <w:pPr>
              <w:jc w:val="center"/>
            </w:pPr>
            <w:r>
              <w:rPr>
                <w:color w:val="000000"/>
                <w:sz w:val="24"/>
              </w:rPr>
              <w:t>1</w:t>
            </w:r>
          </w:p>
        </w:tc>
        <w:tc>
          <w:tcPr>
            <w:tcW w:w="1356" w:type="dxa"/>
            <w:vAlign w:val="center"/>
          </w:tcPr>
          <w:p w:rsidR="00922DDD" w:rsidRDefault="003B2D69">
            <w:pPr>
              <w:jc w:val="center"/>
            </w:pPr>
            <w:r>
              <w:rPr>
                <w:color w:val="000000"/>
                <w:sz w:val="24"/>
              </w:rPr>
              <w:t>600741</w:t>
            </w:r>
          </w:p>
        </w:tc>
        <w:tc>
          <w:tcPr>
            <w:tcW w:w="1355" w:type="dxa"/>
            <w:vAlign w:val="center"/>
          </w:tcPr>
          <w:p w:rsidR="00922DDD" w:rsidRDefault="003B2D69">
            <w:pPr>
              <w:jc w:val="center"/>
            </w:pPr>
            <w:r>
              <w:rPr>
                <w:color w:val="000000"/>
                <w:sz w:val="24"/>
              </w:rPr>
              <w:t>华域汽车</w:t>
            </w:r>
          </w:p>
        </w:tc>
        <w:tc>
          <w:tcPr>
            <w:tcW w:w="1880" w:type="dxa"/>
            <w:vAlign w:val="center"/>
          </w:tcPr>
          <w:p w:rsidR="00922DDD" w:rsidRDefault="003B2D69">
            <w:pPr>
              <w:jc w:val="right"/>
            </w:pPr>
            <w:r>
              <w:rPr>
                <w:color w:val="000000"/>
                <w:sz w:val="24"/>
              </w:rPr>
              <w:t>1,097,550.95</w:t>
            </w:r>
          </w:p>
        </w:tc>
        <w:tc>
          <w:tcPr>
            <w:tcW w:w="1724" w:type="dxa"/>
            <w:vAlign w:val="center"/>
          </w:tcPr>
          <w:p w:rsidR="00922DDD" w:rsidRDefault="003B2D69">
            <w:pPr>
              <w:jc w:val="right"/>
            </w:pPr>
            <w:r>
              <w:rPr>
                <w:color w:val="000000"/>
                <w:sz w:val="24"/>
              </w:rPr>
              <w:t>0.06</w:t>
            </w:r>
          </w:p>
        </w:tc>
        <w:tc>
          <w:tcPr>
            <w:tcW w:w="1424" w:type="dxa"/>
            <w:vAlign w:val="center"/>
          </w:tcPr>
          <w:p w:rsidR="00922DDD" w:rsidRDefault="003B2D69">
            <w:pPr>
              <w:jc w:val="right"/>
            </w:pPr>
            <w:r>
              <w:rPr>
                <w:color w:val="000000"/>
                <w:sz w:val="24"/>
              </w:rPr>
              <w:t>重大事项</w:t>
            </w:r>
          </w:p>
        </w:tc>
      </w:tr>
      <w:tr w:rsidR="00922DDD">
        <w:trPr>
          <w:jc w:val="center"/>
        </w:trPr>
        <w:tc>
          <w:tcPr>
            <w:tcW w:w="1129" w:type="dxa"/>
            <w:vAlign w:val="center"/>
          </w:tcPr>
          <w:p w:rsidR="00922DDD" w:rsidRDefault="003B2D69">
            <w:pPr>
              <w:jc w:val="center"/>
            </w:pPr>
            <w:r>
              <w:rPr>
                <w:color w:val="000000"/>
                <w:sz w:val="24"/>
              </w:rPr>
              <w:t>2</w:t>
            </w:r>
          </w:p>
        </w:tc>
        <w:tc>
          <w:tcPr>
            <w:tcW w:w="1356" w:type="dxa"/>
            <w:vAlign w:val="center"/>
          </w:tcPr>
          <w:p w:rsidR="00922DDD" w:rsidRDefault="003B2D69">
            <w:pPr>
              <w:jc w:val="center"/>
            </w:pPr>
            <w:r>
              <w:rPr>
                <w:color w:val="000000"/>
                <w:sz w:val="24"/>
              </w:rPr>
              <w:t>600649</w:t>
            </w:r>
          </w:p>
        </w:tc>
        <w:tc>
          <w:tcPr>
            <w:tcW w:w="1355" w:type="dxa"/>
            <w:vAlign w:val="center"/>
          </w:tcPr>
          <w:p w:rsidR="00922DDD" w:rsidRDefault="003B2D69">
            <w:pPr>
              <w:jc w:val="center"/>
            </w:pPr>
            <w:r>
              <w:rPr>
                <w:color w:val="000000"/>
                <w:sz w:val="24"/>
              </w:rPr>
              <w:t>城投控股</w:t>
            </w:r>
          </w:p>
        </w:tc>
        <w:tc>
          <w:tcPr>
            <w:tcW w:w="1880" w:type="dxa"/>
            <w:vAlign w:val="center"/>
          </w:tcPr>
          <w:p w:rsidR="00922DDD" w:rsidRDefault="003B2D69">
            <w:pPr>
              <w:jc w:val="right"/>
            </w:pPr>
            <w:r>
              <w:rPr>
                <w:color w:val="000000"/>
                <w:sz w:val="24"/>
              </w:rPr>
              <w:t>1,038,076.17</w:t>
            </w:r>
          </w:p>
        </w:tc>
        <w:tc>
          <w:tcPr>
            <w:tcW w:w="1724" w:type="dxa"/>
            <w:vAlign w:val="center"/>
          </w:tcPr>
          <w:p w:rsidR="00922DDD" w:rsidRDefault="003B2D69">
            <w:pPr>
              <w:jc w:val="right"/>
            </w:pPr>
            <w:r>
              <w:rPr>
                <w:color w:val="000000"/>
                <w:sz w:val="24"/>
              </w:rPr>
              <w:t>0.06</w:t>
            </w:r>
          </w:p>
        </w:tc>
        <w:tc>
          <w:tcPr>
            <w:tcW w:w="1424" w:type="dxa"/>
            <w:vAlign w:val="center"/>
          </w:tcPr>
          <w:p w:rsidR="00922DDD" w:rsidRDefault="003B2D69">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1,714,581,217.63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480,048,595.01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829,627,029.99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1,365,002,782.65</w:t>
            </w:r>
          </w:p>
        </w:tc>
      </w:tr>
    </w:tbl>
    <w:p w:rsidR="00922DDD" w:rsidRDefault="003B2D69">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3D754A">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220542" w:rsidRPr="00324C76" w:rsidRDefault="00220542" w:rsidP="003D754A">
      <w:pPr>
        <w:pStyle w:val="1"/>
        <w:spacing w:beforeLines="100" w:before="312" w:afterLines="100" w:after="312" w:line="288" w:lineRule="auto"/>
        <w:jc w:val="center"/>
        <w:rPr>
          <w:kern w:val="0"/>
          <w:sz w:val="24"/>
          <w:szCs w:val="24"/>
        </w:rPr>
      </w:pPr>
      <w:r w:rsidRPr="00324C76">
        <w:rPr>
          <w:kern w:val="0"/>
          <w:sz w:val="24"/>
          <w:szCs w:val="24"/>
        </w:rPr>
        <w:t>§</w:t>
      </w:r>
      <w:r w:rsidR="0083066D" w:rsidRPr="00324C76">
        <w:rPr>
          <w:kern w:val="0"/>
          <w:sz w:val="24"/>
          <w:szCs w:val="24"/>
        </w:rPr>
        <w:t>8</w:t>
      </w:r>
      <w:r w:rsidR="0084595F" w:rsidRPr="00324C76">
        <w:rPr>
          <w:kern w:val="0"/>
          <w:sz w:val="24"/>
          <w:szCs w:val="24"/>
        </w:rPr>
        <w:t xml:space="preserve"> </w:t>
      </w:r>
      <w:r w:rsidRPr="00324C76">
        <w:rPr>
          <w:kern w:val="0"/>
          <w:sz w:val="24"/>
          <w:szCs w:val="24"/>
        </w:rPr>
        <w:t>影响投资者决策的其他重要信息</w:t>
      </w:r>
    </w:p>
    <w:p w:rsidR="00922DDD" w:rsidRDefault="003B2D69">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w:t>
      </w:r>
      <w:r>
        <w:rPr>
          <w:color w:val="000000"/>
          <w:sz w:val="24"/>
        </w:rPr>
        <w:lastRenderedPageBreak/>
        <w:t>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220542" w:rsidRPr="00324C76" w:rsidRDefault="00A40C1C" w:rsidP="00B04217">
      <w:pPr>
        <w:spacing w:before="29" w:line="288" w:lineRule="auto"/>
        <w:ind w:firstLineChars="200" w:firstLine="480"/>
        <w:rPr>
          <w:color w:val="000000"/>
          <w:sz w:val="24"/>
        </w:rPr>
      </w:pPr>
      <w:r w:rsidRPr="00324C76">
        <w:rPr>
          <w:color w:val="000000"/>
          <w:sz w:val="24"/>
        </w:rPr>
        <w:t>2015</w:t>
      </w:r>
      <w:r w:rsidRPr="00324C76">
        <w:rPr>
          <w:color w:val="000000"/>
          <w:sz w:val="24"/>
        </w:rPr>
        <w:t>年</w:t>
      </w:r>
      <w:r w:rsidRPr="00324C76">
        <w:rPr>
          <w:color w:val="000000"/>
          <w:sz w:val="24"/>
        </w:rPr>
        <w:t>3</w:t>
      </w:r>
      <w:r w:rsidRPr="00324C76">
        <w:rPr>
          <w:color w:val="000000"/>
          <w:sz w:val="24"/>
        </w:rPr>
        <w:t>月</w:t>
      </w:r>
      <w:r w:rsidRPr="00324C76">
        <w:rPr>
          <w:color w:val="000000"/>
          <w:sz w:val="24"/>
        </w:rPr>
        <w:t>19</w:t>
      </w:r>
      <w:r w:rsidRPr="00324C76">
        <w:rPr>
          <w:color w:val="000000"/>
          <w:sz w:val="24"/>
        </w:rPr>
        <w:t>日当日进行的上述相关调整对前一估值日各基金资产净值的影响不超过</w:t>
      </w:r>
      <w:r w:rsidRPr="00324C76">
        <w:rPr>
          <w:color w:val="000000"/>
          <w:sz w:val="24"/>
        </w:rPr>
        <w:t>0.50%</w:t>
      </w:r>
      <w:r w:rsidRPr="00324C76">
        <w:rPr>
          <w:color w:val="000000"/>
          <w:sz w:val="24"/>
        </w:rPr>
        <w:t>。</w:t>
      </w:r>
    </w:p>
    <w:p w:rsidR="00E42623" w:rsidRPr="00324C76" w:rsidRDefault="00E42623" w:rsidP="00B04217">
      <w:pPr>
        <w:spacing w:before="29" w:line="288" w:lineRule="auto"/>
        <w:ind w:firstLineChars="200" w:firstLine="480"/>
        <w:rPr>
          <w:color w:val="000000"/>
          <w:sz w:val="24"/>
        </w:rPr>
      </w:pPr>
    </w:p>
    <w:p w:rsidR="006A0A24" w:rsidRPr="00495FAB" w:rsidRDefault="00220542" w:rsidP="003D754A">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922DDD" w:rsidRDefault="003B2D69">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922DDD" w:rsidRDefault="003B2D69">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922DDD" w:rsidRDefault="003B2D69">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922DDD" w:rsidRDefault="003B2D69">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922DDD" w:rsidRDefault="003B2D69">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922DDD" w:rsidRDefault="003B2D6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922DDD" w:rsidRDefault="003B2D6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446862" w:rsidRPr="00324C76">
        <w:rPr>
          <w:b/>
          <w:sz w:val="24"/>
        </w:rPr>
        <w:t xml:space="preserve"> </w:t>
      </w:r>
      <w:r w:rsidR="00220542" w:rsidRPr="00324C76">
        <w:rPr>
          <w:b/>
          <w:sz w:val="24"/>
        </w:rPr>
        <w:t>查阅方式</w:t>
      </w:r>
    </w:p>
    <w:p w:rsidR="00922DDD" w:rsidRDefault="003B2D69">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331" w:rsidRDefault="00BF2331">
      <w:r>
        <w:separator/>
      </w:r>
    </w:p>
  </w:endnote>
  <w:endnote w:type="continuationSeparator" w:id="0">
    <w:p w:rsidR="00BF2331" w:rsidRDefault="00BF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BC7A05">
      <w:rPr>
        <w:kern w:val="0"/>
        <w:szCs w:val="21"/>
      </w:rPr>
      <w:fldChar w:fldCharType="begin"/>
    </w:r>
    <w:r>
      <w:rPr>
        <w:kern w:val="0"/>
        <w:szCs w:val="21"/>
      </w:rPr>
      <w:instrText xml:space="preserve"> PAGE </w:instrText>
    </w:r>
    <w:r w:rsidR="00BC7A05">
      <w:rPr>
        <w:kern w:val="0"/>
        <w:szCs w:val="21"/>
      </w:rPr>
      <w:fldChar w:fldCharType="separate"/>
    </w:r>
    <w:r w:rsidR="00A700D6">
      <w:rPr>
        <w:noProof/>
        <w:kern w:val="0"/>
        <w:szCs w:val="21"/>
      </w:rPr>
      <w:t>13</w:t>
    </w:r>
    <w:r w:rsidR="00BC7A05">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BC7A05">
      <w:rPr>
        <w:kern w:val="0"/>
        <w:szCs w:val="21"/>
      </w:rPr>
      <w:fldChar w:fldCharType="begin"/>
    </w:r>
    <w:r>
      <w:rPr>
        <w:kern w:val="0"/>
        <w:szCs w:val="21"/>
      </w:rPr>
      <w:instrText xml:space="preserve"> NUMPAGES </w:instrText>
    </w:r>
    <w:r w:rsidR="00BC7A05">
      <w:rPr>
        <w:kern w:val="0"/>
        <w:szCs w:val="21"/>
      </w:rPr>
      <w:fldChar w:fldCharType="separate"/>
    </w:r>
    <w:r w:rsidR="00A700D6">
      <w:rPr>
        <w:noProof/>
        <w:kern w:val="0"/>
        <w:szCs w:val="21"/>
      </w:rPr>
      <w:t>13</w:t>
    </w:r>
    <w:r w:rsidR="00BC7A05">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BC7A05">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331" w:rsidRDefault="00BF2331">
      <w:r>
        <w:separator/>
      </w:r>
    </w:p>
  </w:footnote>
  <w:footnote w:type="continuationSeparator" w:id="0">
    <w:p w:rsidR="00BF2331" w:rsidRDefault="00BF2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D69"/>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86DEF"/>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2DDD"/>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0D6"/>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7214"/>
    <w:rsid w:val="00AE1066"/>
    <w:rsid w:val="00AE4518"/>
    <w:rsid w:val="00AE5D7F"/>
    <w:rsid w:val="00AE5DDF"/>
    <w:rsid w:val="00AE79F0"/>
    <w:rsid w:val="00AF20DA"/>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2331"/>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5716C"/>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1D63"/>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0486"/>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876A90C-76DF-4FEB-BFF0-472943FD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161121512">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58785743">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B024-7470-4485-9B33-5219B7B9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322</TotalTime>
  <Pages>1</Pages>
  <Words>1187</Words>
  <Characters>6771</Characters>
  <Application>Microsoft Office Word</Application>
  <DocSecurity>0</DocSecurity>
  <Lines>56</Lines>
  <Paragraphs>15</Paragraphs>
  <ScaleCrop>false</ScaleCrop>
  <Company>TRT. Ltd. Co.</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391</cp:revision>
  <cp:lastPrinted>2007-07-19T00:46:00Z</cp:lastPrinted>
  <dcterms:created xsi:type="dcterms:W3CDTF">2012-11-13T02:08:00Z</dcterms:created>
  <dcterms:modified xsi:type="dcterms:W3CDTF">2015-04-16T02:20:00Z</dcterms:modified>
</cp:coreProperties>
</file>