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交银施罗德先锋股票证券投资基金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4769B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33017" w:rsidRDefault="004769B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33017" w:rsidRDefault="004769B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33017" w:rsidRDefault="004769B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33017" w:rsidRDefault="004769B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33017" w:rsidRDefault="004769B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466,181,899.82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769BE" w:rsidRPr="00414345" w:rsidTr="004769B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4769BE" w:rsidRPr="00414345" w:rsidTr="004769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37,246,284.13</w:t>
            </w:r>
          </w:p>
        </w:tc>
      </w:tr>
      <w:tr w:rsidR="004769BE" w:rsidRPr="00414345" w:rsidTr="004769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200,225,772.02</w:t>
            </w:r>
          </w:p>
        </w:tc>
      </w:tr>
      <w:tr w:rsidR="004769BE" w:rsidRPr="00414345" w:rsidTr="004769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0.3828</w:t>
            </w:r>
          </w:p>
        </w:tc>
      </w:tr>
      <w:tr w:rsidR="004769BE" w:rsidRPr="00414345" w:rsidTr="004769B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792,169,359.34</w:t>
            </w:r>
          </w:p>
        </w:tc>
      </w:tr>
      <w:tr w:rsidR="004769BE" w:rsidRPr="00414345" w:rsidTr="004769B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1.6993</w:t>
            </w:r>
          </w:p>
        </w:tc>
      </w:tr>
    </w:tbl>
    <w:p w:rsidR="00F33017" w:rsidRDefault="004769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33017">
        <w:trPr>
          <w:jc w:val="center"/>
        </w:trPr>
        <w:tc>
          <w:tcPr>
            <w:tcW w:w="1701" w:type="dxa"/>
            <w:vAlign w:val="center"/>
          </w:tcPr>
          <w:p w:rsidR="00F33017" w:rsidRDefault="004769BE">
            <w:pPr>
              <w:jc w:val="left"/>
            </w:pPr>
            <w:r>
              <w:rPr>
                <w:color w:val="000000"/>
                <w:sz w:val="24"/>
                <w:szCs w:val="24"/>
              </w:rPr>
              <w:t>过去三个月</w:t>
            </w:r>
          </w:p>
        </w:tc>
        <w:tc>
          <w:tcPr>
            <w:tcW w:w="1045" w:type="dxa"/>
            <w:vAlign w:val="center"/>
          </w:tcPr>
          <w:p w:rsidR="00F33017" w:rsidRDefault="004769BE">
            <w:pPr>
              <w:jc w:val="center"/>
            </w:pPr>
            <w:r>
              <w:rPr>
                <w:color w:val="000000"/>
                <w:sz w:val="24"/>
                <w:szCs w:val="24"/>
              </w:rPr>
              <w:t>29.90%</w:t>
            </w:r>
          </w:p>
        </w:tc>
        <w:tc>
          <w:tcPr>
            <w:tcW w:w="1344" w:type="dxa"/>
            <w:vAlign w:val="center"/>
          </w:tcPr>
          <w:p w:rsidR="00F33017" w:rsidRDefault="004769BE">
            <w:pPr>
              <w:jc w:val="center"/>
            </w:pPr>
            <w:r>
              <w:rPr>
                <w:color w:val="000000"/>
                <w:sz w:val="24"/>
                <w:szCs w:val="24"/>
              </w:rPr>
              <w:t>1.44%</w:t>
            </w:r>
          </w:p>
        </w:tc>
        <w:tc>
          <w:tcPr>
            <w:tcW w:w="1194" w:type="dxa"/>
            <w:vAlign w:val="center"/>
          </w:tcPr>
          <w:p w:rsidR="00F33017" w:rsidRDefault="004769BE">
            <w:pPr>
              <w:jc w:val="center"/>
            </w:pPr>
            <w:r>
              <w:rPr>
                <w:color w:val="000000"/>
                <w:sz w:val="24"/>
                <w:szCs w:val="24"/>
              </w:rPr>
              <w:t>23.35%</w:t>
            </w:r>
          </w:p>
        </w:tc>
        <w:tc>
          <w:tcPr>
            <w:tcW w:w="1492" w:type="dxa"/>
            <w:vAlign w:val="center"/>
          </w:tcPr>
          <w:p w:rsidR="00F33017" w:rsidRDefault="004769BE">
            <w:pPr>
              <w:jc w:val="center"/>
            </w:pPr>
            <w:r>
              <w:rPr>
                <w:color w:val="000000"/>
                <w:sz w:val="24"/>
                <w:szCs w:val="24"/>
              </w:rPr>
              <w:t>1.10%</w:t>
            </w:r>
          </w:p>
        </w:tc>
        <w:tc>
          <w:tcPr>
            <w:tcW w:w="1194" w:type="dxa"/>
            <w:vAlign w:val="center"/>
          </w:tcPr>
          <w:p w:rsidR="00F33017" w:rsidRDefault="004769BE">
            <w:pPr>
              <w:jc w:val="center"/>
            </w:pPr>
            <w:r>
              <w:rPr>
                <w:color w:val="000000"/>
                <w:sz w:val="24"/>
                <w:szCs w:val="24"/>
              </w:rPr>
              <w:t>6.55%</w:t>
            </w:r>
          </w:p>
        </w:tc>
        <w:tc>
          <w:tcPr>
            <w:tcW w:w="898" w:type="dxa"/>
            <w:vAlign w:val="center"/>
          </w:tcPr>
          <w:p w:rsidR="00F33017" w:rsidRDefault="004769BE">
            <w:pPr>
              <w:jc w:val="center"/>
            </w:pPr>
            <w:r>
              <w:rPr>
                <w:color w:val="000000"/>
                <w:sz w:val="24"/>
                <w:szCs w:val="24"/>
              </w:rPr>
              <w:t>0.34%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33017">
        <w:trPr>
          <w:jc w:val="center"/>
        </w:trPr>
        <w:tc>
          <w:tcPr>
            <w:tcW w:w="846" w:type="dxa"/>
            <w:vAlign w:val="center"/>
          </w:tcPr>
          <w:p w:rsidR="00F33017" w:rsidRDefault="004769BE">
            <w:pPr>
              <w:jc w:val="center"/>
            </w:pPr>
            <w:r>
              <w:rPr>
                <w:color w:val="000000"/>
                <w:sz w:val="24"/>
                <w:szCs w:val="24"/>
              </w:rPr>
              <w:t>王少成</w:t>
            </w:r>
          </w:p>
        </w:tc>
        <w:tc>
          <w:tcPr>
            <w:tcW w:w="845" w:type="dxa"/>
            <w:vAlign w:val="center"/>
          </w:tcPr>
          <w:p w:rsidR="00F33017" w:rsidRDefault="004769BE">
            <w:pPr>
              <w:jc w:val="center"/>
            </w:pPr>
            <w:r>
              <w:rPr>
                <w:color w:val="000000"/>
                <w:sz w:val="24"/>
                <w:szCs w:val="24"/>
              </w:rPr>
              <w:t>本基金、交银成长股票、交银先进制造股票、交银成长</w:t>
            </w:r>
            <w:r>
              <w:rPr>
                <w:color w:val="000000"/>
                <w:sz w:val="24"/>
                <w:szCs w:val="24"/>
              </w:rPr>
              <w:t>30</w:t>
            </w:r>
            <w:r>
              <w:rPr>
                <w:color w:val="000000"/>
                <w:sz w:val="24"/>
                <w:szCs w:val="24"/>
              </w:rPr>
              <w:t>股票的基金经</w:t>
            </w:r>
            <w:r>
              <w:rPr>
                <w:color w:val="000000"/>
                <w:sz w:val="24"/>
                <w:szCs w:val="24"/>
              </w:rPr>
              <w:lastRenderedPageBreak/>
              <w:t>理，公司权益部副总经理</w:t>
            </w:r>
          </w:p>
        </w:tc>
        <w:tc>
          <w:tcPr>
            <w:tcW w:w="1549" w:type="dxa"/>
            <w:vAlign w:val="center"/>
          </w:tcPr>
          <w:p w:rsidR="00F33017" w:rsidRDefault="004769BE">
            <w:pPr>
              <w:jc w:val="center"/>
            </w:pPr>
            <w:r>
              <w:rPr>
                <w:color w:val="000000"/>
                <w:sz w:val="24"/>
                <w:szCs w:val="24"/>
              </w:rPr>
              <w:lastRenderedPageBreak/>
              <w:t>2013-05-29</w:t>
            </w:r>
          </w:p>
        </w:tc>
        <w:tc>
          <w:tcPr>
            <w:tcW w:w="1548" w:type="dxa"/>
            <w:vAlign w:val="center"/>
          </w:tcPr>
          <w:p w:rsidR="00F33017" w:rsidRDefault="004769BE">
            <w:pPr>
              <w:jc w:val="center"/>
            </w:pPr>
            <w:r>
              <w:rPr>
                <w:color w:val="000000"/>
                <w:sz w:val="24"/>
                <w:szCs w:val="24"/>
              </w:rPr>
              <w:t>-</w:t>
            </w:r>
          </w:p>
        </w:tc>
        <w:tc>
          <w:tcPr>
            <w:tcW w:w="1407" w:type="dxa"/>
            <w:vAlign w:val="center"/>
          </w:tcPr>
          <w:p w:rsidR="00F33017" w:rsidRDefault="004769BE">
            <w:pPr>
              <w:jc w:val="center"/>
            </w:pPr>
            <w:r>
              <w:rPr>
                <w:color w:val="000000"/>
                <w:sz w:val="24"/>
                <w:szCs w:val="24"/>
              </w:rPr>
              <w:t>11</w:t>
            </w:r>
            <w:r>
              <w:rPr>
                <w:color w:val="000000"/>
                <w:sz w:val="24"/>
                <w:szCs w:val="24"/>
              </w:rPr>
              <w:t>年</w:t>
            </w:r>
          </w:p>
        </w:tc>
        <w:tc>
          <w:tcPr>
            <w:tcW w:w="2673" w:type="dxa"/>
            <w:vAlign w:val="center"/>
          </w:tcPr>
          <w:p w:rsidR="00F33017" w:rsidRDefault="004769BE">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w:t>
            </w:r>
            <w:r>
              <w:rPr>
                <w:color w:val="000000"/>
                <w:sz w:val="24"/>
                <w:szCs w:val="24"/>
              </w:rPr>
              <w:lastRenderedPageBreak/>
              <w:t>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33017" w:rsidRDefault="004769B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33017" w:rsidRDefault="004769B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33017" w:rsidRDefault="004769B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lastRenderedPageBreak/>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33017" w:rsidRDefault="004769BE">
      <w:pPr>
        <w:spacing w:before="29" w:line="288" w:lineRule="auto"/>
        <w:ind w:firstLineChars="200" w:firstLine="480"/>
        <w:rPr>
          <w:color w:val="000000"/>
          <w:sz w:val="24"/>
          <w:szCs w:val="24"/>
        </w:rPr>
      </w:pPr>
      <w:r>
        <w:rPr>
          <w:color w:val="000000"/>
          <w:sz w:val="24"/>
          <w:szCs w:val="24"/>
        </w:rPr>
        <w:t>一季度</w:t>
      </w:r>
      <w:r>
        <w:rPr>
          <w:color w:val="000000"/>
          <w:sz w:val="24"/>
          <w:szCs w:val="24"/>
        </w:rPr>
        <w:t>A</w:t>
      </w:r>
      <w:r>
        <w:rPr>
          <w:color w:val="000000"/>
          <w:sz w:val="24"/>
          <w:szCs w:val="24"/>
        </w:rPr>
        <w:t>股市场单边上涨，创业板指数表现尤为突出，互联网股和科技股表现抢眼，而经历四季度大幅上涨的传统蓝筹白马表现相对落后。实体经济增速仍然疲弱，融资难状况无法有效缓解，股票市场的价格泡沫风险持续凸现，央行货币政策陷入两难。美元中期上涨格局已经确立，新兴市场国家资本持续流出，保增长和稳汇率的矛盾继续困扰货币当局。以</w:t>
      </w:r>
      <w:r>
        <w:rPr>
          <w:color w:val="000000"/>
          <w:sz w:val="24"/>
          <w:szCs w:val="24"/>
        </w:rPr>
        <w:t>“</w:t>
      </w:r>
      <w:r>
        <w:rPr>
          <w:color w:val="000000"/>
          <w:sz w:val="24"/>
          <w:szCs w:val="24"/>
        </w:rPr>
        <w:t>互联网</w:t>
      </w:r>
      <w:r>
        <w:rPr>
          <w:color w:val="000000"/>
          <w:sz w:val="24"/>
          <w:szCs w:val="24"/>
        </w:rPr>
        <w:t>+”</w:t>
      </w:r>
      <w:r>
        <w:rPr>
          <w:color w:val="000000"/>
          <w:sz w:val="24"/>
          <w:szCs w:val="24"/>
        </w:rPr>
        <w:t>为代表的转型方向受到市场的追捧，成为暗淡经济前景中稀缺的一抹亮色。</w:t>
      </w:r>
      <w:r>
        <w:rPr>
          <w:color w:val="000000"/>
          <w:sz w:val="24"/>
          <w:szCs w:val="24"/>
        </w:rPr>
        <w:t xml:space="preserve"> </w:t>
      </w:r>
    </w:p>
    <w:p w:rsidR="00F33017" w:rsidRDefault="004769BE">
      <w:pPr>
        <w:spacing w:before="29" w:line="288" w:lineRule="auto"/>
        <w:ind w:firstLineChars="200" w:firstLine="480"/>
        <w:rPr>
          <w:color w:val="000000"/>
          <w:sz w:val="24"/>
          <w:szCs w:val="24"/>
        </w:rPr>
      </w:pPr>
      <w:r>
        <w:rPr>
          <w:color w:val="000000"/>
          <w:sz w:val="24"/>
          <w:szCs w:val="24"/>
        </w:rPr>
        <w:t>一季度本基金净值跑赢业绩比较基准，主要缘于组合整体偏成长风格以及选股因素。</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预计央行将维持宽松货币政策，但实际利率水平可能无法有效降低，甚至会有上行风险，从而进一步加剧实体经济下滑的风险。在巨大财富效应驱动下，股市迅速吸纳流动性，但杠杆融资驱动的上涨终究难以持续，市场仍存在中期调整的风险，个别估值过度泡沫化的板块和个股可能会面临较大回调。但着眼于中期，经济转型已形成共识，存量财富的配置压力始终存在，新商业模式、新技术进步仍将是市场投资主线。</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1.6993</w:t>
      </w:r>
      <w:r w:rsidRPr="00414345">
        <w:rPr>
          <w:color w:val="000000"/>
          <w:sz w:val="24"/>
          <w:szCs w:val="24"/>
        </w:rPr>
        <w:t>元，本报告期份额净值增长率为</w:t>
      </w:r>
      <w:r w:rsidRPr="00414345">
        <w:rPr>
          <w:color w:val="000000"/>
          <w:sz w:val="24"/>
          <w:szCs w:val="24"/>
        </w:rPr>
        <w:t>29.90%</w:t>
      </w:r>
      <w:r w:rsidRPr="00414345">
        <w:rPr>
          <w:color w:val="000000"/>
          <w:sz w:val="24"/>
          <w:szCs w:val="24"/>
        </w:rPr>
        <w:t>，同期业绩比较基准增长率为</w:t>
      </w:r>
      <w:r w:rsidRPr="00414345">
        <w:rPr>
          <w:color w:val="000000"/>
          <w:sz w:val="24"/>
          <w:szCs w:val="24"/>
        </w:rPr>
        <w:t>23.35%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749,288,879.96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749,288,879.96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93.62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50,476,065.69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6.31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566,600.51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800,331,546.16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616,819,088.53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8,701,824.00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16,606,197.80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30,008,204.91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8,368,185.20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68,785,379.52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749,288,879.96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33017">
        <w:trPr>
          <w:jc w:val="center"/>
        </w:trPr>
        <w:tc>
          <w:tcPr>
            <w:tcW w:w="855" w:type="dxa"/>
            <w:vAlign w:val="center"/>
          </w:tcPr>
          <w:p w:rsidR="00F33017" w:rsidRDefault="004769BE">
            <w:pPr>
              <w:jc w:val="center"/>
            </w:pPr>
            <w:r>
              <w:rPr>
                <w:color w:val="000000"/>
                <w:sz w:val="24"/>
                <w:szCs w:val="24"/>
              </w:rPr>
              <w:t>1</w:t>
            </w:r>
          </w:p>
        </w:tc>
        <w:tc>
          <w:tcPr>
            <w:tcW w:w="1334" w:type="dxa"/>
            <w:vAlign w:val="center"/>
          </w:tcPr>
          <w:p w:rsidR="00F33017" w:rsidRDefault="004769BE">
            <w:pPr>
              <w:jc w:val="center"/>
            </w:pPr>
            <w:r>
              <w:rPr>
                <w:color w:val="000000"/>
                <w:sz w:val="24"/>
                <w:szCs w:val="24"/>
              </w:rPr>
              <w:t>600389</w:t>
            </w:r>
          </w:p>
        </w:tc>
        <w:tc>
          <w:tcPr>
            <w:tcW w:w="1777" w:type="dxa"/>
            <w:vAlign w:val="center"/>
          </w:tcPr>
          <w:p w:rsidR="00F33017" w:rsidRDefault="004769BE">
            <w:pPr>
              <w:jc w:val="center"/>
            </w:pPr>
            <w:r>
              <w:rPr>
                <w:color w:val="000000"/>
                <w:sz w:val="24"/>
                <w:szCs w:val="24"/>
              </w:rPr>
              <w:t>江山股份</w:t>
            </w:r>
          </w:p>
        </w:tc>
        <w:tc>
          <w:tcPr>
            <w:tcW w:w="1334" w:type="dxa"/>
            <w:vAlign w:val="center"/>
          </w:tcPr>
          <w:p w:rsidR="00F33017" w:rsidRDefault="004769BE">
            <w:pPr>
              <w:jc w:val="right"/>
            </w:pPr>
            <w:r>
              <w:rPr>
                <w:color w:val="000000"/>
                <w:sz w:val="24"/>
                <w:szCs w:val="24"/>
              </w:rPr>
              <w:t>2,220,831</w:t>
            </w:r>
          </w:p>
        </w:tc>
        <w:tc>
          <w:tcPr>
            <w:tcW w:w="1924" w:type="dxa"/>
            <w:vAlign w:val="center"/>
          </w:tcPr>
          <w:p w:rsidR="00F33017" w:rsidRDefault="004769BE">
            <w:pPr>
              <w:jc w:val="right"/>
            </w:pPr>
            <w:r>
              <w:rPr>
                <w:color w:val="000000"/>
                <w:sz w:val="24"/>
                <w:szCs w:val="24"/>
              </w:rPr>
              <w:t>76,640,877.81</w:t>
            </w:r>
          </w:p>
        </w:tc>
        <w:tc>
          <w:tcPr>
            <w:tcW w:w="1644" w:type="dxa"/>
            <w:vAlign w:val="center"/>
          </w:tcPr>
          <w:p w:rsidR="00F33017" w:rsidRDefault="004769BE">
            <w:pPr>
              <w:jc w:val="right"/>
            </w:pPr>
            <w:r>
              <w:rPr>
                <w:color w:val="000000"/>
                <w:sz w:val="24"/>
                <w:szCs w:val="24"/>
              </w:rPr>
              <w:t>9.67</w:t>
            </w:r>
          </w:p>
        </w:tc>
      </w:tr>
      <w:tr w:rsidR="00F33017">
        <w:trPr>
          <w:jc w:val="center"/>
        </w:trPr>
        <w:tc>
          <w:tcPr>
            <w:tcW w:w="855" w:type="dxa"/>
            <w:vAlign w:val="center"/>
          </w:tcPr>
          <w:p w:rsidR="00F33017" w:rsidRDefault="004769BE">
            <w:pPr>
              <w:jc w:val="center"/>
            </w:pPr>
            <w:r>
              <w:rPr>
                <w:color w:val="000000"/>
                <w:sz w:val="24"/>
                <w:szCs w:val="24"/>
              </w:rPr>
              <w:t>2</w:t>
            </w:r>
          </w:p>
        </w:tc>
        <w:tc>
          <w:tcPr>
            <w:tcW w:w="1334" w:type="dxa"/>
            <w:vAlign w:val="center"/>
          </w:tcPr>
          <w:p w:rsidR="00F33017" w:rsidRDefault="004769BE">
            <w:pPr>
              <w:jc w:val="center"/>
            </w:pPr>
            <w:r>
              <w:rPr>
                <w:color w:val="000000"/>
                <w:sz w:val="24"/>
                <w:szCs w:val="24"/>
              </w:rPr>
              <w:t>000100</w:t>
            </w:r>
          </w:p>
        </w:tc>
        <w:tc>
          <w:tcPr>
            <w:tcW w:w="1777" w:type="dxa"/>
            <w:vAlign w:val="center"/>
          </w:tcPr>
          <w:p w:rsidR="00F33017" w:rsidRDefault="004769BE">
            <w:pPr>
              <w:jc w:val="center"/>
            </w:pPr>
            <w:r>
              <w:rPr>
                <w:color w:val="000000"/>
                <w:sz w:val="24"/>
                <w:szCs w:val="24"/>
              </w:rPr>
              <w:t xml:space="preserve">TCL </w:t>
            </w:r>
            <w:r>
              <w:rPr>
                <w:color w:val="000000"/>
                <w:sz w:val="24"/>
                <w:szCs w:val="24"/>
              </w:rPr>
              <w:t>集团</w:t>
            </w:r>
          </w:p>
        </w:tc>
        <w:tc>
          <w:tcPr>
            <w:tcW w:w="1334" w:type="dxa"/>
            <w:vAlign w:val="center"/>
          </w:tcPr>
          <w:p w:rsidR="00F33017" w:rsidRDefault="004769BE">
            <w:pPr>
              <w:jc w:val="right"/>
            </w:pPr>
            <w:r>
              <w:rPr>
                <w:color w:val="000000"/>
                <w:sz w:val="24"/>
                <w:szCs w:val="24"/>
              </w:rPr>
              <w:t>11,813,124</w:t>
            </w:r>
          </w:p>
        </w:tc>
        <w:tc>
          <w:tcPr>
            <w:tcW w:w="1924" w:type="dxa"/>
            <w:vAlign w:val="center"/>
          </w:tcPr>
          <w:p w:rsidR="00F33017" w:rsidRDefault="004769BE">
            <w:pPr>
              <w:jc w:val="right"/>
            </w:pPr>
            <w:r>
              <w:rPr>
                <w:color w:val="000000"/>
                <w:sz w:val="24"/>
                <w:szCs w:val="24"/>
              </w:rPr>
              <w:t>69,697,431.60</w:t>
            </w:r>
          </w:p>
        </w:tc>
        <w:tc>
          <w:tcPr>
            <w:tcW w:w="1644" w:type="dxa"/>
            <w:vAlign w:val="center"/>
          </w:tcPr>
          <w:p w:rsidR="00F33017" w:rsidRDefault="004769BE">
            <w:pPr>
              <w:jc w:val="right"/>
            </w:pPr>
            <w:r>
              <w:rPr>
                <w:color w:val="000000"/>
                <w:sz w:val="24"/>
                <w:szCs w:val="24"/>
              </w:rPr>
              <w:t>8.80</w:t>
            </w:r>
          </w:p>
        </w:tc>
      </w:tr>
      <w:tr w:rsidR="00F33017">
        <w:trPr>
          <w:jc w:val="center"/>
        </w:trPr>
        <w:tc>
          <w:tcPr>
            <w:tcW w:w="855" w:type="dxa"/>
            <w:vAlign w:val="center"/>
          </w:tcPr>
          <w:p w:rsidR="00F33017" w:rsidRDefault="004769BE">
            <w:pPr>
              <w:jc w:val="center"/>
            </w:pPr>
            <w:r>
              <w:rPr>
                <w:color w:val="000000"/>
                <w:sz w:val="24"/>
                <w:szCs w:val="24"/>
              </w:rPr>
              <w:t>3</w:t>
            </w:r>
          </w:p>
        </w:tc>
        <w:tc>
          <w:tcPr>
            <w:tcW w:w="1334" w:type="dxa"/>
            <w:vAlign w:val="center"/>
          </w:tcPr>
          <w:p w:rsidR="00F33017" w:rsidRDefault="004769BE">
            <w:pPr>
              <w:jc w:val="center"/>
            </w:pPr>
            <w:r>
              <w:rPr>
                <w:color w:val="000000"/>
                <w:sz w:val="24"/>
                <w:szCs w:val="24"/>
              </w:rPr>
              <w:t>600763</w:t>
            </w:r>
          </w:p>
        </w:tc>
        <w:tc>
          <w:tcPr>
            <w:tcW w:w="1777" w:type="dxa"/>
            <w:vAlign w:val="center"/>
          </w:tcPr>
          <w:p w:rsidR="00F33017" w:rsidRDefault="004769BE">
            <w:pPr>
              <w:jc w:val="center"/>
            </w:pPr>
            <w:r>
              <w:rPr>
                <w:color w:val="000000"/>
                <w:sz w:val="24"/>
                <w:szCs w:val="24"/>
              </w:rPr>
              <w:t>通策医疗</w:t>
            </w:r>
          </w:p>
        </w:tc>
        <w:tc>
          <w:tcPr>
            <w:tcW w:w="1334" w:type="dxa"/>
            <w:vAlign w:val="center"/>
          </w:tcPr>
          <w:p w:rsidR="00F33017" w:rsidRDefault="004769BE">
            <w:pPr>
              <w:jc w:val="right"/>
            </w:pPr>
            <w:r>
              <w:rPr>
                <w:color w:val="000000"/>
                <w:sz w:val="24"/>
                <w:szCs w:val="24"/>
              </w:rPr>
              <w:t>1,002,118</w:t>
            </w:r>
          </w:p>
        </w:tc>
        <w:tc>
          <w:tcPr>
            <w:tcW w:w="1924" w:type="dxa"/>
            <w:vAlign w:val="center"/>
          </w:tcPr>
          <w:p w:rsidR="00F33017" w:rsidRDefault="004769BE">
            <w:pPr>
              <w:jc w:val="right"/>
            </w:pPr>
            <w:r>
              <w:rPr>
                <w:color w:val="000000"/>
                <w:sz w:val="24"/>
                <w:szCs w:val="24"/>
              </w:rPr>
              <w:t>68,785,379.52</w:t>
            </w:r>
          </w:p>
        </w:tc>
        <w:tc>
          <w:tcPr>
            <w:tcW w:w="1644" w:type="dxa"/>
            <w:vAlign w:val="center"/>
          </w:tcPr>
          <w:p w:rsidR="00F33017" w:rsidRDefault="004769BE">
            <w:pPr>
              <w:jc w:val="right"/>
            </w:pPr>
            <w:r>
              <w:rPr>
                <w:color w:val="000000"/>
                <w:sz w:val="24"/>
                <w:szCs w:val="24"/>
              </w:rPr>
              <w:t>8.68</w:t>
            </w:r>
          </w:p>
        </w:tc>
      </w:tr>
      <w:tr w:rsidR="00F33017">
        <w:trPr>
          <w:jc w:val="center"/>
        </w:trPr>
        <w:tc>
          <w:tcPr>
            <w:tcW w:w="855" w:type="dxa"/>
            <w:vAlign w:val="center"/>
          </w:tcPr>
          <w:p w:rsidR="00F33017" w:rsidRDefault="004769BE">
            <w:pPr>
              <w:jc w:val="center"/>
            </w:pPr>
            <w:r>
              <w:rPr>
                <w:color w:val="000000"/>
                <w:sz w:val="24"/>
                <w:szCs w:val="24"/>
              </w:rPr>
              <w:t>4</w:t>
            </w:r>
          </w:p>
        </w:tc>
        <w:tc>
          <w:tcPr>
            <w:tcW w:w="1334" w:type="dxa"/>
            <w:vAlign w:val="center"/>
          </w:tcPr>
          <w:p w:rsidR="00F33017" w:rsidRDefault="004769BE">
            <w:pPr>
              <w:jc w:val="center"/>
            </w:pPr>
            <w:r>
              <w:rPr>
                <w:color w:val="000000"/>
                <w:sz w:val="24"/>
                <w:szCs w:val="24"/>
              </w:rPr>
              <w:t>002568</w:t>
            </w:r>
          </w:p>
        </w:tc>
        <w:tc>
          <w:tcPr>
            <w:tcW w:w="1777" w:type="dxa"/>
            <w:vAlign w:val="center"/>
          </w:tcPr>
          <w:p w:rsidR="00F33017" w:rsidRDefault="004769BE">
            <w:pPr>
              <w:jc w:val="center"/>
            </w:pPr>
            <w:r>
              <w:rPr>
                <w:color w:val="000000"/>
                <w:sz w:val="24"/>
                <w:szCs w:val="24"/>
              </w:rPr>
              <w:t>百润股份</w:t>
            </w:r>
          </w:p>
        </w:tc>
        <w:tc>
          <w:tcPr>
            <w:tcW w:w="1334" w:type="dxa"/>
            <w:vAlign w:val="center"/>
          </w:tcPr>
          <w:p w:rsidR="00F33017" w:rsidRDefault="004769BE">
            <w:pPr>
              <w:jc w:val="right"/>
            </w:pPr>
            <w:r>
              <w:rPr>
                <w:color w:val="000000"/>
                <w:sz w:val="24"/>
                <w:szCs w:val="24"/>
              </w:rPr>
              <w:t>802,250</w:t>
            </w:r>
          </w:p>
        </w:tc>
        <w:tc>
          <w:tcPr>
            <w:tcW w:w="1924" w:type="dxa"/>
            <w:vAlign w:val="center"/>
          </w:tcPr>
          <w:p w:rsidR="00F33017" w:rsidRDefault="004769BE">
            <w:pPr>
              <w:jc w:val="right"/>
            </w:pPr>
            <w:r>
              <w:rPr>
                <w:color w:val="000000"/>
                <w:sz w:val="24"/>
                <w:szCs w:val="24"/>
              </w:rPr>
              <w:t>64,300,337.50</w:t>
            </w:r>
          </w:p>
        </w:tc>
        <w:tc>
          <w:tcPr>
            <w:tcW w:w="1644" w:type="dxa"/>
            <w:vAlign w:val="center"/>
          </w:tcPr>
          <w:p w:rsidR="00F33017" w:rsidRDefault="004769BE">
            <w:pPr>
              <w:jc w:val="right"/>
            </w:pPr>
            <w:r>
              <w:rPr>
                <w:color w:val="000000"/>
                <w:sz w:val="24"/>
                <w:szCs w:val="24"/>
              </w:rPr>
              <w:t>8.12</w:t>
            </w:r>
          </w:p>
        </w:tc>
      </w:tr>
      <w:tr w:rsidR="00F33017">
        <w:trPr>
          <w:jc w:val="center"/>
        </w:trPr>
        <w:tc>
          <w:tcPr>
            <w:tcW w:w="855" w:type="dxa"/>
            <w:vAlign w:val="center"/>
          </w:tcPr>
          <w:p w:rsidR="00F33017" w:rsidRDefault="004769BE">
            <w:pPr>
              <w:jc w:val="center"/>
            </w:pPr>
            <w:r>
              <w:rPr>
                <w:color w:val="000000"/>
                <w:sz w:val="24"/>
                <w:szCs w:val="24"/>
              </w:rPr>
              <w:t>5</w:t>
            </w:r>
          </w:p>
        </w:tc>
        <w:tc>
          <w:tcPr>
            <w:tcW w:w="1334" w:type="dxa"/>
            <w:vAlign w:val="center"/>
          </w:tcPr>
          <w:p w:rsidR="00F33017" w:rsidRDefault="004769BE">
            <w:pPr>
              <w:jc w:val="center"/>
            </w:pPr>
            <w:r>
              <w:rPr>
                <w:color w:val="000000"/>
                <w:sz w:val="24"/>
                <w:szCs w:val="24"/>
              </w:rPr>
              <w:t>600967</w:t>
            </w:r>
          </w:p>
        </w:tc>
        <w:tc>
          <w:tcPr>
            <w:tcW w:w="1777" w:type="dxa"/>
            <w:vAlign w:val="center"/>
          </w:tcPr>
          <w:p w:rsidR="00F33017" w:rsidRDefault="004769BE">
            <w:pPr>
              <w:jc w:val="center"/>
            </w:pPr>
            <w:r>
              <w:rPr>
                <w:color w:val="000000"/>
                <w:sz w:val="24"/>
                <w:szCs w:val="24"/>
              </w:rPr>
              <w:t>北方创业</w:t>
            </w:r>
          </w:p>
        </w:tc>
        <w:tc>
          <w:tcPr>
            <w:tcW w:w="1334" w:type="dxa"/>
            <w:vAlign w:val="center"/>
          </w:tcPr>
          <w:p w:rsidR="00F33017" w:rsidRDefault="004769BE">
            <w:pPr>
              <w:jc w:val="right"/>
            </w:pPr>
            <w:r>
              <w:rPr>
                <w:color w:val="000000"/>
                <w:sz w:val="24"/>
                <w:szCs w:val="24"/>
              </w:rPr>
              <w:t>3,642,334</w:t>
            </w:r>
          </w:p>
        </w:tc>
        <w:tc>
          <w:tcPr>
            <w:tcW w:w="1924" w:type="dxa"/>
            <w:vAlign w:val="center"/>
          </w:tcPr>
          <w:p w:rsidR="00F33017" w:rsidRDefault="004769BE">
            <w:pPr>
              <w:jc w:val="right"/>
            </w:pPr>
            <w:r>
              <w:rPr>
                <w:color w:val="000000"/>
                <w:sz w:val="24"/>
                <w:szCs w:val="24"/>
              </w:rPr>
              <w:t>59,078,657.48</w:t>
            </w:r>
          </w:p>
        </w:tc>
        <w:tc>
          <w:tcPr>
            <w:tcW w:w="1644" w:type="dxa"/>
            <w:vAlign w:val="center"/>
          </w:tcPr>
          <w:p w:rsidR="00F33017" w:rsidRDefault="004769BE">
            <w:pPr>
              <w:jc w:val="right"/>
            </w:pPr>
            <w:r>
              <w:rPr>
                <w:color w:val="000000"/>
                <w:sz w:val="24"/>
                <w:szCs w:val="24"/>
              </w:rPr>
              <w:t>7.46</w:t>
            </w:r>
          </w:p>
        </w:tc>
      </w:tr>
      <w:tr w:rsidR="00F33017">
        <w:trPr>
          <w:jc w:val="center"/>
        </w:trPr>
        <w:tc>
          <w:tcPr>
            <w:tcW w:w="855" w:type="dxa"/>
            <w:vAlign w:val="center"/>
          </w:tcPr>
          <w:p w:rsidR="00F33017" w:rsidRDefault="004769BE">
            <w:pPr>
              <w:jc w:val="center"/>
            </w:pPr>
            <w:r>
              <w:rPr>
                <w:color w:val="000000"/>
                <w:sz w:val="24"/>
                <w:szCs w:val="24"/>
              </w:rPr>
              <w:t>6</w:t>
            </w:r>
          </w:p>
        </w:tc>
        <w:tc>
          <w:tcPr>
            <w:tcW w:w="1334" w:type="dxa"/>
            <w:vAlign w:val="center"/>
          </w:tcPr>
          <w:p w:rsidR="00F33017" w:rsidRDefault="004769BE">
            <w:pPr>
              <w:jc w:val="center"/>
            </w:pPr>
            <w:r>
              <w:rPr>
                <w:color w:val="000000"/>
                <w:sz w:val="24"/>
                <w:szCs w:val="24"/>
              </w:rPr>
              <w:t>300005</w:t>
            </w:r>
          </w:p>
        </w:tc>
        <w:tc>
          <w:tcPr>
            <w:tcW w:w="1777" w:type="dxa"/>
            <w:vAlign w:val="center"/>
          </w:tcPr>
          <w:p w:rsidR="00F33017" w:rsidRDefault="004769BE">
            <w:pPr>
              <w:jc w:val="center"/>
            </w:pPr>
            <w:r>
              <w:rPr>
                <w:color w:val="000000"/>
                <w:sz w:val="24"/>
                <w:szCs w:val="24"/>
              </w:rPr>
              <w:t>探路者</w:t>
            </w:r>
          </w:p>
        </w:tc>
        <w:tc>
          <w:tcPr>
            <w:tcW w:w="1334" w:type="dxa"/>
            <w:vAlign w:val="center"/>
          </w:tcPr>
          <w:p w:rsidR="00F33017" w:rsidRDefault="004769BE">
            <w:pPr>
              <w:jc w:val="right"/>
            </w:pPr>
            <w:r>
              <w:rPr>
                <w:color w:val="000000"/>
                <w:sz w:val="24"/>
                <w:szCs w:val="24"/>
              </w:rPr>
              <w:t>1,726,335</w:t>
            </w:r>
          </w:p>
        </w:tc>
        <w:tc>
          <w:tcPr>
            <w:tcW w:w="1924" w:type="dxa"/>
            <w:vAlign w:val="center"/>
          </w:tcPr>
          <w:p w:rsidR="00F33017" w:rsidRDefault="004769BE">
            <w:pPr>
              <w:jc w:val="right"/>
            </w:pPr>
            <w:r>
              <w:rPr>
                <w:color w:val="000000"/>
                <w:sz w:val="24"/>
                <w:szCs w:val="24"/>
              </w:rPr>
              <w:t>50,857,829.10</w:t>
            </w:r>
          </w:p>
        </w:tc>
        <w:tc>
          <w:tcPr>
            <w:tcW w:w="1644" w:type="dxa"/>
            <w:vAlign w:val="center"/>
          </w:tcPr>
          <w:p w:rsidR="00F33017" w:rsidRDefault="004769BE">
            <w:pPr>
              <w:jc w:val="right"/>
            </w:pPr>
            <w:r>
              <w:rPr>
                <w:color w:val="000000"/>
                <w:sz w:val="24"/>
                <w:szCs w:val="24"/>
              </w:rPr>
              <w:t>6.42</w:t>
            </w:r>
          </w:p>
        </w:tc>
      </w:tr>
      <w:tr w:rsidR="00F33017">
        <w:trPr>
          <w:jc w:val="center"/>
        </w:trPr>
        <w:tc>
          <w:tcPr>
            <w:tcW w:w="855" w:type="dxa"/>
            <w:vAlign w:val="center"/>
          </w:tcPr>
          <w:p w:rsidR="00F33017" w:rsidRDefault="004769BE">
            <w:pPr>
              <w:jc w:val="center"/>
            </w:pPr>
            <w:r>
              <w:rPr>
                <w:color w:val="000000"/>
                <w:sz w:val="24"/>
                <w:szCs w:val="24"/>
              </w:rPr>
              <w:t>7</w:t>
            </w:r>
          </w:p>
        </w:tc>
        <w:tc>
          <w:tcPr>
            <w:tcW w:w="1334" w:type="dxa"/>
            <w:vAlign w:val="center"/>
          </w:tcPr>
          <w:p w:rsidR="00F33017" w:rsidRDefault="004769BE">
            <w:pPr>
              <w:jc w:val="center"/>
            </w:pPr>
            <w:r>
              <w:rPr>
                <w:color w:val="000000"/>
                <w:sz w:val="24"/>
                <w:szCs w:val="24"/>
              </w:rPr>
              <w:t>600887</w:t>
            </w:r>
          </w:p>
        </w:tc>
        <w:tc>
          <w:tcPr>
            <w:tcW w:w="1777" w:type="dxa"/>
            <w:vAlign w:val="center"/>
          </w:tcPr>
          <w:p w:rsidR="00F33017" w:rsidRDefault="004769BE">
            <w:pPr>
              <w:jc w:val="center"/>
            </w:pPr>
            <w:r>
              <w:rPr>
                <w:color w:val="000000"/>
                <w:sz w:val="24"/>
                <w:szCs w:val="24"/>
              </w:rPr>
              <w:t>伊利股份</w:t>
            </w:r>
          </w:p>
        </w:tc>
        <w:tc>
          <w:tcPr>
            <w:tcW w:w="1334" w:type="dxa"/>
            <w:vAlign w:val="center"/>
          </w:tcPr>
          <w:p w:rsidR="00F33017" w:rsidRDefault="004769BE">
            <w:pPr>
              <w:jc w:val="right"/>
            </w:pPr>
            <w:r>
              <w:rPr>
                <w:color w:val="000000"/>
                <w:sz w:val="24"/>
                <w:szCs w:val="24"/>
              </w:rPr>
              <w:t>1,244,548</w:t>
            </w:r>
          </w:p>
        </w:tc>
        <w:tc>
          <w:tcPr>
            <w:tcW w:w="1924" w:type="dxa"/>
            <w:vAlign w:val="center"/>
          </w:tcPr>
          <w:p w:rsidR="00F33017" w:rsidRDefault="004769BE">
            <w:pPr>
              <w:jc w:val="right"/>
            </w:pPr>
            <w:r>
              <w:rPr>
                <w:color w:val="000000"/>
                <w:sz w:val="24"/>
                <w:szCs w:val="24"/>
              </w:rPr>
              <w:t>38,394,305.80</w:t>
            </w:r>
          </w:p>
        </w:tc>
        <w:tc>
          <w:tcPr>
            <w:tcW w:w="1644" w:type="dxa"/>
            <w:vAlign w:val="center"/>
          </w:tcPr>
          <w:p w:rsidR="00F33017" w:rsidRDefault="004769BE">
            <w:pPr>
              <w:jc w:val="right"/>
            </w:pPr>
            <w:r>
              <w:rPr>
                <w:color w:val="000000"/>
                <w:sz w:val="24"/>
                <w:szCs w:val="24"/>
              </w:rPr>
              <w:t>4.85</w:t>
            </w:r>
          </w:p>
        </w:tc>
      </w:tr>
      <w:tr w:rsidR="00F33017">
        <w:trPr>
          <w:jc w:val="center"/>
        </w:trPr>
        <w:tc>
          <w:tcPr>
            <w:tcW w:w="855" w:type="dxa"/>
            <w:vAlign w:val="center"/>
          </w:tcPr>
          <w:p w:rsidR="00F33017" w:rsidRDefault="004769BE">
            <w:pPr>
              <w:jc w:val="center"/>
            </w:pPr>
            <w:r>
              <w:rPr>
                <w:color w:val="000000"/>
                <w:sz w:val="24"/>
                <w:szCs w:val="24"/>
              </w:rPr>
              <w:t>8</w:t>
            </w:r>
          </w:p>
        </w:tc>
        <w:tc>
          <w:tcPr>
            <w:tcW w:w="1334" w:type="dxa"/>
            <w:vAlign w:val="center"/>
          </w:tcPr>
          <w:p w:rsidR="00F33017" w:rsidRDefault="004769BE">
            <w:pPr>
              <w:jc w:val="center"/>
            </w:pPr>
            <w:r>
              <w:rPr>
                <w:color w:val="000000"/>
                <w:sz w:val="24"/>
                <w:szCs w:val="24"/>
              </w:rPr>
              <w:t>002425</w:t>
            </w:r>
          </w:p>
        </w:tc>
        <w:tc>
          <w:tcPr>
            <w:tcW w:w="1777" w:type="dxa"/>
            <w:vAlign w:val="center"/>
          </w:tcPr>
          <w:p w:rsidR="00F33017" w:rsidRDefault="004769BE">
            <w:pPr>
              <w:jc w:val="center"/>
            </w:pPr>
            <w:r>
              <w:rPr>
                <w:color w:val="000000"/>
                <w:sz w:val="24"/>
                <w:szCs w:val="24"/>
              </w:rPr>
              <w:t>凯撒股份</w:t>
            </w:r>
          </w:p>
        </w:tc>
        <w:tc>
          <w:tcPr>
            <w:tcW w:w="1334" w:type="dxa"/>
            <w:vAlign w:val="center"/>
          </w:tcPr>
          <w:p w:rsidR="00F33017" w:rsidRDefault="004769BE">
            <w:pPr>
              <w:jc w:val="right"/>
            </w:pPr>
            <w:r>
              <w:rPr>
                <w:color w:val="000000"/>
                <w:sz w:val="24"/>
                <w:szCs w:val="24"/>
              </w:rPr>
              <w:t>1,586,920</w:t>
            </w:r>
          </w:p>
        </w:tc>
        <w:tc>
          <w:tcPr>
            <w:tcW w:w="1924" w:type="dxa"/>
            <w:vAlign w:val="center"/>
          </w:tcPr>
          <w:p w:rsidR="00F33017" w:rsidRDefault="004769BE">
            <w:pPr>
              <w:jc w:val="right"/>
            </w:pPr>
            <w:r>
              <w:rPr>
                <w:color w:val="000000"/>
                <w:sz w:val="24"/>
                <w:szCs w:val="24"/>
              </w:rPr>
              <w:t>27,168,070.40</w:t>
            </w:r>
          </w:p>
        </w:tc>
        <w:tc>
          <w:tcPr>
            <w:tcW w:w="1644" w:type="dxa"/>
            <w:vAlign w:val="center"/>
          </w:tcPr>
          <w:p w:rsidR="00F33017" w:rsidRDefault="004769BE">
            <w:pPr>
              <w:jc w:val="right"/>
            </w:pPr>
            <w:r>
              <w:rPr>
                <w:color w:val="000000"/>
                <w:sz w:val="24"/>
                <w:szCs w:val="24"/>
              </w:rPr>
              <w:t>3.43</w:t>
            </w:r>
          </w:p>
        </w:tc>
      </w:tr>
      <w:tr w:rsidR="00F33017">
        <w:trPr>
          <w:jc w:val="center"/>
        </w:trPr>
        <w:tc>
          <w:tcPr>
            <w:tcW w:w="855" w:type="dxa"/>
            <w:vAlign w:val="center"/>
          </w:tcPr>
          <w:p w:rsidR="00F33017" w:rsidRDefault="004769BE">
            <w:pPr>
              <w:jc w:val="center"/>
            </w:pPr>
            <w:r>
              <w:rPr>
                <w:color w:val="000000"/>
                <w:sz w:val="24"/>
                <w:szCs w:val="24"/>
              </w:rPr>
              <w:t>9</w:t>
            </w:r>
          </w:p>
        </w:tc>
        <w:tc>
          <w:tcPr>
            <w:tcW w:w="1334" w:type="dxa"/>
            <w:vAlign w:val="center"/>
          </w:tcPr>
          <w:p w:rsidR="00F33017" w:rsidRDefault="004769BE">
            <w:pPr>
              <w:jc w:val="center"/>
            </w:pPr>
            <w:r>
              <w:rPr>
                <w:color w:val="000000"/>
                <w:sz w:val="24"/>
                <w:szCs w:val="24"/>
              </w:rPr>
              <w:t>000801</w:t>
            </w:r>
          </w:p>
        </w:tc>
        <w:tc>
          <w:tcPr>
            <w:tcW w:w="1777" w:type="dxa"/>
            <w:vAlign w:val="center"/>
          </w:tcPr>
          <w:p w:rsidR="00F33017" w:rsidRDefault="004769BE">
            <w:pPr>
              <w:jc w:val="center"/>
            </w:pPr>
            <w:r>
              <w:rPr>
                <w:color w:val="000000"/>
                <w:sz w:val="24"/>
                <w:szCs w:val="24"/>
              </w:rPr>
              <w:t>四川九洲</w:t>
            </w:r>
          </w:p>
        </w:tc>
        <w:tc>
          <w:tcPr>
            <w:tcW w:w="1334" w:type="dxa"/>
            <w:vAlign w:val="center"/>
          </w:tcPr>
          <w:p w:rsidR="00F33017" w:rsidRDefault="004769BE">
            <w:pPr>
              <w:jc w:val="right"/>
            </w:pPr>
            <w:r>
              <w:rPr>
                <w:color w:val="000000"/>
                <w:sz w:val="24"/>
                <w:szCs w:val="24"/>
              </w:rPr>
              <w:t>902,200</w:t>
            </w:r>
          </w:p>
        </w:tc>
        <w:tc>
          <w:tcPr>
            <w:tcW w:w="1924" w:type="dxa"/>
            <w:vAlign w:val="center"/>
          </w:tcPr>
          <w:p w:rsidR="00F33017" w:rsidRDefault="004769BE">
            <w:pPr>
              <w:jc w:val="right"/>
            </w:pPr>
            <w:r>
              <w:rPr>
                <w:color w:val="000000"/>
                <w:sz w:val="24"/>
                <w:szCs w:val="24"/>
              </w:rPr>
              <w:t>24,503,752.00</w:t>
            </w:r>
          </w:p>
        </w:tc>
        <w:tc>
          <w:tcPr>
            <w:tcW w:w="1644" w:type="dxa"/>
            <w:vAlign w:val="center"/>
          </w:tcPr>
          <w:p w:rsidR="00F33017" w:rsidRDefault="004769BE">
            <w:pPr>
              <w:jc w:val="right"/>
            </w:pPr>
            <w:r>
              <w:rPr>
                <w:color w:val="000000"/>
                <w:sz w:val="24"/>
                <w:szCs w:val="24"/>
              </w:rPr>
              <w:t>3.09</w:t>
            </w:r>
          </w:p>
        </w:tc>
      </w:tr>
      <w:tr w:rsidR="00F33017">
        <w:trPr>
          <w:jc w:val="center"/>
        </w:trPr>
        <w:tc>
          <w:tcPr>
            <w:tcW w:w="855" w:type="dxa"/>
            <w:vAlign w:val="center"/>
          </w:tcPr>
          <w:p w:rsidR="00F33017" w:rsidRDefault="004769BE">
            <w:pPr>
              <w:jc w:val="center"/>
            </w:pPr>
            <w:r>
              <w:rPr>
                <w:color w:val="000000"/>
                <w:sz w:val="24"/>
                <w:szCs w:val="24"/>
              </w:rPr>
              <w:t>10</w:t>
            </w:r>
          </w:p>
        </w:tc>
        <w:tc>
          <w:tcPr>
            <w:tcW w:w="1334" w:type="dxa"/>
            <w:vAlign w:val="center"/>
          </w:tcPr>
          <w:p w:rsidR="00F33017" w:rsidRDefault="004769BE">
            <w:pPr>
              <w:jc w:val="center"/>
            </w:pPr>
            <w:r>
              <w:rPr>
                <w:color w:val="000000"/>
                <w:sz w:val="24"/>
                <w:szCs w:val="24"/>
              </w:rPr>
              <w:t>002324</w:t>
            </w:r>
          </w:p>
        </w:tc>
        <w:tc>
          <w:tcPr>
            <w:tcW w:w="1777" w:type="dxa"/>
            <w:vAlign w:val="center"/>
          </w:tcPr>
          <w:p w:rsidR="00F33017" w:rsidRDefault="004769BE">
            <w:pPr>
              <w:jc w:val="center"/>
            </w:pPr>
            <w:r>
              <w:rPr>
                <w:color w:val="000000"/>
                <w:sz w:val="24"/>
                <w:szCs w:val="24"/>
              </w:rPr>
              <w:t>普利特</w:t>
            </w:r>
          </w:p>
        </w:tc>
        <w:tc>
          <w:tcPr>
            <w:tcW w:w="1334" w:type="dxa"/>
            <w:vAlign w:val="center"/>
          </w:tcPr>
          <w:p w:rsidR="00F33017" w:rsidRDefault="004769BE">
            <w:pPr>
              <w:jc w:val="right"/>
            </w:pPr>
            <w:r>
              <w:rPr>
                <w:color w:val="000000"/>
                <w:sz w:val="24"/>
                <w:szCs w:val="24"/>
              </w:rPr>
              <w:t>716,474</w:t>
            </w:r>
          </w:p>
        </w:tc>
        <w:tc>
          <w:tcPr>
            <w:tcW w:w="1924" w:type="dxa"/>
            <w:vAlign w:val="center"/>
          </w:tcPr>
          <w:p w:rsidR="00F33017" w:rsidRDefault="004769BE">
            <w:pPr>
              <w:jc w:val="right"/>
            </w:pPr>
            <w:r>
              <w:rPr>
                <w:color w:val="000000"/>
                <w:sz w:val="24"/>
                <w:szCs w:val="24"/>
              </w:rPr>
              <w:t>23,973,220.04</w:t>
            </w:r>
          </w:p>
        </w:tc>
        <w:tc>
          <w:tcPr>
            <w:tcW w:w="1644" w:type="dxa"/>
            <w:vAlign w:val="center"/>
          </w:tcPr>
          <w:p w:rsidR="00F33017" w:rsidRDefault="004769BE">
            <w:pPr>
              <w:jc w:val="right"/>
            </w:pPr>
            <w:r>
              <w:rPr>
                <w:color w:val="000000"/>
                <w:sz w:val="24"/>
                <w:szCs w:val="24"/>
              </w:rPr>
              <w:t>3.03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268,996.75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13,574.80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284,028.96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566,600.51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573,609,894.67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15,737,146.29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123,165,141.14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466,181,899.82</w:t>
            </w:r>
          </w:p>
        </w:tc>
      </w:tr>
    </w:tbl>
    <w:p w:rsidR="00F33017" w:rsidRDefault="004769B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769B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769BE" w:rsidRPr="00EB0134" w:rsidRDefault="004769BE" w:rsidP="004769BE">
      <w:pPr>
        <w:autoSpaceDE w:val="0"/>
        <w:autoSpaceDN w:val="0"/>
        <w:spacing w:before="29" w:line="288" w:lineRule="auto"/>
        <w:jc w:val="left"/>
        <w:rPr>
          <w:color w:val="000000"/>
          <w:sz w:val="24"/>
          <w:szCs w:val="24"/>
        </w:rPr>
      </w:pPr>
      <w:bookmarkStart w:id="0" w:name="_GoBack"/>
      <w:r w:rsidRPr="00EB0134">
        <w:rPr>
          <w:rFonts w:ascii="宋体" w:hAnsi="宋体" w:hint="eastAsia"/>
          <w:color w:val="000000"/>
          <w:sz w:val="24"/>
          <w:szCs w:val="24"/>
        </w:rPr>
        <w:t>本报告期内未发生基金管理人运用固有资金投资本基金的情况。</w:t>
      </w:r>
    </w:p>
    <w:p w:rsidR="004769BE" w:rsidRDefault="004769BE" w:rsidP="00C15CAC">
      <w:pPr>
        <w:autoSpaceDE w:val="0"/>
        <w:autoSpaceDN w:val="0"/>
        <w:adjustRightInd w:val="0"/>
        <w:spacing w:before="29" w:line="288" w:lineRule="auto"/>
        <w:jc w:val="left"/>
        <w:rPr>
          <w:rFonts w:eastAsiaTheme="minorEastAsia"/>
          <w:color w:val="000000"/>
          <w:sz w:val="24"/>
        </w:rPr>
      </w:pPr>
    </w:p>
    <w:p w:rsidR="004769BE" w:rsidRPr="00EB0134" w:rsidRDefault="004769BE" w:rsidP="004769BE">
      <w:pPr>
        <w:spacing w:line="288" w:lineRule="auto"/>
        <w:jc w:val="left"/>
        <w:rPr>
          <w:b/>
          <w:sz w:val="24"/>
        </w:rPr>
      </w:pPr>
      <w:r w:rsidRPr="00EB0134">
        <w:rPr>
          <w:b/>
          <w:sz w:val="24"/>
        </w:rPr>
        <w:t xml:space="preserve">7.2 </w:t>
      </w:r>
      <w:r w:rsidRPr="00EB0134">
        <w:rPr>
          <w:rFonts w:hint="eastAsia"/>
          <w:b/>
          <w:sz w:val="24"/>
        </w:rPr>
        <w:t>基金管理人运用固有资金投资本基金交易明细</w:t>
      </w:r>
    </w:p>
    <w:p w:rsidR="004769BE" w:rsidRPr="00EB0134" w:rsidRDefault="004769BE" w:rsidP="004769BE">
      <w:pPr>
        <w:autoSpaceDE w:val="0"/>
        <w:autoSpaceDN w:val="0"/>
        <w:spacing w:before="29" w:line="288" w:lineRule="auto"/>
        <w:jc w:val="left"/>
        <w:rPr>
          <w:rFonts w:ascii="宋体" w:hAnsi="宋体"/>
          <w:color w:val="000000"/>
          <w:sz w:val="24"/>
          <w:szCs w:val="24"/>
        </w:rPr>
      </w:pPr>
      <w:r w:rsidRPr="00EB0134">
        <w:rPr>
          <w:rFonts w:ascii="宋体" w:hAnsi="宋体" w:hint="eastAsia"/>
          <w:color w:val="000000"/>
          <w:sz w:val="24"/>
          <w:szCs w:val="24"/>
        </w:rPr>
        <w:t>本基金管理人本报告期内未进行本基金的申购、赎回、红利再投等。</w:t>
      </w:r>
    </w:p>
    <w:bookmarkEnd w:id="0"/>
    <w:p w:rsidR="00410630" w:rsidRDefault="00410630" w:rsidP="00C15CAC">
      <w:pPr>
        <w:autoSpaceDE w:val="0"/>
        <w:autoSpaceDN w:val="0"/>
        <w:adjustRightInd w:val="0"/>
        <w:spacing w:before="29" w:line="288" w:lineRule="auto"/>
        <w:jc w:val="left"/>
        <w:rPr>
          <w:rFonts w:eastAsiaTheme="minorEastAsia"/>
          <w:color w:val="000000"/>
          <w:sz w:val="24"/>
        </w:rPr>
      </w:pPr>
    </w:p>
    <w:p w:rsidR="004061AC" w:rsidRPr="00414345"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F33017" w:rsidRDefault="004769BE">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4769B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33017" w:rsidRDefault="004769B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F33017" w:rsidRDefault="004769B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、《交银施罗德先锋股票证券投资基金基金合同》；</w:t>
      </w:r>
    </w:p>
    <w:p w:rsidR="00F33017" w:rsidRDefault="004769B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F33017" w:rsidRDefault="004769BE">
      <w:pPr>
        <w:spacing w:before="29" w:line="288" w:lineRule="auto"/>
        <w:ind w:firstLineChars="200" w:firstLine="480"/>
        <w:rPr>
          <w:color w:val="000000"/>
          <w:sz w:val="24"/>
          <w:szCs w:val="24"/>
        </w:rPr>
      </w:pPr>
      <w:r>
        <w:rPr>
          <w:color w:val="000000"/>
          <w:sz w:val="24"/>
          <w:szCs w:val="24"/>
        </w:rPr>
        <w:lastRenderedPageBreak/>
        <w:t>4</w:t>
      </w:r>
      <w:r>
        <w:rPr>
          <w:color w:val="000000"/>
          <w:sz w:val="24"/>
          <w:szCs w:val="24"/>
        </w:rPr>
        <w:t>、《交银施罗德先锋股票证券投资基金托管协议》；</w:t>
      </w:r>
    </w:p>
    <w:p w:rsidR="00F33017" w:rsidRDefault="004769BE">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F33017" w:rsidRDefault="004769BE">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F33017" w:rsidRDefault="004769BE">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33017" w:rsidRDefault="004769B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468" w:rsidRDefault="00826468" w:rsidP="00876D65">
      <w:r>
        <w:separator/>
      </w:r>
    </w:p>
  </w:endnote>
  <w:endnote w:type="continuationSeparator" w:id="0">
    <w:p w:rsidR="00826468" w:rsidRDefault="0082646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F33017">
      <w:rPr>
        <w:kern w:val="0"/>
        <w:szCs w:val="21"/>
      </w:rPr>
      <w:fldChar w:fldCharType="begin"/>
    </w:r>
    <w:r>
      <w:rPr>
        <w:kern w:val="0"/>
        <w:szCs w:val="21"/>
      </w:rPr>
      <w:instrText xml:space="preserve"> PAGE </w:instrText>
    </w:r>
    <w:r w:rsidR="00F33017">
      <w:rPr>
        <w:kern w:val="0"/>
        <w:szCs w:val="21"/>
      </w:rPr>
      <w:fldChar w:fldCharType="separate"/>
    </w:r>
    <w:r w:rsidR="00EB0134">
      <w:rPr>
        <w:noProof/>
        <w:kern w:val="0"/>
        <w:szCs w:val="21"/>
      </w:rPr>
      <w:t>10</w:t>
    </w:r>
    <w:r w:rsidR="00F33017">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F33017">
      <w:rPr>
        <w:kern w:val="0"/>
        <w:szCs w:val="21"/>
      </w:rPr>
      <w:fldChar w:fldCharType="begin"/>
    </w:r>
    <w:r>
      <w:rPr>
        <w:kern w:val="0"/>
        <w:szCs w:val="21"/>
      </w:rPr>
      <w:instrText xml:space="preserve"> NUMPAGES </w:instrText>
    </w:r>
    <w:r w:rsidR="00F33017">
      <w:rPr>
        <w:kern w:val="0"/>
        <w:szCs w:val="21"/>
      </w:rPr>
      <w:fldChar w:fldCharType="separate"/>
    </w:r>
    <w:r w:rsidR="00EB0134">
      <w:rPr>
        <w:noProof/>
        <w:kern w:val="0"/>
        <w:szCs w:val="21"/>
      </w:rPr>
      <w:t>11</w:t>
    </w:r>
    <w:r w:rsidR="00F33017">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468" w:rsidRDefault="00826468" w:rsidP="00876D65">
      <w:r>
        <w:separator/>
      </w:r>
    </w:p>
  </w:footnote>
  <w:footnote w:type="continuationSeparator" w:id="0">
    <w:p w:rsidR="00826468" w:rsidRDefault="0082646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769BE"/>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6468"/>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0134"/>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017"/>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9D3F92-6D05-42C3-89CC-2AA02FE71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10CF2-49F9-4C6B-8601-E979DFFC3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983</Words>
  <Characters>5606</Characters>
  <Application>Microsoft Office Word</Application>
  <DocSecurity>0</DocSecurity>
  <Lines>46</Lines>
  <Paragraphs>13</Paragraphs>
  <ScaleCrop>false</ScaleCrop>
  <Company/>
  <LinksUpToDate>false</LinksUpToDate>
  <CharactersWithSpaces>6576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560</cp:revision>
  <dcterms:created xsi:type="dcterms:W3CDTF">2012-10-16T06:07:00Z</dcterms:created>
  <dcterms:modified xsi:type="dcterms:W3CDTF">2015-04-16T02:15:00Z</dcterms:modified>
</cp:coreProperties>
</file>