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二〇一五年四月二十一日</w:t>
      </w:r>
    </w:p>
    <w:p w:rsidR="009238DB" w:rsidRPr="007F52FA" w:rsidRDefault="009238DB" w:rsidP="00760627">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60627">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1,353,027,520.66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1,198,263,176.78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154,764,343.88</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60627">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1,982,487.04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-117,097.45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-1,434,254.47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-302,077.45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8A53B8">
            <w:pPr>
              <w:adjustRightInd w:val="0"/>
              <w:spacing w:before="29" w:line="288" w:lineRule="auto"/>
              <w:ind w:left="17"/>
              <w:jc w:val="right"/>
              <w:rPr>
                <w:color w:val="000000"/>
                <w:sz w:val="24"/>
              </w:rPr>
            </w:pPr>
            <w:r w:rsidRPr="007F52FA">
              <w:rPr>
                <w:color w:val="000000"/>
                <w:sz w:val="24"/>
              </w:rPr>
              <w:t>-0.001</w:t>
            </w:r>
            <w:r w:rsidR="008A53B8">
              <w:rPr>
                <w:color w:val="000000"/>
                <w:sz w:val="24"/>
              </w:rPr>
              <w:t>2</w:t>
            </w:r>
            <w:bookmarkStart w:id="0" w:name="_GoBack"/>
            <w:bookmarkEnd w:id="0"/>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1,212,534,198.52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156,736,221.48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1.0127</w:t>
            </w:r>
          </w:p>
        </w:tc>
      </w:tr>
    </w:tbl>
    <w:p w:rsidR="00EE2532" w:rsidRDefault="0088250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E2532">
        <w:trPr>
          <w:jc w:val="center"/>
        </w:trPr>
        <w:tc>
          <w:tcPr>
            <w:tcW w:w="1266" w:type="dxa"/>
            <w:vAlign w:val="center"/>
          </w:tcPr>
          <w:p w:rsidR="00EE2532" w:rsidRDefault="0088250A">
            <w:pPr>
              <w:jc w:val="left"/>
            </w:pPr>
            <w:r>
              <w:rPr>
                <w:color w:val="000000"/>
                <w:sz w:val="24"/>
              </w:rPr>
              <w:t>过去三个月</w:t>
            </w:r>
          </w:p>
        </w:tc>
        <w:tc>
          <w:tcPr>
            <w:tcW w:w="1267" w:type="dxa"/>
            <w:vAlign w:val="center"/>
          </w:tcPr>
          <w:p w:rsidR="00EE2532" w:rsidRDefault="0088250A">
            <w:pPr>
              <w:jc w:val="center"/>
            </w:pPr>
            <w:r>
              <w:rPr>
                <w:color w:val="000000"/>
                <w:sz w:val="24"/>
              </w:rPr>
              <w:t>-0.14%</w:t>
            </w:r>
          </w:p>
        </w:tc>
        <w:tc>
          <w:tcPr>
            <w:tcW w:w="1267" w:type="dxa"/>
            <w:vAlign w:val="center"/>
          </w:tcPr>
          <w:p w:rsidR="00EE2532" w:rsidRDefault="0088250A">
            <w:pPr>
              <w:jc w:val="center"/>
            </w:pPr>
            <w:r>
              <w:rPr>
                <w:color w:val="000000"/>
                <w:sz w:val="24"/>
              </w:rPr>
              <w:t>0.34%</w:t>
            </w:r>
          </w:p>
        </w:tc>
        <w:tc>
          <w:tcPr>
            <w:tcW w:w="1267" w:type="dxa"/>
            <w:vAlign w:val="center"/>
          </w:tcPr>
          <w:p w:rsidR="00EE2532" w:rsidRDefault="0088250A">
            <w:pPr>
              <w:jc w:val="center"/>
            </w:pPr>
            <w:r>
              <w:rPr>
                <w:color w:val="000000"/>
                <w:sz w:val="24"/>
              </w:rPr>
              <w:t>-0.71%</w:t>
            </w:r>
          </w:p>
        </w:tc>
        <w:tc>
          <w:tcPr>
            <w:tcW w:w="1267" w:type="dxa"/>
            <w:vAlign w:val="center"/>
          </w:tcPr>
          <w:p w:rsidR="00EE2532" w:rsidRDefault="0088250A">
            <w:pPr>
              <w:jc w:val="center"/>
            </w:pPr>
            <w:r>
              <w:rPr>
                <w:color w:val="000000"/>
                <w:sz w:val="24"/>
              </w:rPr>
              <w:t>0.10%</w:t>
            </w:r>
          </w:p>
        </w:tc>
        <w:tc>
          <w:tcPr>
            <w:tcW w:w="1267" w:type="dxa"/>
            <w:vAlign w:val="center"/>
          </w:tcPr>
          <w:p w:rsidR="00EE2532" w:rsidRDefault="0088250A">
            <w:pPr>
              <w:jc w:val="center"/>
            </w:pPr>
            <w:r>
              <w:rPr>
                <w:color w:val="000000"/>
                <w:sz w:val="24"/>
              </w:rPr>
              <w:t>0.57%</w:t>
            </w:r>
          </w:p>
        </w:tc>
        <w:tc>
          <w:tcPr>
            <w:tcW w:w="1267" w:type="dxa"/>
            <w:vAlign w:val="center"/>
          </w:tcPr>
          <w:p w:rsidR="00EE2532" w:rsidRDefault="0088250A">
            <w:pPr>
              <w:jc w:val="center"/>
            </w:pPr>
            <w:r>
              <w:rPr>
                <w:color w:val="000000"/>
                <w:sz w:val="24"/>
              </w:rPr>
              <w:t>0.24%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E2532">
        <w:trPr>
          <w:jc w:val="center"/>
        </w:trPr>
        <w:tc>
          <w:tcPr>
            <w:tcW w:w="1266" w:type="dxa"/>
            <w:vAlign w:val="center"/>
          </w:tcPr>
          <w:p w:rsidR="00EE2532" w:rsidRDefault="0088250A">
            <w:pPr>
              <w:jc w:val="left"/>
            </w:pPr>
            <w:r>
              <w:rPr>
                <w:color w:val="000000"/>
                <w:sz w:val="24"/>
              </w:rPr>
              <w:t>过去三个月</w:t>
            </w:r>
          </w:p>
        </w:tc>
        <w:tc>
          <w:tcPr>
            <w:tcW w:w="1267" w:type="dxa"/>
            <w:vAlign w:val="center"/>
          </w:tcPr>
          <w:p w:rsidR="00EE2532" w:rsidRDefault="0088250A">
            <w:pPr>
              <w:jc w:val="center"/>
            </w:pPr>
            <w:r>
              <w:rPr>
                <w:color w:val="000000"/>
                <w:sz w:val="24"/>
              </w:rPr>
              <w:t>-0.24%</w:t>
            </w:r>
          </w:p>
        </w:tc>
        <w:tc>
          <w:tcPr>
            <w:tcW w:w="1267" w:type="dxa"/>
            <w:vAlign w:val="center"/>
          </w:tcPr>
          <w:p w:rsidR="00EE2532" w:rsidRDefault="0088250A">
            <w:pPr>
              <w:jc w:val="center"/>
            </w:pPr>
            <w:r>
              <w:rPr>
                <w:color w:val="000000"/>
                <w:sz w:val="24"/>
              </w:rPr>
              <w:t>0.34%</w:t>
            </w:r>
          </w:p>
        </w:tc>
        <w:tc>
          <w:tcPr>
            <w:tcW w:w="1267" w:type="dxa"/>
            <w:vAlign w:val="center"/>
          </w:tcPr>
          <w:p w:rsidR="00EE2532" w:rsidRDefault="0088250A">
            <w:pPr>
              <w:jc w:val="center"/>
            </w:pPr>
            <w:r>
              <w:rPr>
                <w:color w:val="000000"/>
                <w:sz w:val="24"/>
              </w:rPr>
              <w:t>-0.71%</w:t>
            </w:r>
          </w:p>
        </w:tc>
        <w:tc>
          <w:tcPr>
            <w:tcW w:w="1267" w:type="dxa"/>
            <w:vAlign w:val="center"/>
          </w:tcPr>
          <w:p w:rsidR="00EE2532" w:rsidRDefault="0088250A">
            <w:pPr>
              <w:jc w:val="center"/>
            </w:pPr>
            <w:r>
              <w:rPr>
                <w:color w:val="000000"/>
                <w:sz w:val="24"/>
              </w:rPr>
              <w:t>0.10%</w:t>
            </w:r>
          </w:p>
        </w:tc>
        <w:tc>
          <w:tcPr>
            <w:tcW w:w="1267" w:type="dxa"/>
            <w:vAlign w:val="center"/>
          </w:tcPr>
          <w:p w:rsidR="00EE2532" w:rsidRDefault="0088250A">
            <w:pPr>
              <w:jc w:val="center"/>
            </w:pPr>
            <w:r>
              <w:rPr>
                <w:color w:val="000000"/>
                <w:sz w:val="24"/>
              </w:rPr>
              <w:t>0.47%</w:t>
            </w:r>
          </w:p>
        </w:tc>
        <w:tc>
          <w:tcPr>
            <w:tcW w:w="1267" w:type="dxa"/>
            <w:vAlign w:val="center"/>
          </w:tcPr>
          <w:p w:rsidR="00EE2532" w:rsidRDefault="0088250A">
            <w:pPr>
              <w:jc w:val="center"/>
            </w:pPr>
            <w:r>
              <w:rPr>
                <w:color w:val="000000"/>
                <w:sz w:val="24"/>
              </w:rPr>
              <w:t>0.24%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14E2F">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14E2F">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60627">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E2532">
        <w:trPr>
          <w:jc w:val="center"/>
        </w:trPr>
        <w:tc>
          <w:tcPr>
            <w:tcW w:w="946" w:type="dxa"/>
            <w:vAlign w:val="center"/>
          </w:tcPr>
          <w:p w:rsidR="00EE2532" w:rsidRDefault="0088250A">
            <w:pPr>
              <w:jc w:val="center"/>
            </w:pPr>
            <w:r>
              <w:rPr>
                <w:color w:val="000000"/>
                <w:sz w:val="24"/>
              </w:rPr>
              <w:t>林洪钧</w:t>
            </w:r>
          </w:p>
        </w:tc>
        <w:tc>
          <w:tcPr>
            <w:tcW w:w="924" w:type="dxa"/>
            <w:vAlign w:val="center"/>
          </w:tcPr>
          <w:p w:rsidR="00EE2532" w:rsidRDefault="0088250A">
            <w:pPr>
              <w:jc w:val="center"/>
            </w:pPr>
            <w:r>
              <w:rPr>
                <w:color w:val="000000"/>
                <w:sz w:val="24"/>
              </w:rPr>
              <w:t>本基金、交银货币、交银信用添利债券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202" w:type="dxa"/>
            <w:vAlign w:val="center"/>
          </w:tcPr>
          <w:p w:rsidR="00EE2532" w:rsidRDefault="0088250A">
            <w:pPr>
              <w:jc w:val="center"/>
            </w:pPr>
            <w:r>
              <w:rPr>
                <w:color w:val="000000"/>
                <w:sz w:val="24"/>
              </w:rPr>
              <w:t>2014-08-04</w:t>
            </w:r>
          </w:p>
        </w:tc>
        <w:tc>
          <w:tcPr>
            <w:tcW w:w="1300" w:type="dxa"/>
            <w:vAlign w:val="center"/>
          </w:tcPr>
          <w:p w:rsidR="00EE2532" w:rsidRDefault="0088250A">
            <w:pPr>
              <w:jc w:val="center"/>
            </w:pPr>
            <w:r>
              <w:rPr>
                <w:color w:val="000000"/>
                <w:sz w:val="24"/>
              </w:rPr>
              <w:t>-</w:t>
            </w:r>
          </w:p>
        </w:tc>
        <w:tc>
          <w:tcPr>
            <w:tcW w:w="1245" w:type="dxa"/>
            <w:vAlign w:val="center"/>
          </w:tcPr>
          <w:p w:rsidR="00EE2532" w:rsidRDefault="0088250A">
            <w:pPr>
              <w:jc w:val="center"/>
            </w:pPr>
            <w:r>
              <w:rPr>
                <w:color w:val="000000"/>
                <w:sz w:val="24"/>
              </w:rPr>
              <w:t>11</w:t>
            </w:r>
            <w:r>
              <w:rPr>
                <w:color w:val="000000"/>
                <w:sz w:val="24"/>
              </w:rPr>
              <w:t>年</w:t>
            </w:r>
          </w:p>
        </w:tc>
        <w:tc>
          <w:tcPr>
            <w:tcW w:w="3251" w:type="dxa"/>
            <w:vAlign w:val="center"/>
          </w:tcPr>
          <w:p w:rsidR="00EE2532" w:rsidRDefault="0088250A">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E2532" w:rsidRDefault="0088250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E2532" w:rsidRDefault="0088250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E2532" w:rsidRDefault="0088250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EE2532" w:rsidRDefault="0088250A">
      <w:pPr>
        <w:spacing w:before="29" w:line="288" w:lineRule="auto"/>
        <w:ind w:firstLineChars="200" w:firstLine="480"/>
        <w:rPr>
          <w:color w:val="000000"/>
          <w:sz w:val="24"/>
        </w:rPr>
      </w:pPr>
      <w:r>
        <w:rPr>
          <w:color w:val="000000"/>
          <w:sz w:val="24"/>
        </w:rPr>
        <w:t>本报告期内，经济增长动能呈现进一步疲弱态势。</w:t>
      </w:r>
      <w:r>
        <w:rPr>
          <w:color w:val="000000"/>
          <w:sz w:val="24"/>
        </w:rPr>
        <w:t>1</w:t>
      </w:r>
      <w:r>
        <w:rPr>
          <w:color w:val="000000"/>
          <w:sz w:val="24"/>
        </w:rPr>
        <w:t>、</w:t>
      </w:r>
      <w:r>
        <w:rPr>
          <w:color w:val="000000"/>
          <w:sz w:val="24"/>
        </w:rPr>
        <w:t>2</w:t>
      </w:r>
      <w:r>
        <w:rPr>
          <w:color w:val="000000"/>
          <w:sz w:val="24"/>
        </w:rPr>
        <w:t>月工业增加值急速下滑至</w:t>
      </w:r>
      <w:r>
        <w:rPr>
          <w:color w:val="000000"/>
          <w:sz w:val="24"/>
        </w:rPr>
        <w:t>6.8</w:t>
      </w:r>
      <w:r>
        <w:rPr>
          <w:color w:val="000000"/>
          <w:sz w:val="24"/>
        </w:rPr>
        <w:t>，</w:t>
      </w:r>
      <w:r>
        <w:rPr>
          <w:color w:val="000000"/>
          <w:sz w:val="24"/>
        </w:rPr>
        <w:t>PMI</w:t>
      </w:r>
      <w:r>
        <w:rPr>
          <w:color w:val="000000"/>
          <w:sz w:val="24"/>
        </w:rPr>
        <w:t>在</w:t>
      </w:r>
      <w:r>
        <w:rPr>
          <w:color w:val="000000"/>
          <w:sz w:val="24"/>
        </w:rPr>
        <w:t>1</w:t>
      </w:r>
      <w:r>
        <w:rPr>
          <w:color w:val="000000"/>
          <w:sz w:val="24"/>
        </w:rPr>
        <w:t>、</w:t>
      </w:r>
      <w:r>
        <w:rPr>
          <w:color w:val="000000"/>
          <w:sz w:val="24"/>
        </w:rPr>
        <w:t>2</w:t>
      </w:r>
      <w:r>
        <w:rPr>
          <w:color w:val="000000"/>
          <w:sz w:val="24"/>
        </w:rPr>
        <w:t>月份跌破</w:t>
      </w:r>
      <w:r>
        <w:rPr>
          <w:color w:val="000000"/>
          <w:sz w:val="24"/>
        </w:rPr>
        <w:t>50</w:t>
      </w:r>
      <w:r>
        <w:rPr>
          <w:color w:val="000000"/>
          <w:sz w:val="24"/>
        </w:rPr>
        <w:t>枯荣线，分别为</w:t>
      </w:r>
      <w:r>
        <w:rPr>
          <w:color w:val="000000"/>
          <w:sz w:val="24"/>
        </w:rPr>
        <w:t>49.8</w:t>
      </w:r>
      <w:r>
        <w:rPr>
          <w:color w:val="000000"/>
          <w:sz w:val="24"/>
        </w:rPr>
        <w:t>、</w:t>
      </w:r>
      <w:r>
        <w:rPr>
          <w:color w:val="000000"/>
          <w:sz w:val="24"/>
        </w:rPr>
        <w:t>49.9</w:t>
      </w:r>
      <w:r>
        <w:rPr>
          <w:color w:val="000000"/>
          <w:sz w:val="24"/>
        </w:rPr>
        <w:t>，</w:t>
      </w:r>
      <w:r>
        <w:rPr>
          <w:color w:val="000000"/>
          <w:sz w:val="24"/>
        </w:rPr>
        <w:t>3</w:t>
      </w:r>
      <w:r>
        <w:rPr>
          <w:color w:val="000000"/>
          <w:sz w:val="24"/>
        </w:rPr>
        <w:t>月份中采</w:t>
      </w:r>
      <w:r>
        <w:rPr>
          <w:color w:val="000000"/>
          <w:sz w:val="24"/>
        </w:rPr>
        <w:t>PMI</w:t>
      </w:r>
      <w:r>
        <w:rPr>
          <w:color w:val="000000"/>
          <w:sz w:val="24"/>
        </w:rPr>
        <w:t>稍有反弹至</w:t>
      </w:r>
      <w:r>
        <w:rPr>
          <w:color w:val="000000"/>
          <w:sz w:val="24"/>
        </w:rPr>
        <w:t>50.1</w:t>
      </w:r>
      <w:r>
        <w:rPr>
          <w:color w:val="000000"/>
          <w:sz w:val="24"/>
        </w:rPr>
        <w:t>；从金融数据上看，</w:t>
      </w:r>
      <w:r>
        <w:rPr>
          <w:color w:val="000000"/>
          <w:sz w:val="24"/>
        </w:rPr>
        <w:t>2</w:t>
      </w:r>
      <w:r>
        <w:rPr>
          <w:color w:val="000000"/>
          <w:sz w:val="24"/>
        </w:rPr>
        <w:t>月新增信贷</w:t>
      </w:r>
      <w:r>
        <w:rPr>
          <w:color w:val="000000"/>
          <w:sz w:val="24"/>
        </w:rPr>
        <w:t>11437</w:t>
      </w:r>
      <w:r>
        <w:rPr>
          <w:color w:val="000000"/>
          <w:sz w:val="24"/>
        </w:rPr>
        <w:t>亿，社会融资规模</w:t>
      </w:r>
      <w:r>
        <w:rPr>
          <w:color w:val="000000"/>
          <w:sz w:val="24"/>
        </w:rPr>
        <w:t>13532</w:t>
      </w:r>
      <w:r>
        <w:rPr>
          <w:color w:val="000000"/>
          <w:sz w:val="24"/>
        </w:rPr>
        <w:t>亿，从结构上看，居民中长期贷款较去年同期略有上升；经济增压压力在一季度逐渐增大，在此宏观背景下，货币政策及财政政策均采取了一定的对冲措施。货币政策层面，本报告期内央行降低存款准备金率</w:t>
      </w:r>
      <w:r>
        <w:rPr>
          <w:color w:val="000000"/>
          <w:sz w:val="24"/>
        </w:rPr>
        <w:t>50BP</w:t>
      </w:r>
      <w:r>
        <w:rPr>
          <w:color w:val="000000"/>
          <w:sz w:val="24"/>
        </w:rPr>
        <w:t>至</w:t>
      </w:r>
      <w:r>
        <w:rPr>
          <w:color w:val="000000"/>
          <w:sz w:val="24"/>
        </w:rPr>
        <w:t>19.5%</w:t>
      </w:r>
      <w:r>
        <w:rPr>
          <w:color w:val="000000"/>
          <w:sz w:val="24"/>
        </w:rPr>
        <w:t>，并在</w:t>
      </w:r>
      <w:r>
        <w:rPr>
          <w:color w:val="000000"/>
          <w:sz w:val="24"/>
        </w:rPr>
        <w:t>3</w:t>
      </w:r>
      <w:r>
        <w:rPr>
          <w:color w:val="000000"/>
          <w:sz w:val="24"/>
        </w:rPr>
        <w:t>月份降息</w:t>
      </w:r>
      <w:r>
        <w:rPr>
          <w:color w:val="000000"/>
          <w:sz w:val="24"/>
        </w:rPr>
        <w:t>25BP</w:t>
      </w:r>
      <w:r>
        <w:rPr>
          <w:color w:val="000000"/>
          <w:sz w:val="24"/>
        </w:rPr>
        <w:t>至</w:t>
      </w:r>
      <w:r>
        <w:rPr>
          <w:color w:val="000000"/>
          <w:sz w:val="24"/>
        </w:rPr>
        <w:t>2.5%</w:t>
      </w:r>
      <w:r>
        <w:rPr>
          <w:color w:val="000000"/>
          <w:sz w:val="24"/>
        </w:rPr>
        <w:t>。其他政策层面，</w:t>
      </w:r>
      <w:r>
        <w:rPr>
          <w:color w:val="000000"/>
          <w:sz w:val="24"/>
        </w:rPr>
        <w:t>3</w:t>
      </w:r>
      <w:r>
        <w:rPr>
          <w:color w:val="000000"/>
          <w:sz w:val="24"/>
        </w:rPr>
        <w:t>月</w:t>
      </w:r>
      <w:r>
        <w:rPr>
          <w:color w:val="000000"/>
          <w:sz w:val="24"/>
        </w:rPr>
        <w:t>30</w:t>
      </w:r>
      <w:r>
        <w:rPr>
          <w:color w:val="000000"/>
          <w:sz w:val="24"/>
        </w:rPr>
        <w:t>日房地产新政也将对稳增长起到一定作用。而通胀在一季度较为稳定，</w:t>
      </w:r>
      <w:r>
        <w:rPr>
          <w:color w:val="000000"/>
          <w:sz w:val="24"/>
        </w:rPr>
        <w:t>CPI 1</w:t>
      </w:r>
      <w:r>
        <w:rPr>
          <w:color w:val="000000"/>
          <w:sz w:val="24"/>
        </w:rPr>
        <w:t>月份</w:t>
      </w:r>
      <w:r>
        <w:rPr>
          <w:color w:val="000000"/>
          <w:sz w:val="24"/>
        </w:rPr>
        <w:t>0.76%</w:t>
      </w:r>
      <w:r>
        <w:rPr>
          <w:color w:val="000000"/>
          <w:sz w:val="24"/>
        </w:rPr>
        <w:t>，</w:t>
      </w:r>
      <w:r>
        <w:rPr>
          <w:color w:val="000000"/>
          <w:sz w:val="24"/>
        </w:rPr>
        <w:t>2</w:t>
      </w:r>
      <w:r>
        <w:rPr>
          <w:color w:val="000000"/>
          <w:sz w:val="24"/>
        </w:rPr>
        <w:t>月受春节等季节性因素影响上升至</w:t>
      </w:r>
      <w:r>
        <w:rPr>
          <w:color w:val="000000"/>
          <w:sz w:val="24"/>
        </w:rPr>
        <w:t>1.43%</w:t>
      </w:r>
      <w:r>
        <w:rPr>
          <w:color w:val="000000"/>
          <w:sz w:val="24"/>
        </w:rPr>
        <w:t>，但仍处于较低水平。较低的通胀也给后续的货币政策提供了较好的基础。</w:t>
      </w:r>
    </w:p>
    <w:p w:rsidR="00EE2532" w:rsidRDefault="0088250A">
      <w:pPr>
        <w:spacing w:before="29" w:line="288" w:lineRule="auto"/>
        <w:ind w:firstLineChars="200" w:firstLine="480"/>
        <w:rPr>
          <w:color w:val="000000"/>
          <w:sz w:val="24"/>
        </w:rPr>
      </w:pPr>
      <w:r>
        <w:rPr>
          <w:color w:val="000000"/>
          <w:sz w:val="24"/>
        </w:rPr>
        <w:t>本报告期内，债券市场受权益市场的扰动尤为明显，跷跷板效应在一季度显示地较为明显。债券市场在一季度呈现了完全倒</w:t>
      </w:r>
      <w:r>
        <w:rPr>
          <w:color w:val="000000"/>
          <w:sz w:val="24"/>
        </w:rPr>
        <w:t>V</w:t>
      </w:r>
      <w:r>
        <w:rPr>
          <w:color w:val="000000"/>
          <w:sz w:val="24"/>
        </w:rPr>
        <w:t>字形走势。在</w:t>
      </w:r>
      <w:r>
        <w:rPr>
          <w:color w:val="000000"/>
          <w:sz w:val="24"/>
        </w:rPr>
        <w:t>1</w:t>
      </w:r>
      <w:r>
        <w:rPr>
          <w:color w:val="000000"/>
          <w:sz w:val="24"/>
        </w:rPr>
        <w:t>、</w:t>
      </w:r>
      <w:r>
        <w:rPr>
          <w:color w:val="000000"/>
          <w:sz w:val="24"/>
        </w:rPr>
        <w:t>2</w:t>
      </w:r>
      <w:r>
        <w:rPr>
          <w:color w:val="000000"/>
          <w:sz w:val="24"/>
        </w:rPr>
        <w:t>月份，由于经济数据表现不佳，市场对未来经济的担忧，以及对货币政策的预期，使债券收益率在</w:t>
      </w:r>
      <w:r>
        <w:rPr>
          <w:color w:val="000000"/>
          <w:sz w:val="24"/>
        </w:rPr>
        <w:t>1</w:t>
      </w:r>
      <w:r>
        <w:rPr>
          <w:color w:val="000000"/>
          <w:sz w:val="24"/>
        </w:rPr>
        <w:t>、</w:t>
      </w:r>
      <w:r>
        <w:rPr>
          <w:color w:val="000000"/>
          <w:sz w:val="24"/>
        </w:rPr>
        <w:t>2</w:t>
      </w:r>
      <w:r>
        <w:rPr>
          <w:color w:val="000000"/>
          <w:sz w:val="24"/>
        </w:rPr>
        <w:t>月份大幅下行。</w:t>
      </w:r>
      <w:r>
        <w:rPr>
          <w:color w:val="000000"/>
          <w:sz w:val="24"/>
        </w:rPr>
        <w:t>2015</w:t>
      </w:r>
      <w:r>
        <w:rPr>
          <w:color w:val="000000"/>
          <w:sz w:val="24"/>
        </w:rPr>
        <w:t>年第一期</w:t>
      </w:r>
      <w:r>
        <w:rPr>
          <w:color w:val="000000"/>
          <w:sz w:val="24"/>
        </w:rPr>
        <w:t>10</w:t>
      </w:r>
      <w:r>
        <w:rPr>
          <w:color w:val="000000"/>
          <w:sz w:val="24"/>
        </w:rPr>
        <w:t>年国开债（</w:t>
      </w:r>
      <w:r>
        <w:rPr>
          <w:color w:val="000000"/>
          <w:sz w:val="24"/>
        </w:rPr>
        <w:t>150205</w:t>
      </w:r>
      <w:r>
        <w:rPr>
          <w:color w:val="000000"/>
          <w:sz w:val="24"/>
        </w:rPr>
        <w:t>）在</w:t>
      </w:r>
      <w:r>
        <w:rPr>
          <w:color w:val="000000"/>
          <w:sz w:val="24"/>
        </w:rPr>
        <w:t>2</w:t>
      </w:r>
      <w:r>
        <w:rPr>
          <w:color w:val="000000"/>
          <w:sz w:val="24"/>
        </w:rPr>
        <w:t>月初发行票面为</w:t>
      </w:r>
      <w:r>
        <w:rPr>
          <w:color w:val="000000"/>
          <w:sz w:val="24"/>
        </w:rPr>
        <w:t>3.81%</w:t>
      </w:r>
      <w:r>
        <w:rPr>
          <w:color w:val="000000"/>
          <w:sz w:val="24"/>
        </w:rPr>
        <w:t>，在</w:t>
      </w:r>
      <w:r>
        <w:rPr>
          <w:color w:val="000000"/>
          <w:sz w:val="24"/>
        </w:rPr>
        <w:t>2</w:t>
      </w:r>
      <w:r>
        <w:rPr>
          <w:color w:val="000000"/>
          <w:sz w:val="24"/>
        </w:rPr>
        <w:t>月中上旬收益一度下行至</w:t>
      </w:r>
      <w:r>
        <w:rPr>
          <w:color w:val="000000"/>
          <w:sz w:val="24"/>
        </w:rPr>
        <w:t>3.65%</w:t>
      </w:r>
      <w:r>
        <w:rPr>
          <w:color w:val="000000"/>
          <w:sz w:val="24"/>
        </w:rPr>
        <w:t>附近，但在</w:t>
      </w:r>
      <w:r>
        <w:rPr>
          <w:color w:val="000000"/>
          <w:sz w:val="24"/>
        </w:rPr>
        <w:t>2</w:t>
      </w:r>
      <w:r>
        <w:rPr>
          <w:color w:val="000000"/>
          <w:sz w:val="24"/>
        </w:rPr>
        <w:t>月下旬降准之后，收益率开始逐步回升，上行至</w:t>
      </w:r>
      <w:r>
        <w:rPr>
          <w:color w:val="000000"/>
          <w:sz w:val="24"/>
        </w:rPr>
        <w:t>4.2%</w:t>
      </w:r>
      <w:r>
        <w:rPr>
          <w:color w:val="000000"/>
          <w:sz w:val="24"/>
        </w:rPr>
        <w:t>左右。</w:t>
      </w:r>
      <w:r>
        <w:rPr>
          <w:color w:val="000000"/>
          <w:sz w:val="24"/>
        </w:rPr>
        <w:t>2</w:t>
      </w:r>
      <w:r>
        <w:rPr>
          <w:color w:val="000000"/>
          <w:sz w:val="24"/>
        </w:rPr>
        <w:t>月下旬至整个</w:t>
      </w:r>
      <w:r>
        <w:rPr>
          <w:color w:val="000000"/>
          <w:sz w:val="24"/>
        </w:rPr>
        <w:t>3</w:t>
      </w:r>
      <w:r>
        <w:rPr>
          <w:color w:val="000000"/>
          <w:sz w:val="24"/>
        </w:rPr>
        <w:t>月份，由于</w:t>
      </w:r>
      <w:r>
        <w:rPr>
          <w:color w:val="000000"/>
          <w:sz w:val="24"/>
        </w:rPr>
        <w:t>IPO</w:t>
      </w:r>
      <w:r>
        <w:rPr>
          <w:color w:val="000000"/>
          <w:sz w:val="24"/>
        </w:rPr>
        <w:t>新股回报较高以及权益资产的良好表现，债券市场承受较大的压力，机构在资产配置时，债券资产的配置也受到一定挤压，债市的需求端受到一定的影响；除了需求受压之外，供给端是造成</w:t>
      </w:r>
      <w:r>
        <w:rPr>
          <w:color w:val="000000"/>
          <w:sz w:val="24"/>
        </w:rPr>
        <w:t>3</w:t>
      </w:r>
      <w:r>
        <w:rPr>
          <w:color w:val="000000"/>
          <w:sz w:val="24"/>
        </w:rPr>
        <w:t>月债市承压的最主要原因。政府债务置换将增加一万亿的利率产品，市场担心完全会由商业银行自行承担。从央行货币政策的连贯性上看，目前时点，大幅宽松的可能性仍较低，因此利率产品供给增加给债券市场增加了许多不确定因素，债券收益率也因此大幅上升。本报告期内，中债总财富指数上涨</w:t>
      </w:r>
      <w:r>
        <w:rPr>
          <w:color w:val="000000"/>
          <w:sz w:val="24"/>
        </w:rPr>
        <w:t>0.32%</w:t>
      </w:r>
      <w:r>
        <w:rPr>
          <w:color w:val="000000"/>
          <w:sz w:val="24"/>
        </w:rPr>
        <w:t>，绝大部分收益发生在</w:t>
      </w:r>
      <w:r>
        <w:rPr>
          <w:color w:val="000000"/>
          <w:sz w:val="24"/>
        </w:rPr>
        <w:t>1</w:t>
      </w:r>
      <w:r>
        <w:rPr>
          <w:color w:val="000000"/>
          <w:sz w:val="24"/>
        </w:rPr>
        <w:t>月份及</w:t>
      </w:r>
      <w:r>
        <w:rPr>
          <w:color w:val="000000"/>
          <w:sz w:val="24"/>
        </w:rPr>
        <w:t>2</w:t>
      </w:r>
      <w:r>
        <w:rPr>
          <w:color w:val="000000"/>
          <w:sz w:val="24"/>
        </w:rPr>
        <w:t>月上半月。</w:t>
      </w:r>
    </w:p>
    <w:p w:rsidR="00EE2532" w:rsidRDefault="0088250A">
      <w:pPr>
        <w:spacing w:before="29" w:line="288" w:lineRule="auto"/>
        <w:ind w:firstLineChars="200" w:firstLine="480"/>
        <w:rPr>
          <w:color w:val="000000"/>
          <w:sz w:val="24"/>
        </w:rPr>
      </w:pPr>
      <w:r>
        <w:rPr>
          <w:color w:val="000000"/>
          <w:sz w:val="24"/>
        </w:rPr>
        <w:t>本基金本报告期内保持中性的债券仓位，净值表现不甚理想的主要原因是一季度可转债持仓择时上还有待提升，在一月下旬大盘转债调整估值时，基金净值受到了一定程度影响。</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对债券市场而言，权益市场以及对供给的担忧是短期压制债券市场的最大两个因素；但通胀处于较低水平以及经济增长仍然疲弱对债券市场都有较强支撑，从这个层面上看，我们对货币政策仍可以有一定期待。总体而言，我们对二季度债券市场仍持中性偏谨慎观点，以十年期国开债为代表的长端收益率预计在</w:t>
      </w:r>
      <w:r w:rsidRPr="007F52FA">
        <w:rPr>
          <w:color w:val="000000"/>
          <w:sz w:val="24"/>
        </w:rPr>
        <w:t>3.9—4.4</w:t>
      </w:r>
      <w:r w:rsidRPr="007F52FA">
        <w:rPr>
          <w:color w:val="000000"/>
          <w:sz w:val="24"/>
        </w:rPr>
        <w:t>之间宽幅震荡，各种因素的互相干扰或将导致二季度债券收益率波动加大，同时也会增加债券市场的交易性机会。组合管理方面，本组合仍保持较短的久期，但同时将增加长期利率产品的交易性操作；另一方面，可转债等权益性资产持仓有可能仍为组合在二季度的收益的主要来源。</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1.0119</w:t>
      </w:r>
      <w:r w:rsidRPr="007F52FA">
        <w:rPr>
          <w:color w:val="000000"/>
          <w:sz w:val="24"/>
        </w:rPr>
        <w:t>元，本报告期份额净值增长率为</w:t>
      </w:r>
      <w:r w:rsidRPr="007F52FA">
        <w:rPr>
          <w:color w:val="000000"/>
          <w:sz w:val="24"/>
        </w:rPr>
        <w:t>-0.14%</w:t>
      </w:r>
      <w:r w:rsidRPr="007F52FA">
        <w:rPr>
          <w:color w:val="000000"/>
          <w:sz w:val="24"/>
        </w:rPr>
        <w:t>，同期业绩比较基准增长率为</w:t>
      </w:r>
      <w:r w:rsidRPr="007F52FA">
        <w:rPr>
          <w:color w:val="000000"/>
          <w:sz w:val="24"/>
        </w:rPr>
        <w:t>-0.71%</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1.0127</w:t>
      </w:r>
      <w:r w:rsidRPr="007F52FA">
        <w:rPr>
          <w:color w:val="000000"/>
          <w:sz w:val="24"/>
        </w:rPr>
        <w:t>元，本报告期份额净值增长率为</w:t>
      </w:r>
      <w:r w:rsidRPr="007F52FA">
        <w:rPr>
          <w:color w:val="000000"/>
          <w:sz w:val="24"/>
        </w:rPr>
        <w:t>-0.24%</w:t>
      </w:r>
      <w:r w:rsidRPr="007F52FA">
        <w:rPr>
          <w:color w:val="000000"/>
          <w:sz w:val="24"/>
        </w:rPr>
        <w:t>，同期业绩比较基准增长率为</w:t>
      </w:r>
      <w:r w:rsidRPr="007F52FA">
        <w:rPr>
          <w:color w:val="000000"/>
          <w:sz w:val="24"/>
        </w:rPr>
        <w:t>-0.71%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60627">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2,130,101,685.90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2,130,101,685.90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93,288,693.29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59,448,824.39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2,282,839,203.58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301,203,000.00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301,203,000.00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1,067,018,388.70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77.93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100,504,000.00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551,589,000.00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40.28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109,787,297.20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2,130,101,685.90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155.56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E2532">
        <w:trPr>
          <w:jc w:val="center"/>
        </w:trPr>
        <w:tc>
          <w:tcPr>
            <w:tcW w:w="1075" w:type="dxa"/>
            <w:vAlign w:val="center"/>
          </w:tcPr>
          <w:p w:rsidR="00EE2532" w:rsidRDefault="0088250A">
            <w:pPr>
              <w:jc w:val="center"/>
            </w:pPr>
            <w:r>
              <w:rPr>
                <w:color w:val="000000"/>
                <w:sz w:val="24"/>
              </w:rPr>
              <w:t>1</w:t>
            </w:r>
          </w:p>
        </w:tc>
        <w:tc>
          <w:tcPr>
            <w:tcW w:w="1533" w:type="dxa"/>
            <w:vAlign w:val="center"/>
          </w:tcPr>
          <w:p w:rsidR="00EE2532" w:rsidRDefault="0088250A">
            <w:pPr>
              <w:jc w:val="center"/>
            </w:pPr>
            <w:r>
              <w:rPr>
                <w:color w:val="000000"/>
                <w:sz w:val="24"/>
              </w:rPr>
              <w:t>140224</w:t>
            </w:r>
          </w:p>
        </w:tc>
        <w:tc>
          <w:tcPr>
            <w:tcW w:w="1533" w:type="dxa"/>
            <w:vAlign w:val="center"/>
          </w:tcPr>
          <w:p w:rsidR="00EE2532" w:rsidRDefault="0088250A">
            <w:pPr>
              <w:jc w:val="center"/>
            </w:pPr>
            <w:r>
              <w:rPr>
                <w:color w:val="000000"/>
                <w:sz w:val="24"/>
              </w:rPr>
              <w:t>14</w:t>
            </w:r>
            <w:r>
              <w:rPr>
                <w:color w:val="000000"/>
                <w:sz w:val="24"/>
              </w:rPr>
              <w:t>国开</w:t>
            </w:r>
            <w:r>
              <w:rPr>
                <w:color w:val="000000"/>
                <w:sz w:val="24"/>
              </w:rPr>
              <w:t>24</w:t>
            </w:r>
          </w:p>
        </w:tc>
        <w:tc>
          <w:tcPr>
            <w:tcW w:w="1394" w:type="dxa"/>
            <w:vAlign w:val="center"/>
          </w:tcPr>
          <w:p w:rsidR="00EE2532" w:rsidRDefault="0088250A">
            <w:pPr>
              <w:jc w:val="right"/>
            </w:pPr>
            <w:r>
              <w:rPr>
                <w:color w:val="000000"/>
                <w:sz w:val="24"/>
              </w:rPr>
              <w:t>800,000</w:t>
            </w:r>
          </w:p>
        </w:tc>
        <w:tc>
          <w:tcPr>
            <w:tcW w:w="1944" w:type="dxa"/>
            <w:vAlign w:val="center"/>
          </w:tcPr>
          <w:p w:rsidR="00EE2532" w:rsidRDefault="0088250A">
            <w:pPr>
              <w:jc w:val="right"/>
            </w:pPr>
            <w:r>
              <w:rPr>
                <w:color w:val="000000"/>
                <w:sz w:val="24"/>
              </w:rPr>
              <w:t>81,176,000.00</w:t>
            </w:r>
          </w:p>
        </w:tc>
        <w:tc>
          <w:tcPr>
            <w:tcW w:w="1389" w:type="dxa"/>
            <w:vAlign w:val="center"/>
          </w:tcPr>
          <w:p w:rsidR="00EE2532" w:rsidRDefault="0088250A">
            <w:pPr>
              <w:jc w:val="right"/>
            </w:pPr>
            <w:r>
              <w:rPr>
                <w:color w:val="000000"/>
                <w:sz w:val="24"/>
              </w:rPr>
              <w:t>5.93</w:t>
            </w:r>
          </w:p>
        </w:tc>
      </w:tr>
      <w:tr w:rsidR="00EE2532">
        <w:trPr>
          <w:jc w:val="center"/>
        </w:trPr>
        <w:tc>
          <w:tcPr>
            <w:tcW w:w="1075" w:type="dxa"/>
            <w:vAlign w:val="center"/>
          </w:tcPr>
          <w:p w:rsidR="00EE2532" w:rsidRDefault="0088250A">
            <w:pPr>
              <w:jc w:val="center"/>
            </w:pPr>
            <w:r>
              <w:rPr>
                <w:color w:val="000000"/>
                <w:sz w:val="24"/>
              </w:rPr>
              <w:t>2</w:t>
            </w:r>
          </w:p>
        </w:tc>
        <w:tc>
          <w:tcPr>
            <w:tcW w:w="1533" w:type="dxa"/>
            <w:vAlign w:val="center"/>
          </w:tcPr>
          <w:p w:rsidR="00EE2532" w:rsidRDefault="0088250A">
            <w:pPr>
              <w:jc w:val="center"/>
            </w:pPr>
            <w:r>
              <w:rPr>
                <w:color w:val="000000"/>
                <w:sz w:val="24"/>
              </w:rPr>
              <w:t>140219</w:t>
            </w:r>
          </w:p>
        </w:tc>
        <w:tc>
          <w:tcPr>
            <w:tcW w:w="1533" w:type="dxa"/>
            <w:vAlign w:val="center"/>
          </w:tcPr>
          <w:p w:rsidR="00EE2532" w:rsidRDefault="0088250A">
            <w:pPr>
              <w:jc w:val="center"/>
            </w:pPr>
            <w:r>
              <w:rPr>
                <w:color w:val="000000"/>
                <w:sz w:val="24"/>
              </w:rPr>
              <w:t>14</w:t>
            </w:r>
            <w:r>
              <w:rPr>
                <w:color w:val="000000"/>
                <w:sz w:val="24"/>
              </w:rPr>
              <w:t>国开</w:t>
            </w:r>
            <w:r>
              <w:rPr>
                <w:color w:val="000000"/>
                <w:sz w:val="24"/>
              </w:rPr>
              <w:t>19</w:t>
            </w:r>
          </w:p>
        </w:tc>
        <w:tc>
          <w:tcPr>
            <w:tcW w:w="1394" w:type="dxa"/>
            <w:vAlign w:val="center"/>
          </w:tcPr>
          <w:p w:rsidR="00EE2532" w:rsidRDefault="0088250A">
            <w:pPr>
              <w:jc w:val="right"/>
            </w:pPr>
            <w:r>
              <w:rPr>
                <w:color w:val="000000"/>
                <w:sz w:val="24"/>
              </w:rPr>
              <w:t>700,000</w:t>
            </w:r>
          </w:p>
        </w:tc>
        <w:tc>
          <w:tcPr>
            <w:tcW w:w="1944" w:type="dxa"/>
            <w:vAlign w:val="center"/>
          </w:tcPr>
          <w:p w:rsidR="00EE2532" w:rsidRDefault="0088250A">
            <w:pPr>
              <w:jc w:val="right"/>
            </w:pPr>
            <w:r>
              <w:rPr>
                <w:color w:val="000000"/>
                <w:sz w:val="24"/>
              </w:rPr>
              <w:t>71,372,000.00</w:t>
            </w:r>
          </w:p>
        </w:tc>
        <w:tc>
          <w:tcPr>
            <w:tcW w:w="1389" w:type="dxa"/>
            <w:vAlign w:val="center"/>
          </w:tcPr>
          <w:p w:rsidR="00EE2532" w:rsidRDefault="0088250A">
            <w:pPr>
              <w:jc w:val="right"/>
            </w:pPr>
            <w:r>
              <w:rPr>
                <w:color w:val="000000"/>
                <w:sz w:val="24"/>
              </w:rPr>
              <w:t>5.21</w:t>
            </w:r>
          </w:p>
        </w:tc>
      </w:tr>
      <w:tr w:rsidR="00EE2532">
        <w:trPr>
          <w:jc w:val="center"/>
        </w:trPr>
        <w:tc>
          <w:tcPr>
            <w:tcW w:w="1075" w:type="dxa"/>
            <w:vAlign w:val="center"/>
          </w:tcPr>
          <w:p w:rsidR="00EE2532" w:rsidRDefault="0088250A">
            <w:pPr>
              <w:jc w:val="center"/>
            </w:pPr>
            <w:r>
              <w:rPr>
                <w:color w:val="000000"/>
                <w:sz w:val="24"/>
              </w:rPr>
              <w:t>3</w:t>
            </w:r>
          </w:p>
        </w:tc>
        <w:tc>
          <w:tcPr>
            <w:tcW w:w="1533" w:type="dxa"/>
            <w:vAlign w:val="center"/>
          </w:tcPr>
          <w:p w:rsidR="00EE2532" w:rsidRDefault="0088250A">
            <w:pPr>
              <w:jc w:val="center"/>
            </w:pPr>
            <w:r>
              <w:rPr>
                <w:color w:val="000000"/>
                <w:sz w:val="24"/>
              </w:rPr>
              <w:t>1480265</w:t>
            </w:r>
          </w:p>
        </w:tc>
        <w:tc>
          <w:tcPr>
            <w:tcW w:w="1533" w:type="dxa"/>
            <w:vAlign w:val="center"/>
          </w:tcPr>
          <w:p w:rsidR="00EE2532" w:rsidRDefault="0088250A">
            <w:pPr>
              <w:jc w:val="center"/>
            </w:pPr>
            <w:r>
              <w:rPr>
                <w:color w:val="000000"/>
                <w:sz w:val="24"/>
              </w:rPr>
              <w:t>14</w:t>
            </w:r>
            <w:r>
              <w:rPr>
                <w:color w:val="000000"/>
                <w:sz w:val="24"/>
              </w:rPr>
              <w:t>象山债</w:t>
            </w:r>
          </w:p>
        </w:tc>
        <w:tc>
          <w:tcPr>
            <w:tcW w:w="1394" w:type="dxa"/>
            <w:vAlign w:val="center"/>
          </w:tcPr>
          <w:p w:rsidR="00EE2532" w:rsidRDefault="0088250A">
            <w:pPr>
              <w:jc w:val="right"/>
            </w:pPr>
            <w:r>
              <w:rPr>
                <w:color w:val="000000"/>
                <w:sz w:val="24"/>
              </w:rPr>
              <w:t>600,000</w:t>
            </w:r>
          </w:p>
        </w:tc>
        <w:tc>
          <w:tcPr>
            <w:tcW w:w="1944" w:type="dxa"/>
            <w:vAlign w:val="center"/>
          </w:tcPr>
          <w:p w:rsidR="00EE2532" w:rsidRDefault="0088250A">
            <w:pPr>
              <w:jc w:val="right"/>
            </w:pPr>
            <w:r>
              <w:rPr>
                <w:color w:val="000000"/>
                <w:sz w:val="24"/>
              </w:rPr>
              <w:t>63,600,000.00</w:t>
            </w:r>
          </w:p>
        </w:tc>
        <w:tc>
          <w:tcPr>
            <w:tcW w:w="1389" w:type="dxa"/>
            <w:vAlign w:val="center"/>
          </w:tcPr>
          <w:p w:rsidR="00EE2532" w:rsidRDefault="0088250A">
            <w:pPr>
              <w:jc w:val="right"/>
            </w:pPr>
            <w:r>
              <w:rPr>
                <w:color w:val="000000"/>
                <w:sz w:val="24"/>
              </w:rPr>
              <w:t>4.64</w:t>
            </w:r>
          </w:p>
        </w:tc>
      </w:tr>
      <w:tr w:rsidR="00EE2532">
        <w:trPr>
          <w:jc w:val="center"/>
        </w:trPr>
        <w:tc>
          <w:tcPr>
            <w:tcW w:w="1075" w:type="dxa"/>
            <w:vAlign w:val="center"/>
          </w:tcPr>
          <w:p w:rsidR="00EE2532" w:rsidRDefault="0088250A">
            <w:pPr>
              <w:jc w:val="center"/>
            </w:pPr>
            <w:r>
              <w:rPr>
                <w:color w:val="000000"/>
                <w:sz w:val="24"/>
              </w:rPr>
              <w:t>4</w:t>
            </w:r>
          </w:p>
        </w:tc>
        <w:tc>
          <w:tcPr>
            <w:tcW w:w="1533" w:type="dxa"/>
            <w:vAlign w:val="center"/>
          </w:tcPr>
          <w:p w:rsidR="00EE2532" w:rsidRDefault="0088250A">
            <w:pPr>
              <w:jc w:val="center"/>
            </w:pPr>
            <w:r>
              <w:rPr>
                <w:color w:val="000000"/>
                <w:sz w:val="24"/>
              </w:rPr>
              <w:t>140213</w:t>
            </w:r>
          </w:p>
        </w:tc>
        <w:tc>
          <w:tcPr>
            <w:tcW w:w="1533" w:type="dxa"/>
            <w:vAlign w:val="center"/>
          </w:tcPr>
          <w:p w:rsidR="00EE2532" w:rsidRDefault="0088250A">
            <w:pPr>
              <w:jc w:val="center"/>
            </w:pPr>
            <w:r>
              <w:rPr>
                <w:color w:val="000000"/>
                <w:sz w:val="24"/>
              </w:rPr>
              <w:t>14</w:t>
            </w:r>
            <w:r>
              <w:rPr>
                <w:color w:val="000000"/>
                <w:sz w:val="24"/>
              </w:rPr>
              <w:t>国开</w:t>
            </w:r>
            <w:r>
              <w:rPr>
                <w:color w:val="000000"/>
                <w:sz w:val="24"/>
              </w:rPr>
              <w:t>13</w:t>
            </w:r>
          </w:p>
        </w:tc>
        <w:tc>
          <w:tcPr>
            <w:tcW w:w="1394" w:type="dxa"/>
            <w:vAlign w:val="center"/>
          </w:tcPr>
          <w:p w:rsidR="00EE2532" w:rsidRDefault="0088250A">
            <w:pPr>
              <w:jc w:val="right"/>
            </w:pPr>
            <w:r>
              <w:rPr>
                <w:color w:val="000000"/>
                <w:sz w:val="24"/>
              </w:rPr>
              <w:t>600,000</w:t>
            </w:r>
          </w:p>
        </w:tc>
        <w:tc>
          <w:tcPr>
            <w:tcW w:w="1944" w:type="dxa"/>
            <w:vAlign w:val="center"/>
          </w:tcPr>
          <w:p w:rsidR="00EE2532" w:rsidRDefault="0088250A">
            <w:pPr>
              <w:jc w:val="right"/>
            </w:pPr>
            <w:r>
              <w:rPr>
                <w:color w:val="000000"/>
                <w:sz w:val="24"/>
              </w:rPr>
              <w:t>60,000,000.00</w:t>
            </w:r>
          </w:p>
        </w:tc>
        <w:tc>
          <w:tcPr>
            <w:tcW w:w="1389" w:type="dxa"/>
            <w:vAlign w:val="center"/>
          </w:tcPr>
          <w:p w:rsidR="00EE2532" w:rsidRDefault="0088250A">
            <w:pPr>
              <w:jc w:val="right"/>
            </w:pPr>
            <w:r>
              <w:rPr>
                <w:color w:val="000000"/>
                <w:sz w:val="24"/>
              </w:rPr>
              <w:t>4.38</w:t>
            </w:r>
          </w:p>
        </w:tc>
      </w:tr>
      <w:tr w:rsidR="00EE2532">
        <w:trPr>
          <w:jc w:val="center"/>
        </w:trPr>
        <w:tc>
          <w:tcPr>
            <w:tcW w:w="1075" w:type="dxa"/>
            <w:vAlign w:val="center"/>
          </w:tcPr>
          <w:p w:rsidR="00EE2532" w:rsidRDefault="0088250A">
            <w:pPr>
              <w:jc w:val="center"/>
            </w:pPr>
            <w:r>
              <w:rPr>
                <w:color w:val="000000"/>
                <w:sz w:val="24"/>
              </w:rPr>
              <w:t>5</w:t>
            </w:r>
          </w:p>
        </w:tc>
        <w:tc>
          <w:tcPr>
            <w:tcW w:w="1533" w:type="dxa"/>
            <w:vAlign w:val="center"/>
          </w:tcPr>
          <w:p w:rsidR="00EE2532" w:rsidRDefault="0088250A">
            <w:pPr>
              <w:jc w:val="center"/>
            </w:pPr>
            <w:r>
              <w:rPr>
                <w:color w:val="000000"/>
                <w:sz w:val="24"/>
              </w:rPr>
              <w:t>1280122</w:t>
            </w:r>
          </w:p>
        </w:tc>
        <w:tc>
          <w:tcPr>
            <w:tcW w:w="1533" w:type="dxa"/>
            <w:vAlign w:val="center"/>
          </w:tcPr>
          <w:p w:rsidR="00EE2532" w:rsidRDefault="0088250A">
            <w:pPr>
              <w:jc w:val="center"/>
            </w:pPr>
            <w:r>
              <w:rPr>
                <w:color w:val="000000"/>
                <w:sz w:val="24"/>
              </w:rPr>
              <w:t>12</w:t>
            </w:r>
            <w:r>
              <w:rPr>
                <w:color w:val="000000"/>
                <w:sz w:val="24"/>
              </w:rPr>
              <w:t>荆州城投债</w:t>
            </w:r>
          </w:p>
        </w:tc>
        <w:tc>
          <w:tcPr>
            <w:tcW w:w="1394" w:type="dxa"/>
            <w:vAlign w:val="center"/>
          </w:tcPr>
          <w:p w:rsidR="00EE2532" w:rsidRDefault="0088250A">
            <w:pPr>
              <w:jc w:val="right"/>
            </w:pPr>
            <w:r>
              <w:rPr>
                <w:color w:val="000000"/>
                <w:sz w:val="24"/>
              </w:rPr>
              <w:t>500,000</w:t>
            </w:r>
          </w:p>
        </w:tc>
        <w:tc>
          <w:tcPr>
            <w:tcW w:w="1944" w:type="dxa"/>
            <w:vAlign w:val="center"/>
          </w:tcPr>
          <w:p w:rsidR="00EE2532" w:rsidRDefault="0088250A">
            <w:pPr>
              <w:jc w:val="right"/>
            </w:pPr>
            <w:r>
              <w:rPr>
                <w:color w:val="000000"/>
                <w:sz w:val="24"/>
              </w:rPr>
              <w:t>52,540,000.00</w:t>
            </w:r>
          </w:p>
        </w:tc>
        <w:tc>
          <w:tcPr>
            <w:tcW w:w="1389" w:type="dxa"/>
            <w:vAlign w:val="center"/>
          </w:tcPr>
          <w:p w:rsidR="00EE2532" w:rsidRDefault="0088250A">
            <w:pPr>
              <w:jc w:val="right"/>
            </w:pPr>
            <w:r>
              <w:rPr>
                <w:color w:val="000000"/>
                <w:sz w:val="24"/>
              </w:rPr>
              <w:t>3.84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88250A">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190,512.51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973,239.07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55,950,707.48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2,334,365.33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59,448,824.39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EE2532">
        <w:trPr>
          <w:jc w:val="center"/>
        </w:trPr>
        <w:tc>
          <w:tcPr>
            <w:tcW w:w="0" w:type="auto"/>
            <w:vAlign w:val="center"/>
          </w:tcPr>
          <w:p w:rsidR="00EE2532" w:rsidRDefault="0088250A">
            <w:pPr>
              <w:jc w:val="center"/>
            </w:pPr>
            <w:r>
              <w:rPr>
                <w:rFonts w:eastAsiaTheme="minorEastAsia"/>
                <w:color w:val="000000"/>
                <w:sz w:val="24"/>
              </w:rPr>
              <w:t>1</w:t>
            </w:r>
          </w:p>
        </w:tc>
        <w:tc>
          <w:tcPr>
            <w:tcW w:w="0" w:type="auto"/>
            <w:vAlign w:val="center"/>
          </w:tcPr>
          <w:p w:rsidR="00EE2532" w:rsidRDefault="0088250A">
            <w:pPr>
              <w:jc w:val="center"/>
            </w:pPr>
            <w:r>
              <w:rPr>
                <w:rFonts w:eastAsiaTheme="minorEastAsia"/>
                <w:color w:val="000000"/>
                <w:sz w:val="24"/>
              </w:rPr>
              <w:t>110023</w:t>
            </w:r>
          </w:p>
        </w:tc>
        <w:tc>
          <w:tcPr>
            <w:tcW w:w="0" w:type="auto"/>
            <w:vAlign w:val="center"/>
          </w:tcPr>
          <w:p w:rsidR="00EE2532" w:rsidRDefault="0088250A">
            <w:pPr>
              <w:jc w:val="center"/>
            </w:pPr>
            <w:r>
              <w:rPr>
                <w:rFonts w:eastAsiaTheme="minorEastAsia"/>
                <w:color w:val="000000"/>
                <w:sz w:val="24"/>
              </w:rPr>
              <w:t>民生转债</w:t>
            </w:r>
          </w:p>
        </w:tc>
        <w:tc>
          <w:tcPr>
            <w:tcW w:w="0" w:type="auto"/>
            <w:vAlign w:val="center"/>
          </w:tcPr>
          <w:p w:rsidR="00EE2532" w:rsidRDefault="0088250A">
            <w:pPr>
              <w:jc w:val="right"/>
            </w:pPr>
            <w:r>
              <w:rPr>
                <w:rFonts w:eastAsiaTheme="minorEastAsia"/>
                <w:color w:val="000000"/>
                <w:sz w:val="24"/>
              </w:rPr>
              <w:t>42,553,700.00</w:t>
            </w:r>
          </w:p>
        </w:tc>
        <w:tc>
          <w:tcPr>
            <w:tcW w:w="0" w:type="auto"/>
            <w:vAlign w:val="center"/>
          </w:tcPr>
          <w:p w:rsidR="00EE2532" w:rsidRDefault="0088250A">
            <w:pPr>
              <w:jc w:val="right"/>
            </w:pPr>
            <w:r>
              <w:rPr>
                <w:rFonts w:eastAsiaTheme="minorEastAsia"/>
                <w:color w:val="000000"/>
                <w:sz w:val="24"/>
              </w:rPr>
              <w:t>3.11</w:t>
            </w:r>
          </w:p>
        </w:tc>
      </w:tr>
      <w:tr w:rsidR="00EE2532">
        <w:trPr>
          <w:jc w:val="center"/>
        </w:trPr>
        <w:tc>
          <w:tcPr>
            <w:tcW w:w="0" w:type="auto"/>
            <w:vAlign w:val="center"/>
          </w:tcPr>
          <w:p w:rsidR="00EE2532" w:rsidRDefault="0088250A">
            <w:pPr>
              <w:jc w:val="center"/>
            </w:pPr>
            <w:r>
              <w:rPr>
                <w:rFonts w:eastAsiaTheme="minorEastAsia"/>
                <w:color w:val="000000"/>
                <w:sz w:val="24"/>
              </w:rPr>
              <w:t>2</w:t>
            </w:r>
          </w:p>
        </w:tc>
        <w:tc>
          <w:tcPr>
            <w:tcW w:w="0" w:type="auto"/>
            <w:vAlign w:val="center"/>
          </w:tcPr>
          <w:p w:rsidR="00EE2532" w:rsidRDefault="0088250A">
            <w:pPr>
              <w:jc w:val="center"/>
            </w:pPr>
            <w:r>
              <w:rPr>
                <w:rFonts w:eastAsiaTheme="minorEastAsia"/>
                <w:color w:val="000000"/>
                <w:sz w:val="24"/>
              </w:rPr>
              <w:t>110028</w:t>
            </w:r>
          </w:p>
        </w:tc>
        <w:tc>
          <w:tcPr>
            <w:tcW w:w="0" w:type="auto"/>
            <w:vAlign w:val="center"/>
          </w:tcPr>
          <w:p w:rsidR="00EE2532" w:rsidRDefault="0088250A">
            <w:pPr>
              <w:jc w:val="center"/>
            </w:pPr>
            <w:r>
              <w:rPr>
                <w:rFonts w:eastAsiaTheme="minorEastAsia"/>
                <w:color w:val="000000"/>
                <w:sz w:val="24"/>
              </w:rPr>
              <w:t>冠城转债</w:t>
            </w:r>
          </w:p>
        </w:tc>
        <w:tc>
          <w:tcPr>
            <w:tcW w:w="0" w:type="auto"/>
            <w:vAlign w:val="center"/>
          </w:tcPr>
          <w:p w:rsidR="00EE2532" w:rsidRDefault="0088250A">
            <w:pPr>
              <w:jc w:val="right"/>
            </w:pPr>
            <w:r>
              <w:rPr>
                <w:rFonts w:eastAsiaTheme="minorEastAsia"/>
                <w:color w:val="000000"/>
                <w:sz w:val="24"/>
              </w:rPr>
              <w:t>16,221,000.00</w:t>
            </w:r>
          </w:p>
        </w:tc>
        <w:tc>
          <w:tcPr>
            <w:tcW w:w="0" w:type="auto"/>
            <w:vAlign w:val="center"/>
          </w:tcPr>
          <w:p w:rsidR="00EE2532" w:rsidRDefault="0088250A">
            <w:pPr>
              <w:jc w:val="right"/>
            </w:pPr>
            <w:r>
              <w:rPr>
                <w:rFonts w:eastAsiaTheme="minorEastAsia"/>
                <w:color w:val="000000"/>
                <w:sz w:val="24"/>
              </w:rPr>
              <w:t>1.18</w:t>
            </w:r>
          </w:p>
        </w:tc>
      </w:tr>
      <w:tr w:rsidR="00EE2532">
        <w:trPr>
          <w:jc w:val="center"/>
        </w:trPr>
        <w:tc>
          <w:tcPr>
            <w:tcW w:w="0" w:type="auto"/>
            <w:vAlign w:val="center"/>
          </w:tcPr>
          <w:p w:rsidR="00EE2532" w:rsidRDefault="0088250A">
            <w:pPr>
              <w:jc w:val="center"/>
            </w:pPr>
            <w:r>
              <w:rPr>
                <w:rFonts w:eastAsiaTheme="minorEastAsia"/>
                <w:color w:val="000000"/>
                <w:sz w:val="24"/>
              </w:rPr>
              <w:t>3</w:t>
            </w:r>
          </w:p>
        </w:tc>
        <w:tc>
          <w:tcPr>
            <w:tcW w:w="0" w:type="auto"/>
            <w:vAlign w:val="center"/>
          </w:tcPr>
          <w:p w:rsidR="00EE2532" w:rsidRDefault="0088250A">
            <w:pPr>
              <w:jc w:val="center"/>
            </w:pPr>
            <w:r>
              <w:rPr>
                <w:rFonts w:eastAsiaTheme="minorEastAsia"/>
                <w:color w:val="000000"/>
                <w:sz w:val="24"/>
              </w:rPr>
              <w:t>113007</w:t>
            </w:r>
          </w:p>
        </w:tc>
        <w:tc>
          <w:tcPr>
            <w:tcW w:w="0" w:type="auto"/>
            <w:vAlign w:val="center"/>
          </w:tcPr>
          <w:p w:rsidR="00EE2532" w:rsidRDefault="0088250A">
            <w:pPr>
              <w:jc w:val="center"/>
            </w:pPr>
            <w:r>
              <w:rPr>
                <w:rFonts w:eastAsiaTheme="minorEastAsia"/>
                <w:color w:val="000000"/>
                <w:sz w:val="24"/>
              </w:rPr>
              <w:t>吉视转债</w:t>
            </w:r>
          </w:p>
        </w:tc>
        <w:tc>
          <w:tcPr>
            <w:tcW w:w="0" w:type="auto"/>
            <w:vAlign w:val="center"/>
          </w:tcPr>
          <w:p w:rsidR="00EE2532" w:rsidRDefault="0088250A">
            <w:pPr>
              <w:jc w:val="right"/>
            </w:pPr>
            <w:r>
              <w:rPr>
                <w:rFonts w:eastAsiaTheme="minorEastAsia"/>
                <w:color w:val="000000"/>
                <w:sz w:val="24"/>
              </w:rPr>
              <w:t>662,622.20</w:t>
            </w:r>
          </w:p>
        </w:tc>
        <w:tc>
          <w:tcPr>
            <w:tcW w:w="0" w:type="auto"/>
            <w:vAlign w:val="center"/>
          </w:tcPr>
          <w:p w:rsidR="00EE2532" w:rsidRDefault="0088250A">
            <w:pPr>
              <w:jc w:val="right"/>
            </w:pPr>
            <w:r>
              <w:rPr>
                <w:rFonts w:eastAsiaTheme="minorEastAsia"/>
                <w:color w:val="000000"/>
                <w:sz w:val="24"/>
              </w:rPr>
              <w:t>0.05</w:t>
            </w:r>
          </w:p>
        </w:tc>
      </w:tr>
      <w:tr w:rsidR="00EE2532">
        <w:trPr>
          <w:jc w:val="center"/>
        </w:trPr>
        <w:tc>
          <w:tcPr>
            <w:tcW w:w="0" w:type="auto"/>
            <w:vAlign w:val="center"/>
          </w:tcPr>
          <w:p w:rsidR="00EE2532" w:rsidRDefault="0088250A">
            <w:pPr>
              <w:jc w:val="center"/>
            </w:pPr>
            <w:r>
              <w:rPr>
                <w:rFonts w:eastAsiaTheme="minorEastAsia"/>
                <w:color w:val="000000"/>
                <w:sz w:val="24"/>
              </w:rPr>
              <w:t>4</w:t>
            </w:r>
          </w:p>
        </w:tc>
        <w:tc>
          <w:tcPr>
            <w:tcW w:w="0" w:type="auto"/>
            <w:vAlign w:val="center"/>
          </w:tcPr>
          <w:p w:rsidR="00EE2532" w:rsidRDefault="0088250A">
            <w:pPr>
              <w:jc w:val="center"/>
            </w:pPr>
            <w:r>
              <w:rPr>
                <w:rFonts w:eastAsiaTheme="minorEastAsia"/>
                <w:color w:val="000000"/>
                <w:sz w:val="24"/>
              </w:rPr>
              <w:t>128005</w:t>
            </w:r>
          </w:p>
        </w:tc>
        <w:tc>
          <w:tcPr>
            <w:tcW w:w="0" w:type="auto"/>
            <w:vAlign w:val="center"/>
          </w:tcPr>
          <w:p w:rsidR="00EE2532" w:rsidRDefault="0088250A">
            <w:pPr>
              <w:jc w:val="center"/>
            </w:pPr>
            <w:r>
              <w:rPr>
                <w:rFonts w:eastAsiaTheme="minorEastAsia"/>
                <w:color w:val="000000"/>
                <w:sz w:val="24"/>
              </w:rPr>
              <w:t>齐翔转债</w:t>
            </w:r>
          </w:p>
        </w:tc>
        <w:tc>
          <w:tcPr>
            <w:tcW w:w="0" w:type="auto"/>
            <w:vAlign w:val="center"/>
          </w:tcPr>
          <w:p w:rsidR="00EE2532" w:rsidRDefault="0088250A">
            <w:pPr>
              <w:jc w:val="right"/>
            </w:pPr>
            <w:r>
              <w:rPr>
                <w:rFonts w:eastAsiaTheme="minorEastAsia"/>
                <w:color w:val="000000"/>
                <w:sz w:val="24"/>
              </w:rPr>
              <w:t>29,878.00</w:t>
            </w:r>
          </w:p>
        </w:tc>
        <w:tc>
          <w:tcPr>
            <w:tcW w:w="0" w:type="auto"/>
            <w:vAlign w:val="center"/>
          </w:tcPr>
          <w:p w:rsidR="00EE2532" w:rsidRDefault="0088250A">
            <w:pPr>
              <w:jc w:val="right"/>
            </w:pPr>
            <w:r>
              <w:rPr>
                <w:rFonts w:eastAsiaTheme="minorEastAsia"/>
                <w:color w:val="000000"/>
                <w:sz w:val="24"/>
              </w:rPr>
              <w:t>0.00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60627">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1,011,890,141.27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212,054,785.39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477,174,451.40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27,103,730.07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290,801,415.89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84,394,171.58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1,198,263,176.78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154,764,343.88</w:t>
            </w:r>
          </w:p>
        </w:tc>
      </w:tr>
    </w:tbl>
    <w:p w:rsidR="00EE2532" w:rsidRDefault="0088250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60627">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760627">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根据《关于发布</w:t>
      </w:r>
      <w:r>
        <w:rPr>
          <w:rFonts w:eastAsiaTheme="minorEastAsia"/>
          <w:color w:val="000000"/>
          <w:sz w:val="24"/>
        </w:rPr>
        <w:t>&lt;</w:t>
      </w:r>
      <w:r>
        <w:rPr>
          <w:rFonts w:eastAsiaTheme="minorEastAsia"/>
          <w:color w:val="000000"/>
          <w:sz w:val="24"/>
        </w:rPr>
        <w:t>中国证券投资基金业协会估值核算工作小组关于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季度固定收益品种的估值处理标准</w:t>
      </w:r>
      <w:r>
        <w:rPr>
          <w:rFonts w:eastAsiaTheme="minorEastAsia"/>
          <w:color w:val="000000"/>
          <w:sz w:val="24"/>
        </w:rPr>
        <w:t>&gt;</w:t>
      </w:r>
      <w:r>
        <w:rPr>
          <w:rFonts w:eastAsiaTheme="minorEastAsia"/>
          <w:color w:val="000000"/>
          <w:sz w:val="24"/>
        </w:rPr>
        <w:t>的通知》（中基协发</w:t>
      </w:r>
      <w:r>
        <w:rPr>
          <w:rFonts w:eastAsiaTheme="minorEastAsia"/>
          <w:color w:val="000000"/>
          <w:sz w:val="24"/>
        </w:rPr>
        <w:t>[2014]24</w:t>
      </w:r>
      <w:r>
        <w:rPr>
          <w:rFonts w:eastAsiaTheme="minorEastAsia"/>
          <w:color w:val="000000"/>
          <w:sz w:val="24"/>
        </w:rPr>
        <w:t>号）的要求，交银施罗德基金管理有限公司经与各基金托管人、会计师事务所协商一致，决定自</w:t>
      </w:r>
      <w:r>
        <w:rPr>
          <w:rFonts w:eastAsiaTheme="minorEastAsia"/>
          <w:color w:val="000000"/>
          <w:sz w:val="24"/>
        </w:rPr>
        <w:t>2015</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19</w:t>
      </w:r>
      <w:r>
        <w:rPr>
          <w:rFonts w:eastAsiaTheme="minorEastAsia"/>
          <w:color w:val="000000"/>
          <w:sz w:val="24"/>
        </w:rPr>
        <w:t>日起对旗下基金持有的上海证券交易所、深圳证券交易所上市交易或挂牌转让的固定收益品种主要依据第三方估值机构提供的价格数据进行估值，该通知另有规定的除外。</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19</w:t>
      </w:r>
      <w:r w:rsidRPr="007F52FA">
        <w:rPr>
          <w:rFonts w:eastAsiaTheme="minorEastAsia"/>
          <w:color w:val="000000"/>
          <w:sz w:val="24"/>
        </w:rPr>
        <w:t>日当日进行的上述相关调整对前一估值日各基金资产净值的影响不超过</w:t>
      </w:r>
      <w:r w:rsidRPr="007F52FA">
        <w:rPr>
          <w:rFonts w:eastAsiaTheme="minorEastAsia"/>
          <w:color w:val="000000"/>
          <w:sz w:val="24"/>
        </w:rPr>
        <w:t>0.50%</w:t>
      </w:r>
      <w:r w:rsidRPr="007F52FA">
        <w:rPr>
          <w:rFonts w:eastAsiaTheme="minorEastAsia"/>
          <w:color w:val="000000"/>
          <w:sz w:val="24"/>
        </w:rPr>
        <w:t>。</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760627">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EE2532" w:rsidRDefault="0088250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4D36DF"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C7" w:rsidRDefault="00FD0EC7">
      <w:r>
        <w:separator/>
      </w:r>
    </w:p>
  </w:endnote>
  <w:endnote w:type="continuationSeparator" w:id="0">
    <w:p w:rsidR="00FD0EC7" w:rsidRDefault="00FD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F553E8">
      <w:rPr>
        <w:kern w:val="0"/>
        <w:szCs w:val="21"/>
      </w:rPr>
      <w:fldChar w:fldCharType="begin"/>
    </w:r>
    <w:r>
      <w:rPr>
        <w:kern w:val="0"/>
        <w:szCs w:val="21"/>
      </w:rPr>
      <w:instrText xml:space="preserve"> PAGE </w:instrText>
    </w:r>
    <w:r w:rsidR="00F553E8">
      <w:rPr>
        <w:kern w:val="0"/>
        <w:szCs w:val="21"/>
      </w:rPr>
      <w:fldChar w:fldCharType="separate"/>
    </w:r>
    <w:r w:rsidR="008A53B8">
      <w:rPr>
        <w:noProof/>
        <w:kern w:val="0"/>
        <w:szCs w:val="21"/>
      </w:rPr>
      <w:t>1</w:t>
    </w:r>
    <w:r w:rsidR="00F553E8">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F553E8">
      <w:rPr>
        <w:kern w:val="0"/>
        <w:szCs w:val="21"/>
      </w:rPr>
      <w:fldChar w:fldCharType="begin"/>
    </w:r>
    <w:r>
      <w:rPr>
        <w:kern w:val="0"/>
        <w:szCs w:val="21"/>
      </w:rPr>
      <w:instrText xml:space="preserve"> NUMPAGES </w:instrText>
    </w:r>
    <w:r w:rsidR="00F553E8">
      <w:rPr>
        <w:kern w:val="0"/>
        <w:szCs w:val="21"/>
      </w:rPr>
      <w:fldChar w:fldCharType="separate"/>
    </w:r>
    <w:r w:rsidR="008A53B8">
      <w:rPr>
        <w:noProof/>
        <w:kern w:val="0"/>
        <w:szCs w:val="21"/>
      </w:rPr>
      <w:t>1</w:t>
    </w:r>
    <w:r w:rsidR="00F553E8">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F553E8">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C7" w:rsidRDefault="00FD0EC7">
      <w:r>
        <w:separator/>
      </w:r>
    </w:p>
  </w:footnote>
  <w:footnote w:type="continuationSeparator" w:id="0">
    <w:p w:rsidR="00FD0EC7" w:rsidRDefault="00FD0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8A53B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4E2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062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57EEA"/>
    <w:rsid w:val="00861C2C"/>
    <w:rsid w:val="00863744"/>
    <w:rsid w:val="00863A9A"/>
    <w:rsid w:val="00865F74"/>
    <w:rsid w:val="008668B8"/>
    <w:rsid w:val="0086748F"/>
    <w:rsid w:val="00867B4D"/>
    <w:rsid w:val="00867CF3"/>
    <w:rsid w:val="00873101"/>
    <w:rsid w:val="00874AB5"/>
    <w:rsid w:val="00877671"/>
    <w:rsid w:val="00877A13"/>
    <w:rsid w:val="0088250A"/>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53B8"/>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2532"/>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53E8"/>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0EC7"/>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831AF40-FF4C-4E8D-B974-65487E1E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78476-7534-4235-9475-04241A45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177</TotalTime>
  <Pages>12</Pages>
  <Words>1138</Words>
  <Characters>6488</Characters>
  <Application>Microsoft Office Word</Application>
  <DocSecurity>0</DocSecurity>
  <Lines>54</Lines>
  <Paragraphs>15</Paragraphs>
  <ScaleCrop>false</ScaleCrop>
  <Company>TRT. Ltd. Co.</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360</cp:revision>
  <cp:lastPrinted>2007-07-19T00:46:00Z</cp:lastPrinted>
  <dcterms:created xsi:type="dcterms:W3CDTF">2014-01-17T06:19:00Z</dcterms:created>
  <dcterms:modified xsi:type="dcterms:W3CDTF">2015-04-17T06:22:00Z</dcterms:modified>
</cp:coreProperties>
</file>