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1AC" w:rsidRPr="00414345" w:rsidRDefault="004061AC" w:rsidP="00C15CAC">
      <w:pPr>
        <w:autoSpaceDE w:val="0"/>
        <w:autoSpaceDN w:val="0"/>
        <w:adjustRightInd w:val="0"/>
        <w:spacing w:before="29" w:line="288" w:lineRule="auto"/>
        <w:jc w:val="left"/>
        <w:rPr>
          <w:rFonts w:hint="eastAsia"/>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交银施罗德成长股票证券投资基金</w:t>
      </w:r>
    </w:p>
    <w:p w:rsidR="002279D3" w:rsidRPr="0081286B" w:rsidRDefault="002279D3" w:rsidP="00C15CAC">
      <w:pPr>
        <w:spacing w:before="29" w:line="288" w:lineRule="auto"/>
        <w:jc w:val="center"/>
        <w:rPr>
          <w:b/>
          <w:sz w:val="36"/>
          <w:szCs w:val="36"/>
        </w:rPr>
      </w:pPr>
      <w:r w:rsidRPr="0081286B">
        <w:rPr>
          <w:b/>
          <w:sz w:val="36"/>
          <w:szCs w:val="36"/>
        </w:rPr>
        <w:t>2015年第1季度报告</w:t>
      </w:r>
    </w:p>
    <w:p w:rsidR="004061AC" w:rsidRPr="0081286B" w:rsidRDefault="00655CD8" w:rsidP="00C15CAC">
      <w:pPr>
        <w:spacing w:before="29" w:line="288" w:lineRule="auto"/>
        <w:jc w:val="center"/>
        <w:rPr>
          <w:b/>
          <w:sz w:val="36"/>
          <w:szCs w:val="36"/>
        </w:rPr>
      </w:pPr>
      <w:r w:rsidRPr="0081286B">
        <w:rPr>
          <w:b/>
          <w:sz w:val="36"/>
          <w:szCs w:val="36"/>
        </w:rPr>
        <w:t>2015年3月31日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w:t>
      </w:r>
      <w:r w:rsidRPr="0081286B">
        <w:rPr>
          <w:b/>
          <w:color w:val="000000"/>
          <w:sz w:val="24"/>
          <w:szCs w:val="24"/>
        </w:rPr>
        <w:t>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w:t>
      </w:r>
      <w:r w:rsidRPr="0081286B">
        <w:rPr>
          <w:b/>
          <w:color w:val="000000"/>
          <w:sz w:val="24"/>
          <w:szCs w:val="24"/>
        </w:rPr>
        <w:t>中国农业银行股份有限公司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
      </w:r>
      <w:r w:rsidR="0042009D" w:rsidRPr="0081286B">
        <w:rPr>
          <w:b/>
          <w:color w:val="000000"/>
          <w:sz w:val="24"/>
          <w:szCs w:val="24"/>
        </w:rPr>
        <w:t/>
      </w:r>
      <w:r w:rsidR="00F16E3F" w:rsidRPr="0081286B">
        <w:rPr>
          <w:b/>
          <w:color w:val="000000"/>
          <w:sz w:val="24"/>
          <w:szCs w:val="24"/>
        </w:rPr>
        <w:t>二〇一五年四月二十一日</w:t>
      </w:r>
    </w:p>
    <w:p w:rsidR="004061AC" w:rsidRPr="00414345" w:rsidRDefault="004061AC" w:rsidP="006E6726">
      <w:pPr>
        <w:pStyle w:val="1"/>
        <w:spacing w:beforeLines="100" w:afterLines="100"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pPr>
        <w:spacing w:before="29" w:line="288" w:lineRule="auto"/>
        <w:ind w:firstLineChars="200" w:firstLine="480"/>
        <w:rPr>
          <w:color w:val="000000"/>
          <w:sz w:val="24"/>
          <w:szCs w:val="24"/>
        </w:rPr>
      </w:pPr>
      <w:r>
        <w:rPr>
          <w:color w:val="000000"/>
          <w:sz w:val="24"/>
          <w:szCs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Chars="200" w:firstLine="480"/>
        <w:rPr>
          <w:color w:val="000000"/>
          <w:sz w:val="24"/>
          <w:szCs w:val="24"/>
        </w:rPr>
      </w:pPr>
      <w:r>
        <w:rPr>
          <w:color w:val="000000"/>
          <w:sz w:val="24"/>
          <w:szCs w:val="24"/>
        </w:rPr>
        <w:t xml:space="preserve">基金托管人中国农业银行股份有限公司根据本基金合同规定，于2015年4月20日复核了本报告中的财务指标、净值表现和投资组合报告等内容，保证复核内容不存在虚假记载、误导性陈述或者重大遗漏。 </w:t>
      </w:r>
    </w:p>
    <w:p>
      <w:pPr>
        <w:spacing w:before="29" w:line="288" w:lineRule="auto"/>
        <w:ind w:firstLineChars="200" w:firstLine="480"/>
        <w:rPr>
          <w:color w:val="000000"/>
          <w:sz w:val="24"/>
          <w:szCs w:val="24"/>
        </w:rPr>
      </w:pPr>
      <w:r>
        <w:rPr>
          <w:color w:val="000000"/>
          <w:sz w:val="24"/>
          <w:szCs w:val="24"/>
        </w:rPr>
        <w:t xml:space="preserve">基金管理人承诺以诚实信用、勤勉尽责的原则管理和运用基金资产，但不保证基金一定盈利。 </w:t>
      </w:r>
    </w:p>
    <w:p>
      <w:pPr>
        <w:spacing w:before="29" w:line="288" w:lineRule="auto"/>
        <w:ind w:firstLineChars="200" w:firstLine="480"/>
        <w:rPr>
          <w:color w:val="000000"/>
          <w:sz w:val="24"/>
          <w:szCs w:val="24"/>
        </w:rPr>
      </w:pPr>
      <w:r>
        <w:rPr>
          <w:color w:val="000000"/>
          <w:sz w:val="24"/>
          <w:szCs w:val="24"/>
        </w:rPr>
        <w:t xml:space="preserve">基金的过往业绩并不代表其未来表现。投资有风险，投资者在作出投资决策前应仔细阅读本基金的招募说明书。 </w:t>
      </w:r>
    </w:p>
    <w:p>
      <w:pPr>
        <w:spacing w:before="29" w:line="288" w:lineRule="auto"/>
        <w:ind w:firstLineChars="200" w:firstLine="480"/>
        <w:rPr>
          <w:color w:val="000000"/>
          <w:sz w:val="24"/>
          <w:szCs w:val="24"/>
        </w:rPr>
      </w:pPr>
      <w:r>
        <w:rPr>
          <w:color w:val="000000"/>
          <w:sz w:val="24"/>
          <w:szCs w:val="24"/>
        </w:rPr>
        <w:t xml:space="preserve">本报告中财务资料未经审计。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本报告期自2015年1月1日起至3月31日止。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6E6726">
      <w:pPr>
        <w:pStyle w:val="1"/>
        <w:spacing w:beforeLines="100" w:afterLines="100"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交银成长股票</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519692</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519692</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519693</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2006年10月23日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1,268,129,866.09</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本基金属于成长型股票基金，主要通过投资于经过严格的品质筛选且具有良好成长性的上市公司的股票，在适度控制风险并保持基金资产良好流动性的前提下，为基金份额持有人谋求长期、稳定的资本增值。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将严谨、规范化的选股方法与积极主动的投资风格相结合，在分析和判断宏观经济运行和行业景气变化、以及上市公司成长潜力的基础上，通过优选成长性好、成长具有可持续性、成长质量优良、定价相对合理的股票进行投资，以谋求超额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75%×富时中国A600成长指数+25%×富时中国国债指数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本基金是一只股票型基金，以具有良好成长性的公司为主要投资对象，追求超额收益，属于证券投资基金中较高预期收益和较高风险的品种。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中国农业银行股份有限公司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6E6726">
      <w:pPr>
        <w:pStyle w:val="1"/>
        <w:spacing w:beforeLines="100" w:afterLines="100"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7"/>
        <w:gridCol w:w="2706"/>
        <w:gridCol w:w="2555"/>
      </w:tblGrid>
      <w:tr w:rsidR="00C21520" w:rsidRPr="00414345" w:rsidTr="00BD0031">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r w:rsidR="00D96C8D" w:rsidRPr="00414345">
              <w:rPr>
                <w:kern w:val="0"/>
                <w:sz w:val="24"/>
                <w:szCs w:val="24"/>
              </w:rPr>
              <w:t/>
            </w:r>
          </w:p>
        </w:tc>
        <w:tc>
          <w:tcPr>
            <w:tcW w:w="4962" w:type="dxa"/>
            <w:hMerge w:val="restart"/>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(2015年1月1日-2015年3月31日)</w:t>
            </w:r>
          </w:p>
        </w:tc>
        <w:tc>
          <w:tcPr>
            <w:tcW w:w="2410" w:type="dxa"/>
            <w:hMerge/>
            <w:vAlign w:val="center"/>
          </w:tcPr>
          <w:p w:rsidR="00C21520" w:rsidRPr="00414345" w:rsidRDefault="00C21520" w:rsidP="00C15CAC">
            <w:pPr>
              <w:adjustRightInd w:val="0"/>
              <w:spacing w:before="29" w:line="288" w:lineRule="auto"/>
              <w:ind w:left="17"/>
              <w:jc w:val="center"/>
              <w:rPr>
                <w:color w:val="000000"/>
                <w:sz w:val="24"/>
                <w:szCs w:val="24"/>
              </w:rPr>
            </w:pPr>
            <w:r w:rsidRPr="00414345">
              <w:rPr>
                <w:color w:val="000000"/>
                <w:sz w:val="24"/>
                <w:szCs w:val="24"/>
              </w:rPr>
              <w:t>上期金额</w:t>
            </w:r>
            <w:r w:rsidR="006A7AF1" w:rsidRPr="00414345">
              <w:rPr>
                <w:color w:val="000000"/>
                <w:sz w:val="24"/>
                <w:szCs w:val="24"/>
              </w:rPr>
              <w:t/>
            </w:r>
          </w:p>
        </w:tc>
      </w:tr>
      <w:tr w:rsidR="00C21520" w:rsidRPr="00414345" w:rsidTr="00BD0031">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lastRenderedPageBreak/>
              <w:t>1.</w:t>
            </w:r>
            <w:r w:rsidRPr="00414345">
              <w:rPr>
                <w:kern w:val="0"/>
                <w:sz w:val="24"/>
                <w:szCs w:val="24"/>
              </w:rPr>
              <w:t>本期已实现收益</w:t>
            </w:r>
          </w:p>
        </w:tc>
        <w:tc>
          <w:tcPr>
            <w:tcW w:w="4962" w:type="dxa"/>
            <w:hMerge w:val="restart"/>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340,872,240.19</w:t>
            </w:r>
          </w:p>
        </w:tc>
        <w:tc>
          <w:tcPr>
            <w:tcW w:w="2410" w:type="dxa"/>
            <w:hMerge/>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hMerge w:val="restart"/>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1,775,988,461.72</w:t>
            </w:r>
          </w:p>
        </w:tc>
        <w:tc>
          <w:tcPr>
            <w:tcW w:w="2410" w:type="dxa"/>
            <w:hMerge/>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hMerge w:val="restart"/>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1.3445</w:t>
            </w:r>
          </w:p>
        </w:tc>
        <w:tc>
          <w:tcPr>
            <w:tcW w:w="2410" w:type="dxa"/>
            <w:hMerge/>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hMerge w:val="restart"/>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5,657,485,067.84</w:t>
            </w:r>
          </w:p>
        </w:tc>
        <w:tc>
          <w:tcPr>
            <w:tcW w:w="2410" w:type="dxa"/>
            <w:hMerge/>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hMerge w:val="restart"/>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4.4613</w:t>
            </w:r>
          </w:p>
        </w:tc>
        <w:tc>
          <w:tcPr>
            <w:tcW w:w="2410" w:type="dxa"/>
            <w:hMerge/>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bl>
    <w:p>
      <w:pPr>
        <w:autoSpaceDE w:val="0"/>
        <w:autoSpaceDN w:val="0"/>
        <w:adjustRightInd w:val="0"/>
        <w:spacing w:before="29" w:line="288" w:lineRule="auto"/>
        <w:jc w:val="left"/>
        <w:rPr>
          <w:color w:val="000000"/>
          <w:sz w:val="24"/>
          <w:szCs w:val="24"/>
        </w:rPr>
      </w:pPr>
      <w:r>
        <w:rPr>
          <w:color w:val="000000"/>
          <w:sz w:val="24"/>
          <w:szCs w:val="24"/>
        </w:rPr>
        <w:t>注：1、上述基金业绩指标不包括持有人认购或交易基金的各项费用，计入费用后的实际收益水平要低于所列数字；</w:t>
      </w:r>
    </w:p>
    <w:p w:rsidR="004061AC" w:rsidRPr="00414345" w:rsidRDefault="00A5612C" w:rsidP="00C15CAC">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xml:space="preserve">    2、本期已实现收益指基金本期利息收入、投资收益、其他收入（不含公允价值变动收益）扣除相关费用后的余额，本期利润为本期已实现收益加上本期公允价值变动收益。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r w:rsidR="00200FAB" w:rsidRPr="00414345">
              <w:rPr>
                <w:color w:val="000000"/>
                <w:sz w:val="24"/>
                <w:szCs w:val="24"/>
              </w:rPr>
              <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tc>
          <w:tcPr>
            <w:vAlign w:val="center"/>
          </w:tcPr>
          <w:p>
            <w:pPr>
              <w:jc w:val="left"/>
            </w:pPr>
            <w:r>
              <w:rPr>
                <w:color w:val="000000"/>
                <w:sz w:val="24"/>
                <w:szCs w:val="24"/>
              </w:rPr>
              <w:t>过去三个月</w:t>
            </w:r>
          </w:p>
        </w:tc>
        <w:tc>
          <w:tcPr>
            <w:vAlign w:val="center"/>
          </w:tcPr>
          <w:p>
            <w:pPr>
              <w:jc w:val="center"/>
            </w:pPr>
            <w:r>
              <w:rPr>
                <w:color w:val="000000"/>
                <w:sz w:val="24"/>
                <w:szCs w:val="24"/>
              </w:rPr>
              <w:t>43.37%</w:t>
            </w:r>
          </w:p>
        </w:tc>
        <w:tc>
          <w:tcPr>
            <w:vAlign w:val="center"/>
          </w:tcPr>
          <w:p>
            <w:pPr>
              <w:jc w:val="center"/>
            </w:pPr>
            <w:r>
              <w:rPr>
                <w:color w:val="000000"/>
                <w:sz w:val="24"/>
                <w:szCs w:val="24"/>
              </w:rPr>
              <w:t>1.66%</w:t>
            </w:r>
          </w:p>
        </w:tc>
        <w:tc>
          <w:tcPr>
            <w:vAlign w:val="center"/>
          </w:tcPr>
          <w:p>
            <w:pPr>
              <w:jc w:val="center"/>
            </w:pPr>
            <w:r>
              <w:rPr>
                <w:color w:val="000000"/>
                <w:sz w:val="24"/>
                <w:szCs w:val="24"/>
              </w:rPr>
              <w:t>20.09%</w:t>
            </w:r>
          </w:p>
        </w:tc>
        <w:tc>
          <w:tcPr>
            <w:vAlign w:val="center"/>
          </w:tcPr>
          <w:p>
            <w:pPr>
              <w:jc w:val="center"/>
            </w:pPr>
            <w:r>
              <w:rPr>
                <w:color w:val="000000"/>
                <w:sz w:val="24"/>
                <w:szCs w:val="24"/>
              </w:rPr>
              <w:t>1.07%</w:t>
            </w:r>
          </w:p>
        </w:tc>
        <w:tc>
          <w:tcPr>
            <w:vAlign w:val="center"/>
          </w:tcPr>
          <w:p>
            <w:pPr>
              <w:jc w:val="center"/>
            </w:pPr>
            <w:r>
              <w:rPr>
                <w:color w:val="000000"/>
                <w:sz w:val="24"/>
                <w:szCs w:val="24"/>
              </w:rPr>
              <w:t>23.28%</w:t>
            </w:r>
          </w:p>
        </w:tc>
        <w:tc>
          <w:tcPr>
            <w:vAlign w:val="center"/>
          </w:tcPr>
          <w:p>
            <w:pPr>
              <w:jc w:val="center"/>
            </w:pPr>
            <w:r>
              <w:rPr>
                <w:color w:val="000000"/>
                <w:sz w:val="24"/>
                <w:szCs w:val="24"/>
              </w:rPr>
              <w:t>0.59%</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交银施罗德成长股票证券投资基金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lastRenderedPageBreak/>
        <w:t>（</w:t>
      </w:r>
      <w:r w:rsidR="0042009D" w:rsidRPr="00414345">
        <w:rPr>
          <w:rFonts w:ascii="Times New Roman" w:hAnsi="Times New Roman" w:cs="Times New Roman"/>
          <w:sz w:val="24"/>
          <w:szCs w:val="24"/>
        </w:rPr>
        <w:t>2006年10月23日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2015年3月31日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a:stretch>
                      <a:fillRect/>
                    </a:stretch>
                  </pic:blipFill>
                  <pic:spPr>
                    <a:xfrm>
                      <a:off x="0" y="0"/>
                      <a:ext cx="5731510" cy="3356610"/>
                    </a:xfrm>
                    <a:prstGeom prst="rect">
                      <a:avLst/>
                    </a:prstGeom>
                  </pic:spPr>
                </pic:pic>
              </a:graphicData>
            </a:graphic>
          </wp:inline>
        </w:drawing>
      </w:r>
    </w:p>
    <w:p w:rsidR="004061AC" w:rsidRPr="00414345" w:rsidRDefault="001C79F2" w:rsidP="00C15CAC">
      <w:pPr>
        <w:autoSpaceDE w:val="0"/>
        <w:autoSpaceDN w:val="0"/>
        <w:adjustRightInd w:val="0"/>
        <w:spacing w:before="29" w:line="288" w:lineRule="auto"/>
        <w:jc w:val="left"/>
        <w:rPr>
          <w:color w:val="000000"/>
          <w:sz w:val="24"/>
          <w:szCs w:val="24"/>
        </w:rPr>
      </w:pPr>
      <w:r w:rsidRPr="00414345">
        <w:rPr>
          <w:color w:val="000000"/>
          <w:sz w:val="24"/>
          <w:szCs w:val="24"/>
        </w:rPr>
        <w:t/>
      </w:r>
      <w:r w:rsidR="008700EC" w:rsidRPr="00414345">
        <w:rPr>
          <w:color w:val="000000"/>
          <w:sz w:val="24"/>
          <w:szCs w:val="24"/>
        </w:rPr>
        <w:t/>
      </w:r>
      <w:r w:rsidRPr="00414345">
        <w:rPr>
          <w:color w:val="000000"/>
          <w:sz w:val="24"/>
          <w:szCs w:val="24"/>
        </w:rPr>
        <w:t/>
      </w:r>
      <w:r w:rsidR="004061AC" w:rsidRPr="00414345">
        <w:rPr>
          <w:color w:val="000000"/>
          <w:sz w:val="24"/>
          <w:szCs w:val="24"/>
        </w:rPr>
        <w:t>注：本基金建仓期为自基金合同生效日起的6个月。截至建仓期结束，本基金各项资产配置比例符合基金合同及招募说明书有关投资比例的约定。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6E6726">
      <w:pPr>
        <w:pStyle w:val="1"/>
        <w:spacing w:beforeLines="100" w:afterLines="100"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w:t>
            </w:r>
            <w:r w:rsidRPr="00414345">
              <w:rPr>
                <w:color w:val="000000"/>
                <w:kern w:val="0"/>
                <w:sz w:val="24"/>
                <w:szCs w:val="24"/>
              </w:rPr>
              <w:lastRenderedPageBreak/>
              <w:t>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lastRenderedPageBreak/>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tc>
          <w:tcPr>
            <w:vAlign w:val="center"/>
          </w:tcPr>
          <w:p>
            <w:pPr>
              <w:jc w:val="center"/>
            </w:pPr>
            <w:r>
              <w:rPr>
                <w:color w:val="000000"/>
                <w:sz w:val="24"/>
                <w:szCs w:val="24"/>
              </w:rPr>
              <w:t>管华雨</w:t>
            </w:r>
          </w:p>
        </w:tc>
        <w:tc>
          <w:tcPr>
            <w:vAlign w:val="center"/>
          </w:tcPr>
          <w:p>
            <w:pPr>
              <w:jc w:val="center"/>
            </w:pPr>
            <w:r>
              <w:rPr>
                <w:color w:val="000000"/>
                <w:sz w:val="24"/>
                <w:szCs w:val="24"/>
              </w:rPr>
              <w:t>本基金、交银施罗德新成长股票型证券投资基金的基金经理，公司权益投资总监</w:t>
            </w:r>
          </w:p>
        </w:tc>
        <w:tc>
          <w:tcPr>
            <w:vAlign w:val="center"/>
          </w:tcPr>
          <w:p>
            <w:pPr>
              <w:jc w:val="center"/>
            </w:pPr>
            <w:r>
              <w:rPr>
                <w:color w:val="000000"/>
                <w:sz w:val="24"/>
                <w:szCs w:val="24"/>
              </w:rPr>
              <w:t>2010-10-08</w:t>
            </w:r>
          </w:p>
        </w:tc>
        <w:tc>
          <w:tcPr>
            <w:vAlign w:val="center"/>
          </w:tcPr>
          <w:p>
            <w:pPr>
              <w:jc w:val="center"/>
            </w:pPr>
            <w:r>
              <w:rPr>
                <w:color w:val="000000"/>
                <w:sz w:val="24"/>
                <w:szCs w:val="24"/>
              </w:rPr>
              <w:t>2015-03-24</w:t>
            </w:r>
          </w:p>
        </w:tc>
        <w:tc>
          <w:tcPr>
            <w:vAlign w:val="center"/>
          </w:tcPr>
          <w:p>
            <w:pPr>
              <w:jc w:val="center"/>
            </w:pPr>
            <w:r>
              <w:rPr>
                <w:color w:val="000000"/>
                <w:sz w:val="24"/>
                <w:szCs w:val="24"/>
              </w:rPr>
              <w:t>13年</w:t>
            </w:r>
          </w:p>
        </w:tc>
        <w:tc>
          <w:tcPr>
            <w:vAlign w:val="center"/>
          </w:tcPr>
          <w:p>
            <w:pPr>
              <w:jc w:val="both"/>
            </w:pPr>
            <w:r>
              <w:rPr>
                <w:color w:val="000000"/>
                <w:sz w:val="24"/>
                <w:szCs w:val="24"/>
              </w:rPr>
              <w:t>管华雨先生，CFA，博士学历。历任申银万国证券股份有限公司投资部投资经理、高级投资经理，信诚基金管理有限公司分析师、基金经理助理和基金经理。其中2007年5月至2010年5月担任信诚四季红混合型证券投资基金基金经理。2010年加入交银施罗德基金管理有限公司，历任权益部总经理助理、副总经理、总经理，2010年10月8日至2015年3月23日担任交银施罗德成长股票证券投资基金基金经理，2010年12月22日至2012年3月12日担任交银施罗德趋势优先股票证券投资基金基金经理，2012年3月13日至2013年4月25日担任交银施罗德精选股票证券投资基金基金经理，2013年6月5日至2014年10月21日担任交银施罗德成长30股票型证券投资基金基金经理，2013年8月8日至2014年10月21日担任交银施罗德趋势优先股票证券投资基金基金经理。</w:t>
            </w:r>
          </w:p>
        </w:tc>
      </w:tr>
      <w:tr>
        <w:tc>
          <w:tcPr>
            <w:vAlign w:val="center"/>
          </w:tcPr>
          <w:p>
            <w:pPr>
              <w:jc w:val="center"/>
            </w:pPr>
            <w:r>
              <w:rPr>
                <w:color w:val="000000"/>
                <w:sz w:val="24"/>
                <w:szCs w:val="24"/>
              </w:rPr>
              <w:t>王少成</w:t>
            </w:r>
          </w:p>
        </w:tc>
        <w:tc>
          <w:tcPr>
            <w:vAlign w:val="center"/>
          </w:tcPr>
          <w:p>
            <w:pPr>
              <w:jc w:val="center"/>
            </w:pPr>
            <w:r>
              <w:rPr>
                <w:color w:val="000000"/>
                <w:sz w:val="24"/>
                <w:szCs w:val="24"/>
              </w:rPr>
              <w:t>本基金、交银先锋股票、交银先进制造股票、交银成长30股票的基金经理，公司权益部副总经理</w:t>
            </w:r>
          </w:p>
        </w:tc>
        <w:tc>
          <w:tcPr>
            <w:vAlign w:val="center"/>
          </w:tcPr>
          <w:p>
            <w:pPr>
              <w:jc w:val="center"/>
            </w:pPr>
            <w:r>
              <w:rPr>
                <w:color w:val="000000"/>
                <w:sz w:val="24"/>
                <w:szCs w:val="24"/>
              </w:rPr>
              <w:t>2015-03-24</w:t>
            </w:r>
          </w:p>
        </w:tc>
        <w:tc>
          <w:tcPr>
            <w:vAlign w:val="center"/>
          </w:tcPr>
          <w:p>
            <w:pPr>
              <w:jc w:val="center"/>
            </w:pPr>
            <w:r>
              <w:rPr>
                <w:color w:val="000000"/>
                <w:sz w:val="24"/>
                <w:szCs w:val="24"/>
              </w:rPr>
              <w:t>-</w:t>
            </w:r>
          </w:p>
        </w:tc>
        <w:tc>
          <w:tcPr>
            <w:vAlign w:val="center"/>
          </w:tcPr>
          <w:p>
            <w:pPr>
              <w:jc w:val="center"/>
            </w:pPr>
            <w:r>
              <w:rPr>
                <w:color w:val="000000"/>
                <w:sz w:val="24"/>
                <w:szCs w:val="24"/>
              </w:rPr>
              <w:t>11年</w:t>
            </w:r>
          </w:p>
        </w:tc>
        <w:tc>
          <w:tcPr>
            <w:vAlign w:val="center"/>
          </w:tcPr>
          <w:p>
            <w:pPr>
              <w:jc w:val="both"/>
            </w:pPr>
            <w:r>
              <w:rPr>
                <w:color w:val="000000"/>
                <w:sz w:val="24"/>
                <w:szCs w:val="24"/>
              </w:rPr>
              <w:t>王少成先生，复旦大学硕士学历。历任上海融昌资产管理公司研究员，中原证券投资经理，信诚基金管理有限公司研究总监助理，东吴基金管理有限公司投资经理、基金经理、投资部副总经理。其中2010年9月至2012年10月担任东吴新创业股票型证券投资基金基金经理，2011年2月至2012年11月担任东吴中证新兴产业指数证券投资基金基金经理，2011年5月至2012年11月担任东吴价值成长双动力股票型证券投资基金基金经理。2012年加入交银施罗德基金管理有限公司。</w:t>
            </w:r>
          </w:p>
        </w:tc>
      </w:tr>
    </w:tbl>
    <w:p w:rsidR="004061AC" w:rsidRPr="00414345" w:rsidRDefault="00F743D4" w:rsidP="00C15CAC">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
      </w:r>
      <w:r w:rsidR="00957594" w:rsidRPr="00414345">
        <w:rPr>
          <w:color w:val="000000"/>
          <w:sz w:val="24"/>
          <w:szCs w:val="24"/>
        </w:rPr>
        <w:t/>
      </w: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pPr>
        <w:spacing w:before="29" w:line="288" w:lineRule="auto"/>
        <w:ind w:firstLineChars="200" w:firstLine="480"/>
        <w:rPr>
          <w:color w:val="000000"/>
          <w:sz w:val="24"/>
          <w:szCs w:val="24"/>
        </w:rPr>
      </w:pPr>
      <w:r>
        <w:rPr>
          <w:color w:val="000000"/>
          <w:sz w:val="24"/>
          <w:szCs w:val="24"/>
        </w:rPr>
        <w:t>2015年一季度，宏观经济依然疲弱，流动性继续宽松，市场面临的外部环境依然友好。年初，增量资金入市的速度稍放缓，同时政府大力提倡创新和转型，因此市场热点集中于新兴行业，去年年底显著回调的创业板迎来持续、强劲的上涨。进入3月份，赚钱效应引致资金进场速度加快，主板也出现了明显上涨，成交量迅速放大。整体来看，一季度A股在全球各个市场中表现非常突出。从风格看，小盘股远远跑赢大盘股。</w:t>
      </w:r>
    </w:p>
    <w:p>
      <w:pPr>
        <w:spacing w:before="29" w:line="288" w:lineRule="auto"/>
        <w:ind w:firstLineChars="200" w:firstLine="480"/>
        <w:rPr>
          <w:color w:val="000000"/>
          <w:sz w:val="24"/>
          <w:szCs w:val="24"/>
        </w:rPr>
      </w:pPr>
      <w:r>
        <w:rPr>
          <w:color w:val="000000"/>
          <w:sz w:val="24"/>
          <w:szCs w:val="24"/>
        </w:rPr>
        <w:t>去年四季度末，本基金以较高仓位和较为均衡的持股结构进入新的一年。一月份，由于注意到监管层不希望货币过分“脱实入虚”，资金进场速度放缓，本基金在积极看待整体市场的同时，迅速调整持股结构，大幅度降低了银行、地产等传统周期股的比重，显著增加了互联网、新材料等新兴行业的持股，取得了一定的效果。3月份，本基金关注到部分新兴产业炒作氛围浓厚，因此适当降低了题材类个股的持仓，锁定了一部分胜利果实，持股向未来有望成为新兴行业巨擘的龙头个股集中，并同时增持了高景气度的航空、新能源汽车等行业的优势个股，以平衡组合的收益风险特征。</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未来，本基金认为政府推动改革和转型的决心超预期，居民大类资产配置向权益市场转移的大趋势可能远未结束，中国资本市场面临历史性的发展机遇。未来几年，新兴产业以及受益于改革的行业和公司依然有非常大的机会。随着中国经济逐渐进入新常态，传统行业的龙头公司也会有盈利恢复和估值回归的机会。本基金将以积极的心态参与市场，努力寻找好的投资机会，控制风险，力争为持有人创造好的回报。</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截至2015年3月31日，本基金份额净值为4.4613元，本报告期份额净值增长率为43.37%，同期业绩比较基准增长率20.09%。</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 xml:space="preserve">本基金本报告期内无需预警说明。 </w:t>
      </w:r>
    </w:p>
    <w:p w:rsidR="004061AC" w:rsidRPr="00414345" w:rsidRDefault="004061AC" w:rsidP="006E6726">
      <w:pPr>
        <w:pStyle w:val="1"/>
        <w:spacing w:beforeLines="100" w:afterLines="100"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lastRenderedPageBreak/>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5,248,369,847.05</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91.89</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5,248,369,847.05</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91.89</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200,060,000.00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3.50</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200,060,000.00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3.50</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lastRenderedPageBreak/>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137,048,244.04</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2.40</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
            </w:r>
            <w:r w:rsidR="00C012F9" w:rsidRPr="00414345">
              <w:rPr>
                <w:color w:val="000000"/>
                <w:sz w:val="24"/>
                <w:szCs w:val="24"/>
              </w:rPr>
              <w:t/>
            </w: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126,127,832.84</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2.21</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
            </w:r>
            <w:r w:rsidR="00C012F9" w:rsidRPr="00414345">
              <w:rPr>
                <w:color w:val="000000"/>
                <w:sz w:val="24"/>
                <w:szCs w:val="24"/>
              </w:rPr>
              <w:t/>
            </w: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5,711,605,923.93</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
            </w:r>
            <w:r w:rsidRPr="00414345">
              <w:rPr>
                <w:color w:val="000000"/>
                <w:sz w:val="24"/>
                <w:szCs w:val="24"/>
              </w:rPr>
              <w:lastRenderedPageBreak/>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tbl>
      <w:tblPr>
        <w:tblW w:w="8868" w:type="dxa"/>
        <w:jc w:val="center"/>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r w:rsidR="005E475E" w:rsidRPr="00414345">
              <w:rPr>
                <w:sz w:val="24"/>
                <w:szCs w:val="24"/>
              </w:rPr>
              <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52,534,185.95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0.93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2,042,480,884.58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36.10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455,061,593.52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8.04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55,532,618.32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
            </w:r>
            <w:r w:rsidRPr="00414345">
              <w:rPr>
                <w:sz w:val="24"/>
                <w:szCs w:val="24"/>
              </w:rPr>
              <w:lastRenderedPageBreak/>
              <w:t>0.98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lastRenderedPageBreak/>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219,295,633.43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3.88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1,125,569,721.74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19.90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368,036,539.68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6.51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523,340,959.32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9.25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660,300.00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
            </w:r>
            <w:r w:rsidRPr="00414345">
              <w:rPr>
                <w:sz w:val="24"/>
                <w:szCs w:val="24"/>
              </w:rPr>
              <w:lastRenderedPageBreak/>
              <w:t>0.01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lastRenderedPageBreak/>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328,276,140.48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5.80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77,336,011.55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245,258.48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5,248,369,847.05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
            </w:r>
            <w:r w:rsidRPr="00414345">
              <w:rPr>
                <w:sz w:val="24"/>
                <w:szCs w:val="24"/>
              </w:rPr>
              <w:lastRenderedPageBreak/>
              <w:t>92.77</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300059</w:t>
            </w:r>
          </w:p>
        </w:tc>
        <w:tc>
          <w:tcPr>
            <w:vAlign w:val="center"/>
          </w:tcPr>
          <w:p>
            <w:pPr>
              <w:jc w:val="center"/>
            </w:pPr>
            <w:r>
              <w:rPr>
                <w:color w:val="000000"/>
                <w:sz w:val="24"/>
                <w:szCs w:val="24"/>
              </w:rPr>
              <w:t>东方财富</w:t>
            </w:r>
          </w:p>
        </w:tc>
        <w:tc>
          <w:tcPr>
            <w:vAlign w:val="center"/>
          </w:tcPr>
          <w:p>
            <w:pPr>
              <w:jc w:val="right"/>
            </w:pPr>
            <w:r>
              <w:rPr>
                <w:color w:val="000000"/>
                <w:sz w:val="24"/>
                <w:szCs w:val="24"/>
              </w:rPr>
              <w:t>10,291,922</w:t>
            </w:r>
          </w:p>
        </w:tc>
        <w:tc>
          <w:tcPr>
            <w:vAlign w:val="center"/>
          </w:tcPr>
          <w:p>
            <w:pPr>
              <w:jc w:val="right"/>
            </w:pPr>
            <w:r>
              <w:rPr>
                <w:color w:val="000000"/>
                <w:sz w:val="24"/>
                <w:szCs w:val="24"/>
              </w:rPr>
              <w:t>428,143,955.20</w:t>
            </w:r>
          </w:p>
        </w:tc>
        <w:tc>
          <w:tcPr>
            <w:vAlign w:val="center"/>
          </w:tcPr>
          <w:p>
            <w:pPr>
              <w:jc w:val="right"/>
            </w:pPr>
            <w:r>
              <w:rPr>
                <w:color w:val="000000"/>
                <w:sz w:val="24"/>
                <w:szCs w:val="24"/>
              </w:rPr>
              <w:t>7.57</w:t>
            </w:r>
          </w:p>
        </w:tc>
      </w:tr>
      <w:tr>
        <w:tc>
          <w:tcPr>
            <w:vAlign w:val="center"/>
          </w:tcPr>
          <w:p>
            <w:pPr>
              <w:jc w:val="center"/>
            </w:pPr>
            <w:r>
              <w:rPr>
                <w:color w:val="000000"/>
                <w:sz w:val="24"/>
                <w:szCs w:val="24"/>
              </w:rPr>
              <w:t>2</w:t>
            </w:r>
          </w:p>
        </w:tc>
        <w:tc>
          <w:tcPr>
            <w:vAlign w:val="center"/>
          </w:tcPr>
          <w:p>
            <w:pPr>
              <w:jc w:val="center"/>
            </w:pPr>
            <w:r>
              <w:rPr>
                <w:color w:val="000000"/>
                <w:sz w:val="24"/>
                <w:szCs w:val="24"/>
              </w:rPr>
              <w:t>002081</w:t>
            </w:r>
          </w:p>
        </w:tc>
        <w:tc>
          <w:tcPr>
            <w:vAlign w:val="center"/>
          </w:tcPr>
          <w:p>
            <w:pPr>
              <w:jc w:val="center"/>
            </w:pPr>
            <w:r>
              <w:rPr>
                <w:color w:val="000000"/>
                <w:sz w:val="24"/>
                <w:szCs w:val="24"/>
              </w:rPr>
              <w:t>金 螳 螂</w:t>
            </w:r>
          </w:p>
        </w:tc>
        <w:tc>
          <w:tcPr>
            <w:vAlign w:val="center"/>
          </w:tcPr>
          <w:p>
            <w:pPr>
              <w:jc w:val="right"/>
            </w:pPr>
            <w:r>
              <w:rPr>
                <w:color w:val="000000"/>
                <w:sz w:val="24"/>
                <w:szCs w:val="24"/>
              </w:rPr>
              <w:t>10,000,000</w:t>
            </w:r>
          </w:p>
        </w:tc>
        <w:tc>
          <w:tcPr>
            <w:vAlign w:val="center"/>
          </w:tcPr>
          <w:p>
            <w:pPr>
              <w:jc w:val="right"/>
            </w:pPr>
            <w:r>
              <w:rPr>
                <w:color w:val="000000"/>
                <w:sz w:val="24"/>
                <w:szCs w:val="24"/>
              </w:rPr>
              <w:t>351,700,000.00</w:t>
            </w:r>
          </w:p>
        </w:tc>
        <w:tc>
          <w:tcPr>
            <w:vAlign w:val="center"/>
          </w:tcPr>
          <w:p>
            <w:pPr>
              <w:jc w:val="right"/>
            </w:pPr>
            <w:r>
              <w:rPr>
                <w:color w:val="000000"/>
                <w:sz w:val="24"/>
                <w:szCs w:val="24"/>
              </w:rPr>
              <w:t>6.22</w:t>
            </w:r>
          </w:p>
        </w:tc>
      </w:tr>
      <w:tr>
        <w:tc>
          <w:tcPr>
            <w:vAlign w:val="center"/>
          </w:tcPr>
          <w:p>
            <w:pPr>
              <w:jc w:val="center"/>
            </w:pPr>
            <w:r>
              <w:rPr>
                <w:color w:val="000000"/>
                <w:sz w:val="24"/>
                <w:szCs w:val="24"/>
              </w:rPr>
              <w:t>3</w:t>
            </w:r>
          </w:p>
        </w:tc>
        <w:tc>
          <w:tcPr>
            <w:vAlign w:val="center"/>
          </w:tcPr>
          <w:p>
            <w:pPr>
              <w:jc w:val="center"/>
            </w:pPr>
            <w:r>
              <w:rPr>
                <w:color w:val="000000"/>
                <w:sz w:val="24"/>
                <w:szCs w:val="24"/>
              </w:rPr>
              <w:t>002285</w:t>
            </w:r>
          </w:p>
        </w:tc>
        <w:tc>
          <w:tcPr>
            <w:vAlign w:val="center"/>
          </w:tcPr>
          <w:p>
            <w:pPr>
              <w:jc w:val="center"/>
            </w:pPr>
            <w:r>
              <w:rPr>
                <w:color w:val="000000"/>
                <w:sz w:val="24"/>
                <w:szCs w:val="24"/>
              </w:rPr>
              <w:t>世联行</w:t>
            </w:r>
          </w:p>
        </w:tc>
        <w:tc>
          <w:tcPr>
            <w:vAlign w:val="center"/>
          </w:tcPr>
          <w:p>
            <w:pPr>
              <w:jc w:val="right"/>
            </w:pPr>
            <w:r>
              <w:rPr>
                <w:color w:val="000000"/>
                <w:sz w:val="24"/>
                <w:szCs w:val="24"/>
              </w:rPr>
              <w:t>8,002,778</w:t>
            </w:r>
          </w:p>
        </w:tc>
        <w:tc>
          <w:tcPr>
            <w:vAlign w:val="center"/>
          </w:tcPr>
          <w:p>
            <w:pPr>
              <w:jc w:val="right"/>
            </w:pPr>
            <w:r>
              <w:rPr>
                <w:color w:val="000000"/>
                <w:sz w:val="24"/>
                <w:szCs w:val="24"/>
              </w:rPr>
              <w:t>310,347,730.84</w:t>
            </w:r>
          </w:p>
        </w:tc>
        <w:tc>
          <w:tcPr>
            <w:vAlign w:val="center"/>
          </w:tcPr>
          <w:p>
            <w:pPr>
              <w:jc w:val="right"/>
            </w:pPr>
            <w:r>
              <w:rPr>
                <w:color w:val="000000"/>
                <w:sz w:val="24"/>
                <w:szCs w:val="24"/>
              </w:rPr>
              <w:t>5.49</w:t>
            </w:r>
          </w:p>
        </w:tc>
      </w:tr>
      <w:tr>
        <w:tc>
          <w:tcPr>
            <w:vAlign w:val="center"/>
          </w:tcPr>
          <w:p>
            <w:pPr>
              <w:jc w:val="center"/>
            </w:pPr>
            <w:r>
              <w:rPr>
                <w:color w:val="000000"/>
                <w:sz w:val="24"/>
                <w:szCs w:val="24"/>
              </w:rPr>
              <w:t>4</w:t>
            </w:r>
          </w:p>
        </w:tc>
        <w:tc>
          <w:tcPr>
            <w:vAlign w:val="center"/>
          </w:tcPr>
          <w:p>
            <w:pPr>
              <w:jc w:val="center"/>
            </w:pPr>
            <w:r>
              <w:rPr>
                <w:color w:val="000000"/>
                <w:sz w:val="24"/>
                <w:szCs w:val="24"/>
              </w:rPr>
              <w:t>002180</w:t>
            </w:r>
          </w:p>
        </w:tc>
        <w:tc>
          <w:tcPr>
            <w:vAlign w:val="center"/>
          </w:tcPr>
          <w:p>
            <w:pPr>
              <w:jc w:val="center"/>
            </w:pPr>
            <w:r>
              <w:rPr>
                <w:color w:val="000000"/>
                <w:sz w:val="24"/>
                <w:szCs w:val="24"/>
              </w:rPr>
              <w:t>艾派克</w:t>
            </w:r>
          </w:p>
        </w:tc>
        <w:tc>
          <w:tcPr>
            <w:vAlign w:val="center"/>
          </w:tcPr>
          <w:p>
            <w:pPr>
              <w:jc w:val="right"/>
            </w:pPr>
            <w:r>
              <w:rPr>
                <w:color w:val="000000"/>
                <w:sz w:val="24"/>
                <w:szCs w:val="24"/>
              </w:rPr>
              <w:t>8,006,524</w:t>
            </w:r>
          </w:p>
        </w:tc>
        <w:tc>
          <w:tcPr>
            <w:vAlign w:val="center"/>
          </w:tcPr>
          <w:p>
            <w:pPr>
              <w:jc w:val="right"/>
            </w:pPr>
            <w:r>
              <w:rPr>
                <w:color w:val="000000"/>
                <w:sz w:val="24"/>
                <w:szCs w:val="24"/>
              </w:rPr>
              <w:t>260,051,899.52</w:t>
            </w:r>
          </w:p>
        </w:tc>
        <w:tc>
          <w:tcPr>
            <w:vAlign w:val="center"/>
          </w:tcPr>
          <w:p>
            <w:pPr>
              <w:jc w:val="right"/>
            </w:pPr>
            <w:r>
              <w:rPr>
                <w:color w:val="000000"/>
                <w:sz w:val="24"/>
                <w:szCs w:val="24"/>
              </w:rPr>
              <w:t>4.60</w:t>
            </w:r>
          </w:p>
        </w:tc>
      </w:tr>
      <w:tr>
        <w:tc>
          <w:tcPr>
            <w:vAlign w:val="center"/>
          </w:tcPr>
          <w:p>
            <w:pPr>
              <w:jc w:val="center"/>
            </w:pPr>
            <w:r>
              <w:rPr>
                <w:color w:val="000000"/>
                <w:sz w:val="24"/>
                <w:szCs w:val="24"/>
              </w:rPr>
              <w:t>5</w:t>
            </w:r>
          </w:p>
        </w:tc>
        <w:tc>
          <w:tcPr>
            <w:vAlign w:val="center"/>
          </w:tcPr>
          <w:p>
            <w:pPr>
              <w:jc w:val="center"/>
            </w:pPr>
            <w:r>
              <w:rPr>
                <w:color w:val="000000"/>
                <w:sz w:val="24"/>
                <w:szCs w:val="24"/>
              </w:rPr>
              <w:t>600570</w:t>
            </w:r>
          </w:p>
        </w:tc>
        <w:tc>
          <w:tcPr>
            <w:vAlign w:val="center"/>
          </w:tcPr>
          <w:p>
            <w:pPr>
              <w:jc w:val="center"/>
            </w:pPr>
            <w:r>
              <w:rPr>
                <w:color w:val="000000"/>
                <w:sz w:val="24"/>
                <w:szCs w:val="24"/>
              </w:rPr>
              <w:t>恒生电子</w:t>
            </w:r>
          </w:p>
        </w:tc>
        <w:tc>
          <w:tcPr>
            <w:vAlign w:val="center"/>
          </w:tcPr>
          <w:p>
            <w:pPr>
              <w:jc w:val="right"/>
            </w:pPr>
            <w:r>
              <w:rPr>
                <w:color w:val="000000"/>
                <w:sz w:val="24"/>
                <w:szCs w:val="24"/>
              </w:rPr>
              <w:t>2,387,161</w:t>
            </w:r>
          </w:p>
        </w:tc>
        <w:tc>
          <w:tcPr>
            <w:vAlign w:val="center"/>
          </w:tcPr>
          <w:p>
            <w:pPr>
              <w:jc w:val="right"/>
            </w:pPr>
            <w:r>
              <w:rPr>
                <w:color w:val="000000"/>
                <w:sz w:val="24"/>
                <w:szCs w:val="24"/>
              </w:rPr>
              <w:t>259,914,089.68</w:t>
            </w:r>
          </w:p>
        </w:tc>
        <w:tc>
          <w:tcPr>
            <w:vAlign w:val="center"/>
          </w:tcPr>
          <w:p>
            <w:pPr>
              <w:jc w:val="right"/>
            </w:pPr>
            <w:r>
              <w:rPr>
                <w:color w:val="000000"/>
                <w:sz w:val="24"/>
                <w:szCs w:val="24"/>
              </w:rPr>
              <w:t>4.59</w:t>
            </w:r>
          </w:p>
        </w:tc>
      </w:tr>
      <w:tr>
        <w:tc>
          <w:tcPr>
            <w:vAlign w:val="center"/>
          </w:tcPr>
          <w:p>
            <w:pPr>
              <w:jc w:val="center"/>
            </w:pPr>
            <w:r>
              <w:rPr>
                <w:color w:val="000000"/>
                <w:sz w:val="24"/>
                <w:szCs w:val="24"/>
              </w:rPr>
              <w:t>6</w:t>
            </w:r>
          </w:p>
        </w:tc>
        <w:tc>
          <w:tcPr>
            <w:vAlign w:val="center"/>
          </w:tcPr>
          <w:p>
            <w:pPr>
              <w:jc w:val="center"/>
            </w:pPr>
            <w:r>
              <w:rPr>
                <w:color w:val="000000"/>
                <w:sz w:val="24"/>
                <w:szCs w:val="24"/>
              </w:rPr>
              <w:t>002280</w:t>
            </w:r>
          </w:p>
        </w:tc>
        <w:tc>
          <w:tcPr>
            <w:vAlign w:val="center"/>
          </w:tcPr>
          <w:p>
            <w:pPr>
              <w:jc w:val="center"/>
            </w:pPr>
            <w:r>
              <w:rPr>
                <w:color w:val="000000"/>
                <w:sz w:val="24"/>
                <w:szCs w:val="24"/>
              </w:rPr>
              <w:t>联络互动</w:t>
            </w:r>
          </w:p>
        </w:tc>
        <w:tc>
          <w:tcPr>
            <w:vAlign w:val="center"/>
          </w:tcPr>
          <w:p>
            <w:pPr>
              <w:jc w:val="right"/>
            </w:pPr>
            <w:r>
              <w:rPr>
                <w:color w:val="000000"/>
                <w:sz w:val="24"/>
                <w:szCs w:val="24"/>
              </w:rPr>
              <w:t>1,741,062</w:t>
            </w:r>
          </w:p>
        </w:tc>
        <w:tc>
          <w:tcPr>
            <w:vAlign w:val="center"/>
          </w:tcPr>
          <w:p>
            <w:pPr>
              <w:jc w:val="right"/>
            </w:pPr>
            <w:r>
              <w:rPr>
                <w:color w:val="000000"/>
                <w:sz w:val="24"/>
                <w:szCs w:val="24"/>
              </w:rPr>
              <w:t>247,056,697.80</w:t>
            </w:r>
          </w:p>
        </w:tc>
        <w:tc>
          <w:tcPr>
            <w:vAlign w:val="center"/>
          </w:tcPr>
          <w:p>
            <w:pPr>
              <w:jc w:val="right"/>
            </w:pPr>
            <w:r>
              <w:rPr>
                <w:color w:val="000000"/>
                <w:sz w:val="24"/>
                <w:szCs w:val="24"/>
              </w:rPr>
              <w:t>4.37</w:t>
            </w:r>
          </w:p>
        </w:tc>
      </w:tr>
      <w:tr>
        <w:tc>
          <w:tcPr>
            <w:vAlign w:val="center"/>
          </w:tcPr>
          <w:p>
            <w:pPr>
              <w:jc w:val="center"/>
            </w:pPr>
            <w:r>
              <w:rPr>
                <w:color w:val="000000"/>
                <w:sz w:val="24"/>
                <w:szCs w:val="24"/>
              </w:rPr>
              <w:t>7</w:t>
            </w:r>
          </w:p>
        </w:tc>
        <w:tc>
          <w:tcPr>
            <w:vAlign w:val="center"/>
          </w:tcPr>
          <w:p>
            <w:pPr>
              <w:jc w:val="center"/>
            </w:pPr>
            <w:r>
              <w:rPr>
                <w:color w:val="000000"/>
                <w:sz w:val="24"/>
                <w:szCs w:val="24"/>
              </w:rPr>
              <w:t>300347</w:t>
            </w:r>
          </w:p>
        </w:tc>
        <w:tc>
          <w:tcPr>
            <w:vAlign w:val="center"/>
          </w:tcPr>
          <w:p>
            <w:pPr>
              <w:jc w:val="center"/>
            </w:pPr>
            <w:r>
              <w:rPr>
                <w:color w:val="000000"/>
                <w:sz w:val="24"/>
                <w:szCs w:val="24"/>
              </w:rPr>
              <w:t>泰格医药</w:t>
            </w:r>
          </w:p>
        </w:tc>
        <w:tc>
          <w:tcPr>
            <w:vAlign w:val="center"/>
          </w:tcPr>
          <w:p>
            <w:pPr>
              <w:jc w:val="right"/>
            </w:pPr>
            <w:r>
              <w:rPr>
                <w:color w:val="000000"/>
                <w:sz w:val="24"/>
                <w:szCs w:val="24"/>
              </w:rPr>
              <w:t>4,400,300</w:t>
            </w:r>
          </w:p>
        </w:tc>
        <w:tc>
          <w:tcPr>
            <w:vAlign w:val="center"/>
          </w:tcPr>
          <w:p>
            <w:pPr>
              <w:jc w:val="right"/>
            </w:pPr>
            <w:r>
              <w:rPr>
                <w:color w:val="000000"/>
                <w:sz w:val="24"/>
                <w:szCs w:val="24"/>
              </w:rPr>
              <w:t>239,728,344.00</w:t>
            </w:r>
          </w:p>
        </w:tc>
        <w:tc>
          <w:tcPr>
            <w:vAlign w:val="center"/>
          </w:tcPr>
          <w:p>
            <w:pPr>
              <w:jc w:val="right"/>
            </w:pPr>
            <w:r>
              <w:rPr>
                <w:color w:val="000000"/>
                <w:sz w:val="24"/>
                <w:szCs w:val="24"/>
              </w:rPr>
              <w:t>4.24</w:t>
            </w:r>
          </w:p>
        </w:tc>
      </w:tr>
      <w:tr>
        <w:tc>
          <w:tcPr>
            <w:vAlign w:val="center"/>
          </w:tcPr>
          <w:p>
            <w:pPr>
              <w:jc w:val="center"/>
            </w:pPr>
            <w:r>
              <w:rPr>
                <w:color w:val="000000"/>
                <w:sz w:val="24"/>
                <w:szCs w:val="24"/>
              </w:rPr>
              <w:t>8</w:t>
            </w:r>
          </w:p>
        </w:tc>
        <w:tc>
          <w:tcPr>
            <w:vAlign w:val="center"/>
          </w:tcPr>
          <w:p>
            <w:pPr>
              <w:jc w:val="center"/>
            </w:pPr>
            <w:r>
              <w:rPr>
                <w:color w:val="000000"/>
                <w:sz w:val="24"/>
                <w:szCs w:val="24"/>
              </w:rPr>
              <w:t>601318</w:t>
            </w:r>
          </w:p>
        </w:tc>
        <w:tc>
          <w:tcPr>
            <w:vAlign w:val="center"/>
          </w:tcPr>
          <w:p>
            <w:pPr>
              <w:jc w:val="center"/>
            </w:pPr>
            <w:r>
              <w:rPr>
                <w:color w:val="000000"/>
                <w:sz w:val="24"/>
                <w:szCs w:val="24"/>
              </w:rPr>
              <w:t>中国平安</w:t>
            </w:r>
          </w:p>
        </w:tc>
        <w:tc>
          <w:tcPr>
            <w:vAlign w:val="center"/>
          </w:tcPr>
          <w:p>
            <w:pPr>
              <w:jc w:val="right"/>
            </w:pPr>
            <w:r>
              <w:rPr>
                <w:color w:val="000000"/>
                <w:sz w:val="24"/>
                <w:szCs w:val="24"/>
              </w:rPr>
              <w:t>2,800,000</w:t>
            </w:r>
          </w:p>
        </w:tc>
        <w:tc>
          <w:tcPr>
            <w:vAlign w:val="center"/>
          </w:tcPr>
          <w:p>
            <w:pPr>
              <w:jc w:val="right"/>
            </w:pPr>
            <w:r>
              <w:rPr>
                <w:color w:val="000000"/>
                <w:sz w:val="24"/>
                <w:szCs w:val="24"/>
              </w:rPr>
              <w:t>219,072,000.00</w:t>
            </w:r>
          </w:p>
        </w:tc>
        <w:tc>
          <w:tcPr>
            <w:vAlign w:val="center"/>
          </w:tcPr>
          <w:p>
            <w:pPr>
              <w:jc w:val="right"/>
            </w:pPr>
            <w:r>
              <w:rPr>
                <w:color w:val="000000"/>
                <w:sz w:val="24"/>
                <w:szCs w:val="24"/>
              </w:rPr>
              <w:t>3.87</w:t>
            </w:r>
          </w:p>
        </w:tc>
      </w:tr>
      <w:tr>
        <w:tc>
          <w:tcPr>
            <w:vAlign w:val="center"/>
          </w:tcPr>
          <w:p>
            <w:pPr>
              <w:jc w:val="center"/>
            </w:pPr>
            <w:r>
              <w:rPr>
                <w:color w:val="000000"/>
                <w:sz w:val="24"/>
                <w:szCs w:val="24"/>
              </w:rPr>
              <w:t>9</w:t>
            </w:r>
          </w:p>
        </w:tc>
        <w:tc>
          <w:tcPr>
            <w:vAlign w:val="center"/>
          </w:tcPr>
          <w:p>
            <w:pPr>
              <w:jc w:val="center"/>
            </w:pPr>
            <w:r>
              <w:rPr>
                <w:color w:val="000000"/>
                <w:sz w:val="24"/>
                <w:szCs w:val="24"/>
              </w:rPr>
              <w:t>000671</w:t>
            </w:r>
          </w:p>
        </w:tc>
        <w:tc>
          <w:tcPr>
            <w:vAlign w:val="center"/>
          </w:tcPr>
          <w:p>
            <w:pPr>
              <w:jc w:val="center"/>
            </w:pPr>
            <w:r>
              <w:rPr>
                <w:color w:val="000000"/>
                <w:sz w:val="24"/>
                <w:szCs w:val="24"/>
              </w:rPr>
              <w:t>阳 光 城</w:t>
            </w:r>
          </w:p>
        </w:tc>
        <w:tc>
          <w:tcPr>
            <w:vAlign w:val="center"/>
          </w:tcPr>
          <w:p>
            <w:pPr>
              <w:jc w:val="right"/>
            </w:pPr>
            <w:r>
              <w:rPr>
                <w:color w:val="000000"/>
                <w:sz w:val="24"/>
                <w:szCs w:val="24"/>
              </w:rPr>
              <w:t>10,617,808</w:t>
            </w:r>
          </w:p>
        </w:tc>
        <w:tc>
          <w:tcPr>
            <w:vAlign w:val="center"/>
          </w:tcPr>
          <w:p>
            <w:pPr>
              <w:jc w:val="right"/>
            </w:pPr>
            <w:r>
              <w:rPr>
                <w:color w:val="000000"/>
                <w:sz w:val="24"/>
                <w:szCs w:val="24"/>
              </w:rPr>
              <w:t>212,993,228.48</w:t>
            </w:r>
          </w:p>
        </w:tc>
        <w:tc>
          <w:tcPr>
            <w:vAlign w:val="center"/>
          </w:tcPr>
          <w:p>
            <w:pPr>
              <w:jc w:val="right"/>
            </w:pPr>
            <w:r>
              <w:rPr>
                <w:color w:val="000000"/>
                <w:sz w:val="24"/>
                <w:szCs w:val="24"/>
              </w:rPr>
              <w:t>3.76</w:t>
            </w:r>
          </w:p>
        </w:tc>
      </w:tr>
      <w:tr>
        <w:tc>
          <w:tcPr>
            <w:vAlign w:val="center"/>
          </w:tcPr>
          <w:p>
            <w:pPr>
              <w:jc w:val="center"/>
            </w:pPr>
            <w:r>
              <w:rPr>
                <w:color w:val="000000"/>
                <w:sz w:val="24"/>
                <w:szCs w:val="24"/>
              </w:rPr>
              <w:t>10</w:t>
            </w:r>
          </w:p>
        </w:tc>
        <w:tc>
          <w:tcPr>
            <w:vAlign w:val="center"/>
          </w:tcPr>
          <w:p>
            <w:pPr>
              <w:jc w:val="center"/>
            </w:pPr>
            <w:r>
              <w:rPr>
                <w:color w:val="000000"/>
                <w:sz w:val="24"/>
                <w:szCs w:val="24"/>
              </w:rPr>
              <w:t>000418</w:t>
            </w:r>
          </w:p>
        </w:tc>
        <w:tc>
          <w:tcPr>
            <w:vAlign w:val="center"/>
          </w:tcPr>
          <w:p>
            <w:pPr>
              <w:jc w:val="center"/>
            </w:pPr>
            <w:r>
              <w:rPr>
                <w:color w:val="000000"/>
                <w:sz w:val="24"/>
                <w:szCs w:val="24"/>
              </w:rPr>
              <w:t>小天鹅Ａ</w:t>
            </w:r>
          </w:p>
        </w:tc>
        <w:tc>
          <w:tcPr>
            <w:vAlign w:val="center"/>
          </w:tcPr>
          <w:p>
            <w:pPr>
              <w:jc w:val="right"/>
            </w:pPr>
            <w:r>
              <w:rPr>
                <w:color w:val="000000"/>
                <w:sz w:val="24"/>
                <w:szCs w:val="24"/>
              </w:rPr>
              <w:t>9,865,754</w:t>
            </w:r>
          </w:p>
        </w:tc>
        <w:tc>
          <w:tcPr>
            <w:vAlign w:val="center"/>
          </w:tcPr>
          <w:p>
            <w:pPr>
              <w:jc w:val="right"/>
            </w:pPr>
            <w:r>
              <w:rPr>
                <w:color w:val="000000"/>
                <w:sz w:val="24"/>
                <w:szCs w:val="24"/>
              </w:rPr>
              <w:t>186,265,435.52</w:t>
            </w:r>
          </w:p>
        </w:tc>
        <w:tc>
          <w:tcPr>
            <w:vAlign w:val="center"/>
          </w:tcPr>
          <w:p>
            <w:pPr>
              <w:jc w:val="right"/>
            </w:pPr>
            <w:r>
              <w:rPr>
                <w:color w:val="000000"/>
                <w:sz w:val="24"/>
                <w:szCs w:val="24"/>
              </w:rPr>
              <w:t>3.29</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tblPr>
      <w:tblGrid>
        <w:gridCol w:w="828"/>
        <w:gridCol w:w="3302"/>
        <w:gridCol w:w="2987"/>
        <w:gridCol w:w="1751"/>
      </w:tblGrid>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260"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r w:rsidR="00F71057" w:rsidRPr="00414345">
              <w:rPr>
                <w:color w:val="000000"/>
                <w:sz w:val="24"/>
                <w:szCs w:val="24"/>
              </w:rPr>
              <w:t/>
            </w:r>
          </w:p>
        </w:tc>
        <w:tc>
          <w:tcPr>
            <w:tcW w:w="2949"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29"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200,060,000.00</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3.54</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200,060,000.00</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3.54</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A8721A">
        <w:trPr>
          <w:jc w:val="center"/>
        </w:trPr>
        <w:tc>
          <w:tcPr>
            <w:tcW w:w="817"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260"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49"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
            </w:r>
            <w:r w:rsidR="00FB41D3" w:rsidRPr="00414345">
              <w:rPr>
                <w:color w:val="000000"/>
                <w:sz w:val="24"/>
                <w:szCs w:val="24"/>
              </w:rPr>
              <w:t/>
            </w:r>
            <w:r w:rsidRPr="00414345">
              <w:rPr>
                <w:color w:val="000000"/>
                <w:sz w:val="24"/>
                <w:szCs w:val="24"/>
              </w:rPr>
              <w:t>8</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
            </w:r>
            <w:r w:rsidR="00FB41D3" w:rsidRPr="00414345">
              <w:rPr>
                <w:color w:val="000000"/>
                <w:sz w:val="24"/>
                <w:szCs w:val="24"/>
              </w:rPr>
              <w:t/>
            </w:r>
            <w:r w:rsidRPr="00414345">
              <w:rPr>
                <w:color w:val="000000"/>
                <w:sz w:val="24"/>
                <w:szCs w:val="24"/>
              </w:rPr>
              <w:t>9</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200,060,000.00</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3.54</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140207</w:t>
            </w:r>
          </w:p>
        </w:tc>
        <w:tc>
          <w:tcPr>
            <w:vAlign w:val="center"/>
          </w:tcPr>
          <w:p>
            <w:pPr>
              <w:jc w:val="center"/>
            </w:pPr>
            <w:r>
              <w:rPr>
                <w:color w:val="000000"/>
                <w:sz w:val="24"/>
                <w:szCs w:val="24"/>
              </w:rPr>
              <w:t>14国开07</w:t>
            </w:r>
          </w:p>
        </w:tc>
        <w:tc>
          <w:tcPr>
            <w:vAlign w:val="center"/>
          </w:tcPr>
          <w:p>
            <w:pPr>
              <w:jc w:val="right"/>
            </w:pPr>
            <w:r>
              <w:rPr>
                <w:color w:val="000000"/>
                <w:sz w:val="24"/>
                <w:szCs w:val="24"/>
              </w:rPr>
              <w:t>2,000,000</w:t>
            </w:r>
          </w:p>
        </w:tc>
        <w:tc>
          <w:tcPr>
            <w:vAlign w:val="center"/>
          </w:tcPr>
          <w:p>
            <w:pPr>
              <w:jc w:val="right"/>
            </w:pPr>
            <w:r>
              <w:rPr>
                <w:color w:val="000000"/>
                <w:sz w:val="24"/>
                <w:szCs w:val="24"/>
              </w:rPr>
              <w:t>200,060,000.00</w:t>
            </w:r>
          </w:p>
        </w:tc>
        <w:tc>
          <w:tcPr>
            <w:vAlign w:val="center"/>
          </w:tcPr>
          <w:p>
            <w:pPr>
              <w:jc w:val="right"/>
            </w:pPr>
            <w:r>
              <w:rPr>
                <w:color w:val="000000"/>
                <w:sz w:val="24"/>
                <w:szCs w:val="24"/>
              </w:rPr>
              <w:t>3.54</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F743D4" w:rsidP="00C15CAC">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336EAF" w:rsidRPr="00414345">
        <w:rPr>
          <w:b/>
          <w:bCs/>
          <w:color w:val="000000"/>
          <w:kern w:val="0"/>
          <w:sz w:val="24"/>
          <w:szCs w:val="24"/>
        </w:rPr>
        <w:t/>
      </w:r>
      <w:r w:rsidRPr="00414345">
        <w:rPr>
          <w:b/>
          <w:bCs/>
          <w:color w:val="000000"/>
          <w:kern w:val="0"/>
          <w:sz w:val="24"/>
          <w:szCs w:val="24"/>
        </w:rPr>
        <w:t>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F743D4"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
      </w:r>
      <w:r w:rsidR="004061AC" w:rsidRPr="00414345">
        <w:rPr>
          <w:color w:val="000000"/>
          <w:sz w:val="24"/>
          <w:szCs w:val="24"/>
        </w:rPr>
        <w:t/>
      </w:r>
      <w:r w:rsidR="00315D5D" w:rsidRPr="00414345">
        <w:rPr>
          <w:color w:val="000000"/>
          <w:sz w:val="24"/>
          <w:szCs w:val="24"/>
        </w:rPr>
        <w:t/>
      </w:r>
      <w:r w:rsidR="004061AC"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CD570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A83500" w:rsidRPr="00414345">
        <w:rPr>
          <w:b/>
          <w:bCs/>
          <w:color w:val="000000"/>
          <w:kern w:val="0"/>
          <w:sz w:val="24"/>
          <w:szCs w:val="24"/>
        </w:rPr>
        <w:t/>
      </w:r>
      <w:r w:rsidR="003259C8"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2,521,017.23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39,839,125.15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9,374,369.56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74,393,320.90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126,127,832.84</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p w:rsidR="004061AC" w:rsidRPr="00414345" w:rsidRDefault="00F743D4" w:rsidP="00C15CAC">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tbl>
      <w:tblPr>
        <w:tblStyle w:val="af7"/>
        <w:tblW w:w="8868" w:type="dxa"/>
        <w:jc w:val="center"/>
        <w:tblInd w:w="15" w:type="dxa"/>
        <w:tblLayout w:type="fixed"/>
        <w:tblCellMar>
          <w:top w:w="57" w:type="dxa"/>
          <w:bottom w:w="57" w:type="dxa"/>
        </w:tblCellMar>
        <w:tblLook w:val="04A0"/>
      </w:tblPr>
      <w:tblGrid>
        <w:gridCol w:w="1129"/>
        <w:gridCol w:w="1356"/>
        <w:gridCol w:w="1355"/>
        <w:gridCol w:w="1880"/>
        <w:gridCol w:w="1724"/>
        <w:gridCol w:w="1424"/>
      </w:tblGrid>
      <w:tr w:rsidR="003E62FB" w:rsidRPr="00414345" w:rsidTr="00BC216C">
        <w:trPr>
          <w:jc w:val="center"/>
        </w:trPr>
        <w:tc>
          <w:tcPr>
            <w:tcW w:w="1083"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AC063D" w:rsidRPr="00414345">
              <w:rPr>
                <w:color w:val="000000"/>
                <w:sz w:val="24"/>
                <w:szCs w:val="24"/>
              </w:rPr>
              <w:t>(</w:t>
            </w:r>
            <w:r w:rsidR="00AC063D" w:rsidRPr="00414345">
              <w:rPr>
                <w:color w:val="000000"/>
                <w:sz w:val="24"/>
                <w:szCs w:val="24"/>
              </w:rPr>
              <w:t>％</w:t>
            </w:r>
            <w:r w:rsidR="00AC063D" w:rsidRPr="00414345">
              <w:rPr>
                <w:color w:val="000000"/>
                <w:sz w:val="24"/>
                <w:szCs w:val="24"/>
              </w:rPr>
              <w:t>)</w:t>
            </w:r>
          </w:p>
        </w:tc>
        <w:tc>
          <w:tcPr>
            <w:tcW w:w="136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tc>
          <w:tcPr>
            <w:vAlign w:val="center"/>
          </w:tcPr>
          <w:p>
            <w:pPr>
              <w:jc w:val="center"/>
            </w:pPr>
            <w:r>
              <w:rPr>
                <w:color w:val="000000"/>
                <w:sz w:val="24"/>
                <w:szCs w:val="24"/>
              </w:rPr>
              <w:t>1</w:t>
            </w:r>
          </w:p>
        </w:tc>
        <w:tc>
          <w:tcPr>
            <w:vAlign w:val="center"/>
          </w:tcPr>
          <w:p>
            <w:pPr>
              <w:jc w:val="center"/>
            </w:pPr>
            <w:r>
              <w:rPr>
                <w:color w:val="000000"/>
                <w:sz w:val="24"/>
                <w:szCs w:val="24"/>
              </w:rPr>
              <w:t>300059</w:t>
            </w:r>
          </w:p>
        </w:tc>
        <w:tc>
          <w:tcPr>
            <w:vAlign w:val="center"/>
          </w:tcPr>
          <w:p>
            <w:pPr>
              <w:jc w:val="center"/>
            </w:pPr>
            <w:r>
              <w:rPr>
                <w:color w:val="000000"/>
                <w:sz w:val="24"/>
                <w:szCs w:val="24"/>
              </w:rPr>
              <w:t>东方财富</w:t>
            </w:r>
          </w:p>
        </w:tc>
        <w:tc>
          <w:tcPr>
            <w:vAlign w:val="center"/>
          </w:tcPr>
          <w:p>
            <w:pPr>
              <w:jc w:val="right"/>
            </w:pPr>
            <w:r>
              <w:rPr>
                <w:color w:val="000000"/>
                <w:sz w:val="24"/>
                <w:szCs w:val="24"/>
              </w:rPr>
              <w:t>428,143,955.20</w:t>
            </w:r>
          </w:p>
        </w:tc>
        <w:tc>
          <w:tcPr>
            <w:vAlign w:val="center"/>
          </w:tcPr>
          <w:p>
            <w:pPr>
              <w:jc w:val="right"/>
            </w:pPr>
            <w:r>
              <w:rPr>
                <w:color w:val="000000"/>
                <w:sz w:val="24"/>
                <w:szCs w:val="24"/>
              </w:rPr>
              <w:t>7.57</w:t>
            </w:r>
          </w:p>
        </w:tc>
        <w:tc>
          <w:tcPr>
            <w:vAlign w:val="center"/>
          </w:tcPr>
          <w:p>
            <w:pPr>
              <w:jc w:val="right"/>
            </w:pPr>
            <w:r>
              <w:rPr>
                <w:color w:val="000000"/>
                <w:sz w:val="24"/>
                <w:szCs w:val="24"/>
              </w:rPr>
              <w:t>重大事项</w:t>
            </w:r>
          </w:p>
        </w:tc>
      </w:tr>
      <w:tr>
        <w:tc>
          <w:tcPr>
            <w:vAlign w:val="center"/>
          </w:tcPr>
          <w:p>
            <w:pPr>
              <w:jc w:val="center"/>
            </w:pPr>
            <w:r>
              <w:rPr>
                <w:color w:val="000000"/>
                <w:sz w:val="24"/>
                <w:szCs w:val="24"/>
              </w:rPr>
              <w:t>2</w:t>
            </w:r>
          </w:p>
        </w:tc>
        <w:tc>
          <w:tcPr>
            <w:vAlign w:val="center"/>
          </w:tcPr>
          <w:p>
            <w:pPr>
              <w:jc w:val="center"/>
            </w:pPr>
            <w:r>
              <w:rPr>
                <w:color w:val="000000"/>
                <w:sz w:val="24"/>
                <w:szCs w:val="24"/>
              </w:rPr>
              <w:t>002180</w:t>
            </w:r>
          </w:p>
        </w:tc>
        <w:tc>
          <w:tcPr>
            <w:vAlign w:val="center"/>
          </w:tcPr>
          <w:p>
            <w:pPr>
              <w:jc w:val="center"/>
            </w:pPr>
            <w:r>
              <w:rPr>
                <w:color w:val="000000"/>
                <w:sz w:val="24"/>
                <w:szCs w:val="24"/>
              </w:rPr>
              <w:t>艾派克</w:t>
            </w:r>
          </w:p>
        </w:tc>
        <w:tc>
          <w:tcPr>
            <w:vAlign w:val="center"/>
          </w:tcPr>
          <w:p>
            <w:pPr>
              <w:jc w:val="right"/>
            </w:pPr>
            <w:r>
              <w:rPr>
                <w:color w:val="000000"/>
                <w:sz w:val="24"/>
                <w:szCs w:val="24"/>
              </w:rPr>
              <w:t>260,051,899.52</w:t>
            </w:r>
          </w:p>
        </w:tc>
        <w:tc>
          <w:tcPr>
            <w:vAlign w:val="center"/>
          </w:tcPr>
          <w:p>
            <w:pPr>
              <w:jc w:val="right"/>
            </w:pPr>
            <w:r>
              <w:rPr>
                <w:color w:val="000000"/>
                <w:sz w:val="24"/>
                <w:szCs w:val="24"/>
              </w:rPr>
              <w:t>4.60</w:t>
            </w:r>
          </w:p>
        </w:tc>
        <w:tc>
          <w:tcPr>
            <w:vAlign w:val="center"/>
          </w:tcPr>
          <w:p>
            <w:pPr>
              <w:jc w:val="right"/>
            </w:pPr>
            <w:r>
              <w:rPr>
                <w:color w:val="000000"/>
                <w:sz w:val="24"/>
                <w:szCs w:val="24"/>
              </w:rPr>
              <w:t>重大事项</w:t>
            </w:r>
          </w:p>
        </w:tc>
      </w:tr>
      <w:tr>
        <w:tc>
          <w:tcPr>
            <w:vAlign w:val="center"/>
          </w:tcPr>
          <w:p>
            <w:pPr>
              <w:jc w:val="center"/>
            </w:pPr>
            <w:r>
              <w:rPr>
                <w:color w:val="000000"/>
                <w:sz w:val="24"/>
                <w:szCs w:val="24"/>
              </w:rPr>
              <w:t>3</w:t>
            </w:r>
          </w:p>
        </w:tc>
        <w:tc>
          <w:tcPr>
            <w:vAlign w:val="center"/>
          </w:tcPr>
          <w:p>
            <w:pPr>
              <w:jc w:val="center"/>
            </w:pPr>
            <w:r>
              <w:rPr>
                <w:color w:val="000000"/>
                <w:sz w:val="24"/>
                <w:szCs w:val="24"/>
              </w:rPr>
              <w:t>002280</w:t>
            </w:r>
          </w:p>
        </w:tc>
        <w:tc>
          <w:tcPr>
            <w:vAlign w:val="center"/>
          </w:tcPr>
          <w:p>
            <w:pPr>
              <w:jc w:val="center"/>
            </w:pPr>
            <w:r>
              <w:rPr>
                <w:color w:val="000000"/>
                <w:sz w:val="24"/>
                <w:szCs w:val="24"/>
              </w:rPr>
              <w:t>联络互动</w:t>
            </w:r>
          </w:p>
        </w:tc>
        <w:tc>
          <w:tcPr>
            <w:vAlign w:val="center"/>
          </w:tcPr>
          <w:p>
            <w:pPr>
              <w:jc w:val="right"/>
            </w:pPr>
            <w:r>
              <w:rPr>
                <w:color w:val="000000"/>
                <w:sz w:val="24"/>
                <w:szCs w:val="24"/>
              </w:rPr>
              <w:t>247,056,697.80</w:t>
            </w:r>
          </w:p>
        </w:tc>
        <w:tc>
          <w:tcPr>
            <w:vAlign w:val="center"/>
          </w:tcPr>
          <w:p>
            <w:pPr>
              <w:jc w:val="right"/>
            </w:pPr>
            <w:r>
              <w:rPr>
                <w:color w:val="000000"/>
                <w:sz w:val="24"/>
                <w:szCs w:val="24"/>
              </w:rPr>
              <w:t>4.37</w:t>
            </w:r>
          </w:p>
        </w:tc>
        <w:tc>
          <w:tcPr>
            <w:vAlign w:val="center"/>
          </w:tcPr>
          <w:p>
            <w:pPr>
              <w:jc w:val="right"/>
            </w:pPr>
            <w:r>
              <w:rPr>
                <w:color w:val="000000"/>
                <w:sz w:val="24"/>
                <w:szCs w:val="24"/>
              </w:rPr>
              <w:t>重大事项</w:t>
            </w:r>
          </w:p>
        </w:tc>
      </w:tr>
      <w:tr>
        <w:tc>
          <w:tcPr>
            <w:vAlign w:val="center"/>
          </w:tcPr>
          <w:p>
            <w:pPr>
              <w:jc w:val="center"/>
            </w:pPr>
            <w:r>
              <w:rPr>
                <w:color w:val="000000"/>
                <w:sz w:val="24"/>
                <w:szCs w:val="24"/>
              </w:rPr>
              <w:t>4</w:t>
            </w:r>
          </w:p>
        </w:tc>
        <w:tc>
          <w:tcPr>
            <w:vAlign w:val="center"/>
          </w:tcPr>
          <w:p>
            <w:pPr>
              <w:jc w:val="center"/>
            </w:pPr>
            <w:r>
              <w:rPr>
                <w:color w:val="000000"/>
                <w:sz w:val="24"/>
                <w:szCs w:val="24"/>
              </w:rPr>
              <w:t>000671</w:t>
            </w:r>
          </w:p>
        </w:tc>
        <w:tc>
          <w:tcPr>
            <w:vAlign w:val="center"/>
          </w:tcPr>
          <w:p>
            <w:pPr>
              <w:jc w:val="center"/>
            </w:pPr>
            <w:r>
              <w:rPr>
                <w:color w:val="000000"/>
                <w:sz w:val="24"/>
                <w:szCs w:val="24"/>
              </w:rPr>
              <w:t>阳 光 城</w:t>
            </w:r>
          </w:p>
        </w:tc>
        <w:tc>
          <w:tcPr>
            <w:vAlign w:val="center"/>
          </w:tcPr>
          <w:p>
            <w:pPr>
              <w:jc w:val="right"/>
            </w:pPr>
            <w:r>
              <w:rPr>
                <w:color w:val="000000"/>
                <w:sz w:val="24"/>
                <w:szCs w:val="24"/>
              </w:rPr>
              <w:t>212,993,228.48</w:t>
            </w:r>
          </w:p>
        </w:tc>
        <w:tc>
          <w:tcPr>
            <w:vAlign w:val="center"/>
          </w:tcPr>
          <w:p>
            <w:pPr>
              <w:jc w:val="right"/>
            </w:pPr>
            <w:r>
              <w:rPr>
                <w:color w:val="000000"/>
                <w:sz w:val="24"/>
                <w:szCs w:val="24"/>
              </w:rPr>
              <w:t>3.76</w:t>
            </w:r>
          </w:p>
        </w:tc>
        <w:tc>
          <w:tcPr>
            <w:vAlign w:val="center"/>
          </w:tcPr>
          <w:p>
            <w:pPr>
              <w:jc w:val="right"/>
            </w:pPr>
            <w:r>
              <w:rPr>
                <w:color w:val="000000"/>
                <w:sz w:val="24"/>
                <w:szCs w:val="24"/>
              </w:rPr>
              <w:t>重大事项</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D02347"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
      </w:r>
      <w:r w:rsidR="003259C8"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
      </w:r>
      <w:r w:rsidR="001675CD" w:rsidRPr="00414345">
        <w:rPr>
          <w:color w:val="000000"/>
          <w:sz w:val="24"/>
          <w:szCs w:val="24"/>
        </w:rPr>
        <w:t/>
      </w: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8F60F2"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6D7FF8" w:rsidRPr="00414345">
              <w:rPr>
                <w:color w:val="000000"/>
                <w:sz w:val="24"/>
                <w:szCs w:val="24"/>
              </w:rPr>
              <w:t/>
            </w:r>
            <w:r w:rsidR="00355364" w:rsidRPr="00414345">
              <w:rPr>
                <w:color w:val="000000"/>
                <w:sz w:val="24"/>
                <w:szCs w:val="24"/>
              </w:rPr>
              <w:t/>
            </w:r>
            <w:r w:rsidR="006D7FF8" w:rsidRPr="00414345">
              <w:rPr>
                <w:color w:val="000000"/>
                <w:sz w:val="24"/>
                <w:szCs w:val="24"/>
              </w:rPr>
              <w:t>1,449,579,345.41</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120,024,608.97</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301,474,088.29</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lastRenderedPageBreak/>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355364" w:rsidRPr="00414345">
              <w:rPr>
                <w:color w:val="000000"/>
                <w:sz w:val="24"/>
                <w:szCs w:val="24"/>
              </w:rPr>
              <w:t/>
            </w:r>
            <w:r w:rsidRPr="00414345">
              <w:rPr>
                <w:color w:val="000000"/>
                <w:sz w:val="24"/>
                <w:szCs w:val="24"/>
              </w:rPr>
              <w:t>1,268,129,866.09</w:t>
            </w:r>
          </w:p>
        </w:tc>
      </w:tr>
    </w:tbl>
    <w:p>
      <w:pPr>
        <w:autoSpaceDE w:val="0"/>
        <w:autoSpaceDN w:val="0"/>
        <w:adjustRightInd w:val="0"/>
        <w:spacing w:before="29" w:line="288" w:lineRule="auto"/>
        <w:jc w:val="left"/>
        <w:rPr>
          <w:color w:val="000000"/>
          <w:sz w:val="24"/>
          <w:szCs w:val="24"/>
        </w:rPr>
      </w:pPr>
      <w:r>
        <w:rPr>
          <w:color w:val="000000"/>
          <w:sz w:val="24"/>
          <w:szCs w:val="24"/>
        </w:rPr>
        <w:t>注：1、如果本报告期间发生转换入、红利再投业务，则总申购份额中包含该业务；</w:t>
      </w:r>
    </w:p>
    <w:p w:rsidR="004061AC" w:rsidRPr="00414345" w:rsidRDefault="00F743D4" w:rsidP="00C15CAC">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xml:space="preserve">    2、如果本报告期间发生转换出业务，则总赎回份额中包含该业务。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ED2620" w:rsidP="006E6726">
      <w:pPr>
        <w:pStyle w:val="1"/>
        <w:tabs>
          <w:tab w:val="center" w:pos="4156"/>
          <w:tab w:val="right" w:pos="8312"/>
        </w:tabs>
        <w:spacing w:beforeLines="100" w:afterLines="100" w:line="288" w:lineRule="auto"/>
        <w:jc w:val="center"/>
        <w:rPr>
          <w:sz w:val="24"/>
          <w:szCs w:val="24"/>
        </w:rPr>
      </w:pPr>
      <w:r w:rsidRPr="00ED2620">
        <w:rPr>
          <w:rFonts w:eastAsiaTheme="minorEastAsia"/>
          <w:color w:val="000000"/>
          <w:kern w:val="0"/>
          <w:sz w:val="24"/>
          <w:szCs w:val="24"/>
        </w:rPr>
        <w:t/>
      </w:r>
      <w:r w:rsidR="000A2FC0" w:rsidRPr="00414345">
        <w:rPr>
          <w:color w:val="000000"/>
          <w:kern w:val="0"/>
          <w:sz w:val="24"/>
          <w:szCs w:val="24"/>
        </w:rPr>
        <w:t>§</w:t>
      </w:r>
      <w:r w:rsidRPr="00ED2620">
        <w:rPr>
          <w:rFonts w:eastAsiaTheme="minorEastAsia"/>
          <w:color w:val="000000"/>
          <w:kern w:val="0"/>
          <w:sz w:val="24"/>
          <w:szCs w:val="24"/>
        </w:rPr>
        <w:t xml:space="preserve">7  </w:t>
      </w:r>
      <w:r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w:r>
      <w:r w:rsidR="006075E6">
        <w:rPr>
          <w:rFonts w:eastAsiaTheme="minorEastAsia" w:hint="eastAsia"/>
          <w:color w:val="000000"/>
          <w:sz w:val="24"/>
        </w:rPr>
        <w:t/>
      </w: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4061AC" w:rsidRPr="00414345" w:rsidRDefault="00D02347" w:rsidP="006E6726">
      <w:pPr>
        <w:pStyle w:val="1"/>
        <w:spacing w:beforeLines="100" w:afterLines="100" w:line="288" w:lineRule="auto"/>
        <w:jc w:val="center"/>
        <w:rPr>
          <w:color w:val="000000"/>
          <w:kern w:val="0"/>
          <w:sz w:val="24"/>
          <w:szCs w:val="24"/>
        </w:rPr>
      </w:pPr>
      <w:r w:rsidRPr="00414345">
        <w:rPr>
          <w:color w:val="000000"/>
          <w:kern w:val="0"/>
          <w:sz w:val="24"/>
          <w:szCs w:val="24"/>
        </w:rPr>
        <w:t/>
      </w:r>
      <w:r w:rsidR="004061AC" w:rsidRPr="00414345">
        <w:rPr>
          <w:color w:val="000000"/>
          <w:kern w:val="0"/>
          <w:sz w:val="24"/>
          <w:szCs w:val="24"/>
        </w:rPr>
        <w:t>§</w:t>
      </w:r>
      <w:r w:rsidR="00D21FFF" w:rsidRPr="00414345">
        <w:rPr>
          <w:color w:val="000000"/>
          <w:kern w:val="0"/>
          <w:sz w:val="24"/>
          <w:szCs w:val="24"/>
        </w:rPr>
        <w:t/>
      </w:r>
      <w:r w:rsidR="006423B9" w:rsidRPr="00414345">
        <w:rPr>
          <w:color w:val="000000"/>
          <w:kern w:val="0"/>
          <w:sz w:val="24"/>
          <w:szCs w:val="24"/>
        </w:rPr>
        <w:t/>
      </w:r>
      <w:r w:rsidR="00676095" w:rsidRPr="00414345">
        <w:rPr>
          <w:color w:val="000000"/>
          <w:kern w:val="0"/>
          <w:sz w:val="24"/>
          <w:szCs w:val="24"/>
        </w:rPr>
        <w:t>8</w:t>
      </w:r>
      <w:r w:rsidR="00A3030E" w:rsidRPr="00414345">
        <w:rPr>
          <w:color w:val="000000"/>
          <w:kern w:val="0"/>
          <w:sz w:val="24"/>
          <w:szCs w:val="24"/>
        </w:rPr>
        <w:t xml:space="preserve"> </w:t>
      </w:r>
      <w:r w:rsidR="004061AC" w:rsidRPr="00414345">
        <w:rPr>
          <w:color w:val="000000"/>
          <w:kern w:val="0"/>
          <w:sz w:val="24"/>
          <w:szCs w:val="24"/>
        </w:rPr>
        <w:t>影响投资者决策的其他重要信息</w:t>
      </w:r>
    </w:p>
    <w:p>
      <w:pPr>
        <w:spacing w:before="29" w:line="288" w:lineRule="auto"/>
        <w:ind w:firstLineChars="200" w:firstLine="480"/>
        <w:rPr>
          <w:color w:val="000000"/>
          <w:sz w:val="24"/>
          <w:szCs w:val="24"/>
        </w:rPr>
      </w:pPr>
      <w:r>
        <w:rPr>
          <w:color w:val="000000"/>
          <w:sz w:val="24"/>
          <w:szCs w:val="24"/>
        </w:rPr>
        <w:t>根据《关于发布&lt;中国证券投资基金业协会估值核算工作小组关于2015年1季度固定收益品种的估值处理标准&gt;的通知》（中基协发[2014]24号）的要求，交银施罗德基金管理有限公司经与各基金托管人、会计师事务所协商一致，决定自2015年3月19日起对旗下基金持有的上海证券交易所、深圳证券交易所上市交易或挂牌转让的固定收益品种主要依据第三方估值机构提供的价格数据进行估值，该通知另有规定的除外。</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2015年3月19日当日进行的上述相关调整对前一估值日各基金资产净值的影响不超过0.50%。</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6E6726">
      <w:pPr>
        <w:pStyle w:val="1"/>
        <w:spacing w:beforeLines="100" w:afterLines="100"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
      </w:r>
      <w:r w:rsidR="00676095" w:rsidRPr="00414345">
        <w:rPr>
          <w:color w:val="000000"/>
          <w:kern w:val="0"/>
          <w:sz w:val="24"/>
          <w:szCs w:val="24"/>
        </w:rPr>
        <w:t/>
      </w:r>
      <w:r w:rsidR="00D02347" w:rsidRPr="00414345">
        <w:rPr>
          <w:color w:val="000000"/>
          <w:kern w:val="0"/>
          <w:sz w:val="24"/>
          <w:szCs w:val="24"/>
        </w:rPr>
        <w:t>9</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pPr>
        <w:spacing w:before="29" w:line="288" w:lineRule="auto"/>
        <w:ind w:firstLineChars="200" w:firstLine="480"/>
        <w:rPr>
          <w:color w:val="000000"/>
          <w:sz w:val="24"/>
          <w:szCs w:val="24"/>
        </w:rPr>
      </w:pPr>
      <w:r>
        <w:rPr>
          <w:color w:val="000000"/>
          <w:sz w:val="24"/>
          <w:szCs w:val="24"/>
        </w:rPr>
        <w:t xml:space="preserve">1、中国证监会批准交银施罗德成长股票证券投资基金募集的文件； </w:t>
      </w:r>
    </w:p>
    <w:p>
      <w:pPr>
        <w:spacing w:before="29" w:line="288" w:lineRule="auto"/>
        <w:ind w:firstLineChars="200" w:firstLine="480"/>
        <w:rPr>
          <w:color w:val="000000"/>
          <w:sz w:val="24"/>
          <w:szCs w:val="24"/>
        </w:rPr>
      </w:pPr>
      <w:r>
        <w:rPr>
          <w:color w:val="000000"/>
          <w:sz w:val="24"/>
          <w:szCs w:val="24"/>
        </w:rPr>
        <w:t xml:space="preserve">2、《交银施罗德成长股票证券投资基金基金合同》； </w:t>
      </w:r>
    </w:p>
    <w:p>
      <w:pPr>
        <w:spacing w:before="29" w:line="288" w:lineRule="auto"/>
        <w:ind w:firstLineChars="200" w:firstLine="480"/>
        <w:rPr>
          <w:color w:val="000000"/>
          <w:sz w:val="24"/>
          <w:szCs w:val="24"/>
        </w:rPr>
      </w:pPr>
      <w:r>
        <w:rPr>
          <w:color w:val="000000"/>
          <w:sz w:val="24"/>
          <w:szCs w:val="24"/>
        </w:rPr>
        <w:t xml:space="preserve">3、《交银施罗德成长股票证券投资基金招募说明书》； </w:t>
      </w:r>
    </w:p>
    <w:p>
      <w:pPr>
        <w:spacing w:before="29" w:line="288" w:lineRule="auto"/>
        <w:ind w:firstLineChars="200" w:firstLine="480"/>
        <w:rPr>
          <w:color w:val="000000"/>
          <w:sz w:val="24"/>
          <w:szCs w:val="24"/>
        </w:rPr>
      </w:pPr>
      <w:r>
        <w:rPr>
          <w:color w:val="000000"/>
          <w:sz w:val="24"/>
          <w:szCs w:val="24"/>
        </w:rPr>
        <w:t xml:space="preserve">4、《交银施罗德成长股票证券投资基金托管协议》； </w:t>
      </w:r>
    </w:p>
    <w:p>
      <w:pPr>
        <w:spacing w:before="29" w:line="288" w:lineRule="auto"/>
        <w:ind w:firstLineChars="200" w:firstLine="480"/>
        <w:rPr>
          <w:color w:val="000000"/>
          <w:sz w:val="24"/>
          <w:szCs w:val="24"/>
        </w:rPr>
      </w:pPr>
      <w:r>
        <w:rPr>
          <w:color w:val="000000"/>
          <w:sz w:val="24"/>
          <w:szCs w:val="24"/>
        </w:rPr>
        <w:t xml:space="preserve">5、关于募集交银施罗德成长股票证券投资基金之法律意见书； </w:t>
      </w:r>
    </w:p>
    <w:p>
      <w:pPr>
        <w:spacing w:before="29" w:line="288" w:lineRule="auto"/>
        <w:ind w:firstLineChars="200" w:firstLine="480"/>
        <w:rPr>
          <w:color w:val="000000"/>
          <w:sz w:val="24"/>
          <w:szCs w:val="24"/>
        </w:rPr>
      </w:pPr>
      <w:r>
        <w:rPr>
          <w:color w:val="000000"/>
          <w:sz w:val="24"/>
          <w:szCs w:val="24"/>
        </w:rPr>
        <w:t xml:space="preserve">6、基金管理人业务资格批件、营业执照； </w:t>
      </w:r>
    </w:p>
    <w:p>
      <w:pPr>
        <w:spacing w:before="29" w:line="288" w:lineRule="auto"/>
        <w:ind w:firstLineChars="200" w:firstLine="480"/>
        <w:rPr>
          <w:color w:val="000000"/>
          <w:sz w:val="24"/>
          <w:szCs w:val="24"/>
        </w:rPr>
      </w:pPr>
      <w:r>
        <w:rPr>
          <w:color w:val="000000"/>
          <w:sz w:val="24"/>
          <w:szCs w:val="24"/>
        </w:rPr>
        <w:t xml:space="preserve">7、基金托管人业务资格批件、营业执照；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8、报告期内交银施罗德成长股票证券投资基金在指定报刊上各项公告的原稿。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pPr>
        <w:spacing w:before="29" w:line="288" w:lineRule="auto"/>
        <w:ind w:firstLineChars="200" w:firstLine="480"/>
        <w:rPr>
          <w:color w:val="000000"/>
          <w:sz w:val="24"/>
          <w:szCs w:val="24"/>
        </w:rPr>
      </w:pPr>
      <w:r>
        <w:rPr>
          <w:color w:val="000000"/>
          <w:sz w:val="24"/>
          <w:szCs w:val="24"/>
        </w:rPr>
        <w:t xml:space="preserve">投资者可在办公时间内至基金管理人的办公场所免费查阅备查文件，或者登录基金管理人的网站(www.fund001.com，www.bocomschroder.com)查阅。在支付工本费后，投资者可在合理时间内取得上述文件的复制件或复印件。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投资者对本报告书如有疑问，可咨询本基金管理人交银施罗德基金管理有限公司。本公司客户服务中心电话：400-700-5000（免长途话费），021-61055000，电子邮件：services@jysld.com。</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048" w:rsidRDefault="00641048" w:rsidP="00876D65">
      <w:r>
        <w:separator/>
      </w:r>
    </w:p>
  </w:endnote>
  <w:endnote w:type="continuationSeparator" w:id="1">
    <w:p w:rsidR="00641048" w:rsidRDefault="00641048" w:rsidP="00876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variable"/>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821235">
      <w:rPr>
        <w:kern w:val="0"/>
        <w:szCs w:val="21"/>
      </w:rPr>
      <w:fldChar w:fldCharType="begin"/>
    </w:r>
    <w:r>
      <w:rPr>
        <w:kern w:val="0"/>
        <w:szCs w:val="21"/>
      </w:rPr>
      <w:instrText xml:space="preserve"> PAGE </w:instrText>
    </w:r>
    <w:r w:rsidR="00821235">
      <w:rPr>
        <w:kern w:val="0"/>
        <w:szCs w:val="21"/>
      </w:rPr>
      <w:fldChar w:fldCharType="separate"/>
    </w:r>
    <w:r w:rsidR="006E6726">
      <w:rPr>
        <w:noProof/>
        <w:kern w:val="0"/>
        <w:szCs w:val="21"/>
      </w:rPr>
      <w:t>2</w:t>
    </w:r>
    <w:r w:rsidR="00821235">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821235">
      <w:rPr>
        <w:kern w:val="0"/>
        <w:szCs w:val="21"/>
      </w:rPr>
      <w:fldChar w:fldCharType="begin"/>
    </w:r>
    <w:r>
      <w:rPr>
        <w:kern w:val="0"/>
        <w:szCs w:val="21"/>
      </w:rPr>
      <w:instrText xml:space="preserve"> NUMPAGES </w:instrText>
    </w:r>
    <w:r w:rsidR="00821235">
      <w:rPr>
        <w:kern w:val="0"/>
        <w:szCs w:val="21"/>
      </w:rPr>
      <w:fldChar w:fldCharType="separate"/>
    </w:r>
    <w:r w:rsidR="006E6726">
      <w:rPr>
        <w:noProof/>
        <w:kern w:val="0"/>
        <w:szCs w:val="21"/>
      </w:rPr>
      <w:t>22</w:t>
    </w:r>
    <w:r w:rsidR="00821235">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048" w:rsidRDefault="00641048" w:rsidP="00876D65">
      <w:r>
        <w:separator/>
      </w:r>
    </w:p>
  </w:footnote>
  <w:footnote w:type="continuationSeparator" w:id="1">
    <w:p w:rsidR="00641048" w:rsidRDefault="00641048" w:rsidP="00876D65">
      <w:r>
        <w:continuationSeparator/>
      </w:r>
    </w:p>
  </w:footnote>
  <w:footnote w:type="separator" w:id="0">
    <w:p w:rsidR="00641048" w:rsidRDefault="00641048" w:rsidP="00876D65">
      <w:r>
        <w:separator/>
      </w:r>
    </w:p>
  </w:footnote>
  <w:footnote w:type="continuationSeparator" w:id="1">
    <w:p w:rsidR="00641048" w:rsidRDefault="00641048" w:rsidP="00876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6061"/>
    <w:rsid w:val="003B3494"/>
    <w:rsid w:val="003B6FBC"/>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C063D"/>
    <w:rsid w:val="00AC592E"/>
    <w:rsid w:val="00AC6C10"/>
    <w:rsid w:val="00AC7BC6"/>
    <w:rsid w:val="00AD24AA"/>
    <w:rsid w:val="00AE7962"/>
    <w:rsid w:val="00AF0A7F"/>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36549"/>
    <w:rsid w:val="00E40D31"/>
    <w:rsid w:val="00E41260"/>
    <w:rsid w:val="00E44E18"/>
    <w:rsid w:val="00E52DBC"/>
    <w:rsid w:val="00E54301"/>
    <w:rsid w:val="00E54BF5"/>
    <w:rsid w:val="00E554A1"/>
    <w:rsid w:val="00E55ABD"/>
    <w:rsid w:val="00E60817"/>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F6E"/>
    <w:rsid w:val="00F3389C"/>
    <w:rsid w:val="00F375F2"/>
    <w:rsid w:val="00F45C47"/>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eg"/>
  <Relationship Id="rId11" Type="http://schemas.openxmlformats.org/officeDocument/2006/relationships/fontTable" Target="fontTable.xml"/>
  <Relationship Id="rId12" Type="http://schemas.openxmlformats.org/officeDocument/2006/relationships/theme" Target="theme/theme1.xml"/>
  <Relationship Id="rId13" Type="http://schemas.microsoft.com/office/2007/relationships/stylesWithEffects" Target="stylesWithEffects.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08779-086B-4E15-82A0-A25A6B92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TotalTime>
  <Pages>22</Pages>
  <Words>3145</Words>
  <Characters>17928</Characters>
  <Application>Microsoft Office Word</Application>
  <DocSecurity>0</DocSecurity>
  <Lines>149</Lines>
  <Paragraphs>42</Paragraphs>
  <ScaleCrop>false</ScaleCrop>
  <Company/>
  <LinksUpToDate>false</LinksUpToDate>
  <CharactersWithSpaces>21031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2012-10-16T06:07:00Z</dcterms:created>
  <lastModifiedBy>YlmF</lastModifiedBy>
  <dcterms:modified xsi:type="dcterms:W3CDTF">2015-01-16T09:04:00Z</dcterms:modified>
  <revision>558</revision>
</coreProperties>
</file>