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交银施罗德稳健配置混合型证券投资基金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二〇一五年四月二十一日</w:t>
      </w:r>
    </w:p>
    <w:p w:rsidR="004061AC" w:rsidRPr="00414345" w:rsidRDefault="004061AC" w:rsidP="008E0F14">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36C00" w:rsidRDefault="00CB7D8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36C00" w:rsidRDefault="00CB7D85">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2015</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36C00" w:rsidRDefault="00CB7D8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36C00" w:rsidRDefault="00CB7D85">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536C00" w:rsidRDefault="00CB7D85">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8E0F14">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交银稳健配置混合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2006</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14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2,484,683,216.12</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把握宏观经济和投资市场的变化趋势，根据经济周期理论动态调整投资组合比例，自上而下配置资产，自下而上精选证券，有效分散风险。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65%×MSCI</w:t>
            </w:r>
            <w:r w:rsidRPr="00414345">
              <w:rPr>
                <w:color w:val="000000"/>
                <w:kern w:val="0"/>
                <w:sz w:val="24"/>
                <w:szCs w:val="24"/>
              </w:rPr>
              <w:t>中国</w:t>
            </w:r>
            <w:r w:rsidRPr="00414345">
              <w:rPr>
                <w:color w:val="000000"/>
                <w:kern w:val="0"/>
                <w:sz w:val="24"/>
                <w:szCs w:val="24"/>
              </w:rPr>
              <w:t>A</w:t>
            </w:r>
            <w:r w:rsidRPr="00414345">
              <w:rPr>
                <w:color w:val="000000"/>
                <w:kern w:val="0"/>
                <w:sz w:val="24"/>
                <w:szCs w:val="24"/>
              </w:rPr>
              <w:t>股指数</w:t>
            </w:r>
            <w:r w:rsidRPr="00414345">
              <w:rPr>
                <w:color w:val="000000"/>
                <w:kern w:val="0"/>
                <w:sz w:val="24"/>
                <w:szCs w:val="24"/>
              </w:rPr>
              <w:t>+35%×</w:t>
            </w:r>
            <w:r w:rsidRPr="00414345">
              <w:rPr>
                <w:color w:val="000000"/>
                <w:kern w:val="0"/>
                <w:sz w:val="24"/>
                <w:szCs w:val="24"/>
              </w:rPr>
              <w:t>中信标普全债指数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本基金是一只混合型基金，属于证券投资基金产品中的中等风险品种，本基金的风险与预期收益处于股票型基金和债券型基金之间。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8E0F14">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26560" w:rsidRPr="00414345" w:rsidTr="00626560">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626560" w:rsidRPr="00414345" w:rsidTr="0062656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507,666,794.07</w:t>
            </w:r>
          </w:p>
        </w:tc>
      </w:tr>
      <w:tr w:rsidR="00626560" w:rsidRPr="00414345" w:rsidTr="0062656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1,714,999,281.88</w:t>
            </w:r>
          </w:p>
        </w:tc>
      </w:tr>
      <w:tr w:rsidR="00626560" w:rsidRPr="00414345" w:rsidTr="0062656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0.7179</w:t>
            </w:r>
          </w:p>
        </w:tc>
      </w:tr>
      <w:tr w:rsidR="00626560" w:rsidRPr="00414345" w:rsidTr="0062656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4,595,043,898.06</w:t>
            </w:r>
          </w:p>
        </w:tc>
      </w:tr>
      <w:tr w:rsidR="00626560" w:rsidRPr="00414345" w:rsidTr="00626560">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1.8493</w:t>
            </w:r>
          </w:p>
        </w:tc>
      </w:tr>
    </w:tbl>
    <w:p w:rsidR="00536C00" w:rsidRDefault="00CB7D8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36C00">
        <w:trPr>
          <w:jc w:val="center"/>
        </w:trPr>
        <w:tc>
          <w:tcPr>
            <w:tcW w:w="1701" w:type="dxa"/>
            <w:vAlign w:val="center"/>
          </w:tcPr>
          <w:p w:rsidR="00536C00" w:rsidRDefault="00CB7D85">
            <w:pPr>
              <w:jc w:val="left"/>
            </w:pPr>
            <w:r>
              <w:rPr>
                <w:color w:val="000000"/>
                <w:sz w:val="24"/>
                <w:szCs w:val="24"/>
              </w:rPr>
              <w:t>过去三个月</w:t>
            </w:r>
          </w:p>
        </w:tc>
        <w:tc>
          <w:tcPr>
            <w:tcW w:w="1045" w:type="dxa"/>
            <w:vAlign w:val="center"/>
          </w:tcPr>
          <w:p w:rsidR="00536C00" w:rsidRDefault="00CB7D85">
            <w:pPr>
              <w:jc w:val="center"/>
            </w:pPr>
            <w:r>
              <w:rPr>
                <w:color w:val="000000"/>
                <w:sz w:val="24"/>
                <w:szCs w:val="24"/>
              </w:rPr>
              <w:t>60.58%</w:t>
            </w:r>
          </w:p>
        </w:tc>
        <w:tc>
          <w:tcPr>
            <w:tcW w:w="1344" w:type="dxa"/>
            <w:vAlign w:val="center"/>
          </w:tcPr>
          <w:p w:rsidR="00536C00" w:rsidRDefault="00CB7D85">
            <w:pPr>
              <w:jc w:val="center"/>
            </w:pPr>
            <w:r>
              <w:rPr>
                <w:color w:val="000000"/>
                <w:sz w:val="24"/>
                <w:szCs w:val="24"/>
              </w:rPr>
              <w:t>2.14%</w:t>
            </w:r>
          </w:p>
        </w:tc>
        <w:tc>
          <w:tcPr>
            <w:tcW w:w="1194" w:type="dxa"/>
            <w:vAlign w:val="center"/>
          </w:tcPr>
          <w:p w:rsidR="00536C00" w:rsidRPr="00633745" w:rsidRDefault="00633745">
            <w:pPr>
              <w:jc w:val="center"/>
            </w:pPr>
            <w:r w:rsidRPr="00633745">
              <w:rPr>
                <w:color w:val="000000"/>
                <w:sz w:val="24"/>
                <w:szCs w:val="24"/>
              </w:rPr>
              <w:t>12.18%</w:t>
            </w:r>
          </w:p>
        </w:tc>
        <w:tc>
          <w:tcPr>
            <w:tcW w:w="1492" w:type="dxa"/>
            <w:vAlign w:val="center"/>
          </w:tcPr>
          <w:p w:rsidR="00536C00" w:rsidRPr="00633745" w:rsidRDefault="00633745">
            <w:pPr>
              <w:jc w:val="center"/>
            </w:pPr>
            <w:r w:rsidRPr="00633745">
              <w:rPr>
                <w:color w:val="000000"/>
                <w:sz w:val="24"/>
                <w:szCs w:val="24"/>
              </w:rPr>
              <w:t>1.14%</w:t>
            </w:r>
          </w:p>
        </w:tc>
        <w:tc>
          <w:tcPr>
            <w:tcW w:w="1194" w:type="dxa"/>
            <w:vAlign w:val="center"/>
          </w:tcPr>
          <w:p w:rsidR="00536C00" w:rsidRPr="00633745" w:rsidRDefault="00633745">
            <w:pPr>
              <w:jc w:val="center"/>
            </w:pPr>
            <w:r w:rsidRPr="00633745">
              <w:rPr>
                <w:color w:val="000000"/>
                <w:sz w:val="24"/>
                <w:szCs w:val="24"/>
              </w:rPr>
              <w:t>48.40%</w:t>
            </w:r>
          </w:p>
        </w:tc>
        <w:tc>
          <w:tcPr>
            <w:tcW w:w="898" w:type="dxa"/>
            <w:vAlign w:val="center"/>
          </w:tcPr>
          <w:p w:rsidR="00536C00" w:rsidRPr="00633745" w:rsidRDefault="00633745">
            <w:pPr>
              <w:jc w:val="center"/>
            </w:pPr>
            <w:r w:rsidRPr="00633745">
              <w:rPr>
                <w:color w:val="000000"/>
                <w:sz w:val="24"/>
                <w:szCs w:val="24"/>
              </w:rPr>
              <w:t>1.00%</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2013</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新华巴克莱资本中国全债指数</w:t>
      </w:r>
      <w:r w:rsidRPr="00414345">
        <w:rPr>
          <w:color w:val="000000"/>
          <w:sz w:val="24"/>
          <w:szCs w:val="24"/>
        </w:rPr>
        <w:t>”</w:t>
      </w:r>
      <w:r w:rsidRPr="00414345">
        <w:rPr>
          <w:color w:val="000000"/>
          <w:sz w:val="24"/>
          <w:szCs w:val="24"/>
        </w:rPr>
        <w:t>变更为</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中信标普全债指数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2013</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26</w:t>
      </w:r>
      <w:r w:rsidRPr="00414345">
        <w:rPr>
          <w:color w:val="000000"/>
          <w:sz w:val="24"/>
          <w:szCs w:val="24"/>
        </w:rPr>
        <w:t>日发布的《交银施罗德基金管理有限公司关于变更交银施罗德稳健配置混合型证券投资基金业绩比较基准并修改基金合同相关内容的公告》。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交银施罗德稳健配置混合型证券投资基金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A022EA" w:rsidP="00C15CAC">
      <w:pPr>
        <w:pStyle w:val="a5"/>
        <w:snapToGrid w:val="0"/>
        <w:spacing w:before="29" w:line="288" w:lineRule="auto"/>
        <w:jc w:val="center"/>
        <w:rPr>
          <w:rFonts w:ascii="Times New Roman" w:hAnsi="Times New Roman" w:cs="Times New Roman"/>
          <w:color w:val="000000"/>
          <w:sz w:val="24"/>
          <w:szCs w:val="24"/>
        </w:rPr>
      </w:pPr>
      <w:r w:rsidRPr="00414345">
        <w:rPr>
          <w:noProof/>
          <w:color w:val="000000"/>
          <w:sz w:val="24"/>
          <w:szCs w:val="24"/>
        </w:rPr>
        <w:drawing>
          <wp:inline distT="0" distB="0" distL="0" distR="0" wp14:anchorId="7383CABE" wp14:editId="2205D7DB">
            <wp:extent cx="5822588" cy="3409950"/>
            <wp:effectExtent l="0" t="0" r="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852618" cy="3427537"/>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C775A5" w:rsidRDefault="00693843" w:rsidP="00C15CAC">
      <w:pPr>
        <w:tabs>
          <w:tab w:val="left" w:pos="1800"/>
        </w:tabs>
        <w:spacing w:before="29" w:line="288" w:lineRule="auto"/>
        <w:rPr>
          <w:rFonts w:hint="eastAsia"/>
          <w:color w:val="000000"/>
          <w:sz w:val="24"/>
          <w:szCs w:val="24"/>
        </w:rPr>
      </w:pPr>
      <w:bookmarkStart w:id="0" w:name="_GoBack"/>
      <w:bookmarkEnd w:id="0"/>
    </w:p>
    <w:p w:rsidR="004061AC" w:rsidRPr="00414345" w:rsidRDefault="004061AC" w:rsidP="008E0F14">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536C00">
        <w:trPr>
          <w:jc w:val="center"/>
        </w:trPr>
        <w:tc>
          <w:tcPr>
            <w:tcW w:w="846" w:type="dxa"/>
            <w:vAlign w:val="center"/>
          </w:tcPr>
          <w:p w:rsidR="00536C00" w:rsidRDefault="00CB7D85">
            <w:pPr>
              <w:jc w:val="center"/>
            </w:pPr>
            <w:r>
              <w:rPr>
                <w:color w:val="000000"/>
                <w:sz w:val="24"/>
                <w:szCs w:val="24"/>
              </w:rPr>
              <w:t>唐倩</w:t>
            </w:r>
          </w:p>
        </w:tc>
        <w:tc>
          <w:tcPr>
            <w:tcW w:w="845" w:type="dxa"/>
            <w:vAlign w:val="center"/>
          </w:tcPr>
          <w:p w:rsidR="00536C00" w:rsidRDefault="00CB7D85">
            <w:pPr>
              <w:jc w:val="center"/>
            </w:pPr>
            <w:r>
              <w:rPr>
                <w:color w:val="000000"/>
                <w:sz w:val="24"/>
                <w:szCs w:val="24"/>
              </w:rPr>
              <w:t>本基金的基金经理，公司权益部副总经理</w:t>
            </w:r>
          </w:p>
        </w:tc>
        <w:tc>
          <w:tcPr>
            <w:tcW w:w="1549" w:type="dxa"/>
            <w:vAlign w:val="center"/>
          </w:tcPr>
          <w:p w:rsidR="00536C00" w:rsidRDefault="00CB7D85">
            <w:pPr>
              <w:jc w:val="center"/>
            </w:pPr>
            <w:r>
              <w:rPr>
                <w:color w:val="000000"/>
                <w:sz w:val="24"/>
                <w:szCs w:val="24"/>
              </w:rPr>
              <w:t>2013-12-12</w:t>
            </w:r>
          </w:p>
        </w:tc>
        <w:tc>
          <w:tcPr>
            <w:tcW w:w="1548" w:type="dxa"/>
            <w:vAlign w:val="center"/>
          </w:tcPr>
          <w:p w:rsidR="00536C00" w:rsidRDefault="00CB7D85">
            <w:pPr>
              <w:jc w:val="center"/>
            </w:pPr>
            <w:r>
              <w:rPr>
                <w:color w:val="000000"/>
                <w:sz w:val="24"/>
                <w:szCs w:val="24"/>
              </w:rPr>
              <w:t>-</w:t>
            </w:r>
          </w:p>
        </w:tc>
        <w:tc>
          <w:tcPr>
            <w:tcW w:w="1407" w:type="dxa"/>
            <w:vAlign w:val="center"/>
          </w:tcPr>
          <w:p w:rsidR="00536C00" w:rsidRDefault="00CB7D85">
            <w:pPr>
              <w:jc w:val="center"/>
            </w:pPr>
            <w:r>
              <w:rPr>
                <w:color w:val="000000"/>
                <w:sz w:val="24"/>
                <w:szCs w:val="24"/>
              </w:rPr>
              <w:t>15</w:t>
            </w:r>
            <w:r>
              <w:rPr>
                <w:color w:val="000000"/>
                <w:sz w:val="24"/>
                <w:szCs w:val="24"/>
              </w:rPr>
              <w:t>年</w:t>
            </w:r>
          </w:p>
        </w:tc>
        <w:tc>
          <w:tcPr>
            <w:tcW w:w="2673" w:type="dxa"/>
            <w:vAlign w:val="center"/>
          </w:tcPr>
          <w:p w:rsidR="00536C00" w:rsidRDefault="00CB7D85">
            <w:r>
              <w:rPr>
                <w:color w:val="000000"/>
                <w:sz w:val="24"/>
                <w:szCs w:val="24"/>
              </w:rPr>
              <w:t>唐倩女士，</w:t>
            </w:r>
            <w:r>
              <w:rPr>
                <w:color w:val="000000"/>
                <w:sz w:val="24"/>
                <w:szCs w:val="24"/>
              </w:rPr>
              <w:t>CPA</w:t>
            </w:r>
            <w:r>
              <w:rPr>
                <w:color w:val="000000"/>
                <w:sz w:val="24"/>
                <w:szCs w:val="24"/>
              </w:rPr>
              <w:t>，华东师范大学金融学硕士。历任申银万国证券研究所分析师，中银国际有限公司分析师，香港雷曼兄弟证券公司研究员，上投摩根基金管理有限公司研究部总监、基金经理。其中</w:t>
            </w:r>
            <w:r>
              <w:rPr>
                <w:color w:val="000000"/>
                <w:sz w:val="24"/>
                <w:szCs w:val="24"/>
              </w:rPr>
              <w:t>2011</w:t>
            </w:r>
            <w:r>
              <w:rPr>
                <w:color w:val="000000"/>
                <w:sz w:val="24"/>
                <w:szCs w:val="24"/>
              </w:rPr>
              <w:t>年</w:t>
            </w:r>
            <w:r>
              <w:rPr>
                <w:color w:val="000000"/>
                <w:sz w:val="24"/>
                <w:szCs w:val="24"/>
              </w:rPr>
              <w:t>4</w:t>
            </w:r>
            <w:r>
              <w:rPr>
                <w:color w:val="000000"/>
                <w:sz w:val="24"/>
                <w:szCs w:val="24"/>
              </w:rPr>
              <w:t>月</w:t>
            </w:r>
            <w:r>
              <w:rPr>
                <w:color w:val="000000"/>
                <w:sz w:val="24"/>
                <w:szCs w:val="24"/>
              </w:rPr>
              <w:t>28</w:t>
            </w:r>
            <w:r>
              <w:rPr>
                <w:color w:val="000000"/>
                <w:sz w:val="24"/>
                <w:szCs w:val="24"/>
              </w:rPr>
              <w:t>日至</w:t>
            </w:r>
            <w:r>
              <w:rPr>
                <w:color w:val="000000"/>
                <w:sz w:val="24"/>
                <w:szCs w:val="24"/>
              </w:rPr>
              <w:t>2013</w:t>
            </w:r>
            <w:r>
              <w:rPr>
                <w:color w:val="000000"/>
                <w:sz w:val="24"/>
                <w:szCs w:val="24"/>
              </w:rPr>
              <w:t>年</w:t>
            </w:r>
            <w:r>
              <w:rPr>
                <w:color w:val="000000"/>
                <w:sz w:val="24"/>
                <w:szCs w:val="24"/>
              </w:rPr>
              <w:t>7</w:t>
            </w:r>
            <w:r>
              <w:rPr>
                <w:color w:val="000000"/>
                <w:sz w:val="24"/>
                <w:szCs w:val="24"/>
              </w:rPr>
              <w:t>月</w:t>
            </w:r>
            <w:r>
              <w:rPr>
                <w:color w:val="000000"/>
                <w:sz w:val="24"/>
                <w:szCs w:val="24"/>
              </w:rPr>
              <w:t>8</w:t>
            </w:r>
            <w:r>
              <w:rPr>
                <w:color w:val="000000"/>
                <w:sz w:val="24"/>
                <w:szCs w:val="24"/>
              </w:rPr>
              <w:t>日担任上投摩根成长先锋基金经理。</w:t>
            </w:r>
            <w:r>
              <w:rPr>
                <w:color w:val="000000"/>
                <w:sz w:val="24"/>
                <w:szCs w:val="24"/>
              </w:rPr>
              <w:t>2013</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36C00" w:rsidRDefault="00CB7D8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536C00" w:rsidRDefault="00CB7D8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536C00" w:rsidRDefault="00CB7D8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36C00" w:rsidRDefault="00CB7D85">
      <w:pPr>
        <w:spacing w:before="29" w:line="288" w:lineRule="auto"/>
        <w:ind w:firstLineChars="200" w:firstLine="480"/>
        <w:rPr>
          <w:color w:val="000000"/>
          <w:sz w:val="24"/>
          <w:szCs w:val="24"/>
        </w:rPr>
      </w:pPr>
      <w:r>
        <w:rPr>
          <w:color w:val="000000"/>
          <w:sz w:val="24"/>
          <w:szCs w:val="24"/>
        </w:rPr>
        <w:t>2015</w:t>
      </w:r>
      <w:r>
        <w:rPr>
          <w:color w:val="000000"/>
          <w:sz w:val="24"/>
          <w:szCs w:val="24"/>
        </w:rPr>
        <w:t>年一季度，在成长股带领下，</w:t>
      </w:r>
      <w:r>
        <w:rPr>
          <w:color w:val="000000"/>
          <w:sz w:val="24"/>
          <w:szCs w:val="24"/>
        </w:rPr>
        <w:t>A</w:t>
      </w:r>
      <w:r>
        <w:rPr>
          <w:color w:val="000000"/>
          <w:sz w:val="24"/>
          <w:szCs w:val="24"/>
        </w:rPr>
        <w:t>股市场有了很好的表现。从互联网到</w:t>
      </w:r>
      <w:r>
        <w:rPr>
          <w:color w:val="000000"/>
          <w:sz w:val="24"/>
          <w:szCs w:val="24"/>
        </w:rPr>
        <w:t>O2O</w:t>
      </w:r>
      <w:r>
        <w:rPr>
          <w:color w:val="000000"/>
          <w:sz w:val="24"/>
          <w:szCs w:val="24"/>
        </w:rPr>
        <w:t>，从国企改革到新能源，我们看到创新和变革这条主线在各个领域开花结果。从表面上来看，仿佛是互不相同，但根本上反映出投资者的共识：经济增长最根本的推动力是生产率的提升。过去，我们所沿袭的粗放式增长遇到了资金、资源、环境和政治等诸多壁垒，从而难以为继。同时，我们又看到以互联网为代表的新兴产业以一种全新的生产关系，重塑了所有的供应链环节，从而释放出难以想象的活力。如果说在互联网精神深入人心之前，社会的变化是以</w:t>
      </w:r>
      <w:r>
        <w:rPr>
          <w:color w:val="000000"/>
          <w:sz w:val="24"/>
          <w:szCs w:val="24"/>
        </w:rPr>
        <w:t>“</w:t>
      </w:r>
      <w:r>
        <w:rPr>
          <w:color w:val="000000"/>
          <w:sz w:val="24"/>
          <w:szCs w:val="24"/>
        </w:rPr>
        <w:t>年</w:t>
      </w:r>
      <w:r>
        <w:rPr>
          <w:color w:val="000000"/>
          <w:sz w:val="24"/>
          <w:szCs w:val="24"/>
        </w:rPr>
        <w:t>”</w:t>
      </w:r>
      <w:r>
        <w:rPr>
          <w:color w:val="000000"/>
          <w:sz w:val="24"/>
          <w:szCs w:val="24"/>
        </w:rPr>
        <w:t>或者</w:t>
      </w:r>
      <w:r>
        <w:rPr>
          <w:color w:val="000000"/>
          <w:sz w:val="24"/>
          <w:szCs w:val="24"/>
        </w:rPr>
        <w:t>“</w:t>
      </w:r>
      <w:r>
        <w:rPr>
          <w:color w:val="000000"/>
          <w:sz w:val="24"/>
          <w:szCs w:val="24"/>
        </w:rPr>
        <w:t>世纪</w:t>
      </w:r>
      <w:r>
        <w:rPr>
          <w:color w:val="000000"/>
          <w:sz w:val="24"/>
          <w:szCs w:val="24"/>
        </w:rPr>
        <w:t>”</w:t>
      </w:r>
      <w:r>
        <w:rPr>
          <w:color w:val="000000"/>
          <w:sz w:val="24"/>
          <w:szCs w:val="24"/>
        </w:rPr>
        <w:t>来计量的话，那么在互联网精神为各界所广为传播后，这种变化则突然加速到</w:t>
      </w:r>
      <w:r>
        <w:rPr>
          <w:color w:val="000000"/>
          <w:sz w:val="24"/>
          <w:szCs w:val="24"/>
        </w:rPr>
        <w:t>“</w:t>
      </w:r>
      <w:r>
        <w:rPr>
          <w:color w:val="000000"/>
          <w:sz w:val="24"/>
          <w:szCs w:val="24"/>
        </w:rPr>
        <w:t>天</w:t>
      </w:r>
      <w:r>
        <w:rPr>
          <w:color w:val="000000"/>
          <w:sz w:val="24"/>
          <w:szCs w:val="24"/>
        </w:rPr>
        <w:t>”</w:t>
      </w:r>
      <w:r>
        <w:rPr>
          <w:color w:val="000000"/>
          <w:sz w:val="24"/>
          <w:szCs w:val="24"/>
        </w:rPr>
        <w:t>甚至</w:t>
      </w:r>
      <w:r>
        <w:rPr>
          <w:color w:val="000000"/>
          <w:sz w:val="24"/>
          <w:szCs w:val="24"/>
        </w:rPr>
        <w:t>“</w:t>
      </w:r>
      <w:r>
        <w:rPr>
          <w:color w:val="000000"/>
          <w:sz w:val="24"/>
          <w:szCs w:val="24"/>
        </w:rPr>
        <w:t>小时</w:t>
      </w:r>
      <w:r>
        <w:rPr>
          <w:color w:val="000000"/>
          <w:sz w:val="24"/>
          <w:szCs w:val="24"/>
        </w:rPr>
        <w:t>”</w:t>
      </w:r>
      <w:r>
        <w:rPr>
          <w:color w:val="000000"/>
          <w:sz w:val="24"/>
          <w:szCs w:val="24"/>
        </w:rPr>
        <w:t>。各行各业的有志之士，都在积极地拥抱这种变化。今年一季度的行情也是这种精神的体现。相应而言，本基金在一季度表现较好，主要原因也是把握住了部分优秀的具有</w:t>
      </w:r>
      <w:r>
        <w:rPr>
          <w:color w:val="000000"/>
          <w:sz w:val="24"/>
          <w:szCs w:val="24"/>
        </w:rPr>
        <w:t>“</w:t>
      </w:r>
      <w:r>
        <w:rPr>
          <w:color w:val="000000"/>
          <w:sz w:val="24"/>
          <w:szCs w:val="24"/>
        </w:rPr>
        <w:t>互联网精神</w:t>
      </w:r>
      <w:r>
        <w:rPr>
          <w:color w:val="000000"/>
          <w:sz w:val="24"/>
          <w:szCs w:val="24"/>
        </w:rPr>
        <w:t>”</w:t>
      </w:r>
      <w:r>
        <w:rPr>
          <w:color w:val="000000"/>
          <w:sz w:val="24"/>
          <w:szCs w:val="24"/>
        </w:rPr>
        <w:t>的龙头公司投资机会。</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展望二季度，一方面，在刚出台的房地产新政的带动下，经济有望企稳。另一方面，随着市场交易量创下新高，预计相关公司也可能受益。但是市场主线还是在</w:t>
      </w:r>
      <w:r w:rsidRPr="00414345">
        <w:rPr>
          <w:color w:val="000000"/>
          <w:sz w:val="24"/>
          <w:szCs w:val="24"/>
        </w:rPr>
        <w:t>“</w:t>
      </w:r>
      <w:r w:rsidRPr="00414345">
        <w:rPr>
          <w:color w:val="000000"/>
          <w:sz w:val="24"/>
          <w:szCs w:val="24"/>
        </w:rPr>
        <w:t>创新和变革</w:t>
      </w:r>
      <w:r w:rsidRPr="00414345">
        <w:rPr>
          <w:color w:val="000000"/>
          <w:sz w:val="24"/>
          <w:szCs w:val="24"/>
        </w:rPr>
        <w:t>”</w:t>
      </w:r>
      <w:r w:rsidRPr="00414345">
        <w:rPr>
          <w:color w:val="000000"/>
          <w:sz w:val="24"/>
          <w:szCs w:val="24"/>
        </w:rPr>
        <w:t>这个方向，公司的表现分化是必然现象。我们认为，随着上市公司数量的快速增长，真正的好公司从占比而言只会越来越稀缺，对于各公司的互联网战略的大考可能在一两年内就有见分晓。作为主动投资基金管理人，寻找那些稀缺的好公司仍然是首要工作。</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9C5186" w:rsidRDefault="004061AC" w:rsidP="00C15CAC">
      <w:pPr>
        <w:spacing w:before="29" w:line="288" w:lineRule="auto"/>
        <w:ind w:firstLineChars="200" w:firstLine="480"/>
        <w:rPr>
          <w:color w:val="000000"/>
          <w:kern w:val="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1.8493</w:t>
      </w:r>
      <w:r w:rsidRPr="00414345">
        <w:rPr>
          <w:color w:val="000000"/>
          <w:sz w:val="24"/>
          <w:szCs w:val="24"/>
        </w:rPr>
        <w:t>元，本报告期份额净值增长率为</w:t>
      </w:r>
      <w:r w:rsidRPr="00414345">
        <w:rPr>
          <w:color w:val="000000"/>
          <w:sz w:val="24"/>
          <w:szCs w:val="24"/>
        </w:rPr>
        <w:t>60.58%</w:t>
      </w:r>
      <w:r w:rsidRPr="00414345">
        <w:rPr>
          <w:color w:val="000000"/>
          <w:sz w:val="24"/>
          <w:szCs w:val="24"/>
        </w:rPr>
        <w:t>，同期业绩比较基准增长率为</w:t>
      </w:r>
      <w:r w:rsidR="00633745" w:rsidRPr="00633745">
        <w:rPr>
          <w:color w:val="000000"/>
          <w:kern w:val="0"/>
          <w:sz w:val="24"/>
          <w:szCs w:val="24"/>
        </w:rPr>
        <w:t>12.18%</w:t>
      </w:r>
      <w:r w:rsidR="00633745" w:rsidRPr="00633745">
        <w:rPr>
          <w:rFonts w:hint="eastAsia"/>
          <w:color w:val="000000"/>
          <w:kern w:val="0"/>
          <w:sz w:val="24"/>
          <w:szCs w:val="24"/>
        </w:rPr>
        <w:t>。</w:t>
      </w:r>
    </w:p>
    <w:p w:rsidR="00633745" w:rsidRPr="00414345" w:rsidRDefault="00633745"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626560">
        <w:rPr>
          <w:rFonts w:hint="eastAsia"/>
          <w:b/>
          <w:color w:val="000000"/>
          <w:kern w:val="0"/>
          <w:sz w:val="24"/>
        </w:rPr>
        <w:t xml:space="preserve"> </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8E0F14">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4,032,084,445.83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84.33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4,032,084,445.83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84.33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30,009,000.00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0.63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30,009,000.00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0.63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325,284,722.64</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6.80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299,312,292.22</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6.26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94,468,959.77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1.98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4,781,159,420.46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149,618,349.85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3.26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64,207.64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1,445,765,559.84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31.46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16,568,888.28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59,585,158.34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46,568,606.38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1,419,106,998.89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30.88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134,570,396.58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497,077,420.07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10.82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25,145,242.62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6,475.15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237,448,529.34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30,230.28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528,382.57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4,032,084,445.83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87.75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536C00">
        <w:trPr>
          <w:jc w:val="center"/>
        </w:trPr>
        <w:tc>
          <w:tcPr>
            <w:tcW w:w="855" w:type="dxa"/>
            <w:vAlign w:val="center"/>
          </w:tcPr>
          <w:p w:rsidR="00536C00" w:rsidRDefault="00CB7D85">
            <w:pPr>
              <w:jc w:val="center"/>
            </w:pPr>
            <w:r>
              <w:rPr>
                <w:color w:val="000000"/>
                <w:sz w:val="24"/>
                <w:szCs w:val="24"/>
              </w:rPr>
              <w:t>1</w:t>
            </w:r>
          </w:p>
        </w:tc>
        <w:tc>
          <w:tcPr>
            <w:tcW w:w="1334" w:type="dxa"/>
            <w:vAlign w:val="center"/>
          </w:tcPr>
          <w:p w:rsidR="00536C00" w:rsidRDefault="00CB7D85">
            <w:pPr>
              <w:jc w:val="center"/>
            </w:pPr>
            <w:r>
              <w:rPr>
                <w:color w:val="000000"/>
                <w:sz w:val="24"/>
                <w:szCs w:val="24"/>
              </w:rPr>
              <w:t>002568</w:t>
            </w:r>
          </w:p>
        </w:tc>
        <w:tc>
          <w:tcPr>
            <w:tcW w:w="1777" w:type="dxa"/>
            <w:vAlign w:val="center"/>
          </w:tcPr>
          <w:p w:rsidR="00536C00" w:rsidRDefault="00CB7D85">
            <w:pPr>
              <w:jc w:val="center"/>
            </w:pPr>
            <w:r>
              <w:rPr>
                <w:color w:val="000000"/>
                <w:sz w:val="24"/>
                <w:szCs w:val="24"/>
              </w:rPr>
              <w:t>百润股份</w:t>
            </w:r>
          </w:p>
        </w:tc>
        <w:tc>
          <w:tcPr>
            <w:tcW w:w="1334" w:type="dxa"/>
            <w:vAlign w:val="center"/>
          </w:tcPr>
          <w:p w:rsidR="00536C00" w:rsidRDefault="00CB7D85">
            <w:pPr>
              <w:jc w:val="right"/>
            </w:pPr>
            <w:r>
              <w:rPr>
                <w:color w:val="000000"/>
                <w:sz w:val="24"/>
                <w:szCs w:val="24"/>
              </w:rPr>
              <w:t>4,379,313</w:t>
            </w:r>
          </w:p>
        </w:tc>
        <w:tc>
          <w:tcPr>
            <w:tcW w:w="1924" w:type="dxa"/>
            <w:vAlign w:val="center"/>
          </w:tcPr>
          <w:p w:rsidR="00536C00" w:rsidRDefault="00CB7D85">
            <w:pPr>
              <w:jc w:val="right"/>
            </w:pPr>
            <w:r>
              <w:rPr>
                <w:color w:val="000000"/>
                <w:sz w:val="24"/>
                <w:szCs w:val="24"/>
              </w:rPr>
              <w:t>351,001,936.95</w:t>
            </w:r>
          </w:p>
        </w:tc>
        <w:tc>
          <w:tcPr>
            <w:tcW w:w="1644" w:type="dxa"/>
            <w:vAlign w:val="center"/>
          </w:tcPr>
          <w:p w:rsidR="00536C00" w:rsidRDefault="00CB7D85">
            <w:pPr>
              <w:jc w:val="right"/>
            </w:pPr>
            <w:r>
              <w:rPr>
                <w:color w:val="000000"/>
                <w:sz w:val="24"/>
                <w:szCs w:val="24"/>
              </w:rPr>
              <w:t>7.64</w:t>
            </w:r>
          </w:p>
        </w:tc>
      </w:tr>
      <w:tr w:rsidR="00536C00">
        <w:trPr>
          <w:jc w:val="center"/>
        </w:trPr>
        <w:tc>
          <w:tcPr>
            <w:tcW w:w="855" w:type="dxa"/>
            <w:vAlign w:val="center"/>
          </w:tcPr>
          <w:p w:rsidR="00536C00" w:rsidRDefault="00CB7D85">
            <w:pPr>
              <w:jc w:val="center"/>
            </w:pPr>
            <w:r>
              <w:rPr>
                <w:color w:val="000000"/>
                <w:sz w:val="24"/>
                <w:szCs w:val="24"/>
              </w:rPr>
              <w:t>2</w:t>
            </w:r>
          </w:p>
        </w:tc>
        <w:tc>
          <w:tcPr>
            <w:tcW w:w="1334" w:type="dxa"/>
            <w:vAlign w:val="center"/>
          </w:tcPr>
          <w:p w:rsidR="00536C00" w:rsidRDefault="00CB7D85">
            <w:pPr>
              <w:jc w:val="center"/>
            </w:pPr>
            <w:r>
              <w:rPr>
                <w:color w:val="000000"/>
                <w:sz w:val="24"/>
                <w:szCs w:val="24"/>
              </w:rPr>
              <w:t>300226</w:t>
            </w:r>
          </w:p>
        </w:tc>
        <w:tc>
          <w:tcPr>
            <w:tcW w:w="1777" w:type="dxa"/>
            <w:vAlign w:val="center"/>
          </w:tcPr>
          <w:p w:rsidR="00536C00" w:rsidRDefault="00CB7D85">
            <w:pPr>
              <w:jc w:val="center"/>
            </w:pPr>
            <w:r>
              <w:rPr>
                <w:color w:val="000000"/>
                <w:sz w:val="24"/>
                <w:szCs w:val="24"/>
              </w:rPr>
              <w:t>上海钢联</w:t>
            </w:r>
          </w:p>
        </w:tc>
        <w:tc>
          <w:tcPr>
            <w:tcW w:w="1334" w:type="dxa"/>
            <w:vAlign w:val="center"/>
          </w:tcPr>
          <w:p w:rsidR="00536C00" w:rsidRDefault="00CB7D85">
            <w:pPr>
              <w:jc w:val="right"/>
            </w:pPr>
            <w:r>
              <w:rPr>
                <w:color w:val="000000"/>
                <w:sz w:val="24"/>
                <w:szCs w:val="24"/>
              </w:rPr>
              <w:t>2,807,309</w:t>
            </w:r>
          </w:p>
        </w:tc>
        <w:tc>
          <w:tcPr>
            <w:tcW w:w="1924" w:type="dxa"/>
            <w:vAlign w:val="center"/>
          </w:tcPr>
          <w:p w:rsidR="00536C00" w:rsidRDefault="00CB7D85">
            <w:pPr>
              <w:jc w:val="right"/>
            </w:pPr>
            <w:r>
              <w:rPr>
                <w:color w:val="000000"/>
                <w:sz w:val="24"/>
                <w:szCs w:val="24"/>
              </w:rPr>
              <w:t>326,209,305.80</w:t>
            </w:r>
          </w:p>
        </w:tc>
        <w:tc>
          <w:tcPr>
            <w:tcW w:w="1644" w:type="dxa"/>
            <w:vAlign w:val="center"/>
          </w:tcPr>
          <w:p w:rsidR="00536C00" w:rsidRDefault="00CB7D85">
            <w:pPr>
              <w:jc w:val="right"/>
            </w:pPr>
            <w:r>
              <w:rPr>
                <w:color w:val="000000"/>
                <w:sz w:val="24"/>
                <w:szCs w:val="24"/>
              </w:rPr>
              <w:t>7.10</w:t>
            </w:r>
          </w:p>
        </w:tc>
      </w:tr>
      <w:tr w:rsidR="00536C00">
        <w:trPr>
          <w:jc w:val="center"/>
        </w:trPr>
        <w:tc>
          <w:tcPr>
            <w:tcW w:w="855" w:type="dxa"/>
            <w:vAlign w:val="center"/>
          </w:tcPr>
          <w:p w:rsidR="00536C00" w:rsidRDefault="00CB7D85">
            <w:pPr>
              <w:jc w:val="center"/>
            </w:pPr>
            <w:r>
              <w:rPr>
                <w:color w:val="000000"/>
                <w:sz w:val="24"/>
                <w:szCs w:val="24"/>
              </w:rPr>
              <w:t>3</w:t>
            </w:r>
          </w:p>
        </w:tc>
        <w:tc>
          <w:tcPr>
            <w:tcW w:w="1334" w:type="dxa"/>
            <w:vAlign w:val="center"/>
          </w:tcPr>
          <w:p w:rsidR="00536C00" w:rsidRDefault="00CB7D85">
            <w:pPr>
              <w:jc w:val="center"/>
            </w:pPr>
            <w:r>
              <w:rPr>
                <w:color w:val="000000"/>
                <w:sz w:val="24"/>
                <w:szCs w:val="24"/>
              </w:rPr>
              <w:t>002285</w:t>
            </w:r>
          </w:p>
        </w:tc>
        <w:tc>
          <w:tcPr>
            <w:tcW w:w="1777" w:type="dxa"/>
            <w:vAlign w:val="center"/>
          </w:tcPr>
          <w:p w:rsidR="00536C00" w:rsidRDefault="00CB7D85">
            <w:pPr>
              <w:jc w:val="center"/>
            </w:pPr>
            <w:r>
              <w:rPr>
                <w:color w:val="000000"/>
                <w:sz w:val="24"/>
                <w:szCs w:val="24"/>
              </w:rPr>
              <w:t>世联行</w:t>
            </w:r>
          </w:p>
        </w:tc>
        <w:tc>
          <w:tcPr>
            <w:tcW w:w="1334" w:type="dxa"/>
            <w:vAlign w:val="center"/>
          </w:tcPr>
          <w:p w:rsidR="00536C00" w:rsidRDefault="00CB7D85">
            <w:pPr>
              <w:jc w:val="right"/>
            </w:pPr>
            <w:r>
              <w:rPr>
                <w:color w:val="000000"/>
                <w:sz w:val="24"/>
                <w:szCs w:val="24"/>
              </w:rPr>
              <w:t>7,232,061</w:t>
            </w:r>
          </w:p>
        </w:tc>
        <w:tc>
          <w:tcPr>
            <w:tcW w:w="1924" w:type="dxa"/>
            <w:vAlign w:val="center"/>
          </w:tcPr>
          <w:p w:rsidR="00536C00" w:rsidRDefault="00CB7D85">
            <w:pPr>
              <w:jc w:val="right"/>
            </w:pPr>
            <w:r>
              <w:rPr>
                <w:color w:val="000000"/>
                <w:sz w:val="24"/>
                <w:szCs w:val="24"/>
              </w:rPr>
              <w:t>280,459,325.58</w:t>
            </w:r>
          </w:p>
        </w:tc>
        <w:tc>
          <w:tcPr>
            <w:tcW w:w="1644" w:type="dxa"/>
            <w:vAlign w:val="center"/>
          </w:tcPr>
          <w:p w:rsidR="00536C00" w:rsidRDefault="00CB7D85">
            <w:pPr>
              <w:jc w:val="right"/>
            </w:pPr>
            <w:r>
              <w:rPr>
                <w:color w:val="000000"/>
                <w:sz w:val="24"/>
                <w:szCs w:val="24"/>
              </w:rPr>
              <w:t>6.10</w:t>
            </w:r>
          </w:p>
        </w:tc>
      </w:tr>
      <w:tr w:rsidR="00536C00">
        <w:trPr>
          <w:jc w:val="center"/>
        </w:trPr>
        <w:tc>
          <w:tcPr>
            <w:tcW w:w="855" w:type="dxa"/>
            <w:vAlign w:val="center"/>
          </w:tcPr>
          <w:p w:rsidR="00536C00" w:rsidRDefault="00CB7D85">
            <w:pPr>
              <w:jc w:val="center"/>
            </w:pPr>
            <w:r>
              <w:rPr>
                <w:color w:val="000000"/>
                <w:sz w:val="24"/>
                <w:szCs w:val="24"/>
              </w:rPr>
              <w:t>4</w:t>
            </w:r>
          </w:p>
        </w:tc>
        <w:tc>
          <w:tcPr>
            <w:tcW w:w="1334" w:type="dxa"/>
            <w:vAlign w:val="center"/>
          </w:tcPr>
          <w:p w:rsidR="00536C00" w:rsidRDefault="00CB7D85">
            <w:pPr>
              <w:jc w:val="center"/>
            </w:pPr>
            <w:r>
              <w:rPr>
                <w:color w:val="000000"/>
                <w:sz w:val="24"/>
                <w:szCs w:val="24"/>
              </w:rPr>
              <w:t>300104</w:t>
            </w:r>
          </w:p>
        </w:tc>
        <w:tc>
          <w:tcPr>
            <w:tcW w:w="1777" w:type="dxa"/>
            <w:vAlign w:val="center"/>
          </w:tcPr>
          <w:p w:rsidR="00536C00" w:rsidRDefault="00CB7D85">
            <w:pPr>
              <w:jc w:val="center"/>
            </w:pPr>
            <w:r>
              <w:rPr>
                <w:color w:val="000000"/>
                <w:sz w:val="24"/>
                <w:szCs w:val="24"/>
              </w:rPr>
              <w:t>乐视网</w:t>
            </w:r>
          </w:p>
        </w:tc>
        <w:tc>
          <w:tcPr>
            <w:tcW w:w="1334" w:type="dxa"/>
            <w:vAlign w:val="center"/>
          </w:tcPr>
          <w:p w:rsidR="00536C00" w:rsidRDefault="00CB7D85">
            <w:pPr>
              <w:jc w:val="right"/>
            </w:pPr>
            <w:r>
              <w:rPr>
                <w:color w:val="000000"/>
                <w:sz w:val="24"/>
                <w:szCs w:val="24"/>
              </w:rPr>
              <w:t>2,834,081</w:t>
            </w:r>
          </w:p>
        </w:tc>
        <w:tc>
          <w:tcPr>
            <w:tcW w:w="1924" w:type="dxa"/>
            <w:vAlign w:val="center"/>
          </w:tcPr>
          <w:p w:rsidR="00536C00" w:rsidRDefault="00CB7D85">
            <w:pPr>
              <w:jc w:val="right"/>
            </w:pPr>
            <w:r>
              <w:rPr>
                <w:color w:val="000000"/>
                <w:sz w:val="24"/>
                <w:szCs w:val="24"/>
              </w:rPr>
              <w:t>265,610,071.32</w:t>
            </w:r>
          </w:p>
        </w:tc>
        <w:tc>
          <w:tcPr>
            <w:tcW w:w="1644" w:type="dxa"/>
            <w:vAlign w:val="center"/>
          </w:tcPr>
          <w:p w:rsidR="00536C00" w:rsidRDefault="00CB7D85">
            <w:pPr>
              <w:jc w:val="right"/>
            </w:pPr>
            <w:r>
              <w:rPr>
                <w:color w:val="000000"/>
                <w:sz w:val="24"/>
                <w:szCs w:val="24"/>
              </w:rPr>
              <w:t>5.78</w:t>
            </w:r>
          </w:p>
        </w:tc>
      </w:tr>
      <w:tr w:rsidR="00536C00">
        <w:trPr>
          <w:jc w:val="center"/>
        </w:trPr>
        <w:tc>
          <w:tcPr>
            <w:tcW w:w="855" w:type="dxa"/>
            <w:vAlign w:val="center"/>
          </w:tcPr>
          <w:p w:rsidR="00536C00" w:rsidRDefault="00CB7D85">
            <w:pPr>
              <w:jc w:val="center"/>
            </w:pPr>
            <w:r>
              <w:rPr>
                <w:color w:val="000000"/>
                <w:sz w:val="24"/>
                <w:szCs w:val="24"/>
              </w:rPr>
              <w:t>5</w:t>
            </w:r>
          </w:p>
        </w:tc>
        <w:tc>
          <w:tcPr>
            <w:tcW w:w="1334" w:type="dxa"/>
            <w:vAlign w:val="center"/>
          </w:tcPr>
          <w:p w:rsidR="00536C00" w:rsidRDefault="00CB7D85">
            <w:pPr>
              <w:jc w:val="center"/>
            </w:pPr>
            <w:r>
              <w:rPr>
                <w:color w:val="000000"/>
                <w:sz w:val="24"/>
                <w:szCs w:val="24"/>
              </w:rPr>
              <w:t>600763</w:t>
            </w:r>
          </w:p>
        </w:tc>
        <w:tc>
          <w:tcPr>
            <w:tcW w:w="1777" w:type="dxa"/>
            <w:vAlign w:val="center"/>
          </w:tcPr>
          <w:p w:rsidR="00536C00" w:rsidRDefault="00CB7D85">
            <w:pPr>
              <w:jc w:val="center"/>
            </w:pPr>
            <w:r>
              <w:rPr>
                <w:color w:val="000000"/>
                <w:sz w:val="24"/>
                <w:szCs w:val="24"/>
              </w:rPr>
              <w:t>通策医疗</w:t>
            </w:r>
          </w:p>
        </w:tc>
        <w:tc>
          <w:tcPr>
            <w:tcW w:w="1334" w:type="dxa"/>
            <w:vAlign w:val="center"/>
          </w:tcPr>
          <w:p w:rsidR="00536C00" w:rsidRDefault="00CB7D85">
            <w:pPr>
              <w:jc w:val="right"/>
            </w:pPr>
            <w:r>
              <w:rPr>
                <w:color w:val="000000"/>
                <w:sz w:val="24"/>
                <w:szCs w:val="24"/>
              </w:rPr>
              <w:t>3,458,245</w:t>
            </w:r>
          </w:p>
        </w:tc>
        <w:tc>
          <w:tcPr>
            <w:tcW w:w="1924" w:type="dxa"/>
            <w:vAlign w:val="center"/>
          </w:tcPr>
          <w:p w:rsidR="00536C00" w:rsidRDefault="00CB7D85">
            <w:pPr>
              <w:jc w:val="right"/>
            </w:pPr>
            <w:r>
              <w:rPr>
                <w:color w:val="000000"/>
                <w:sz w:val="24"/>
                <w:szCs w:val="24"/>
              </w:rPr>
              <w:t>237,373,936.80</w:t>
            </w:r>
          </w:p>
        </w:tc>
        <w:tc>
          <w:tcPr>
            <w:tcW w:w="1644" w:type="dxa"/>
            <w:vAlign w:val="center"/>
          </w:tcPr>
          <w:p w:rsidR="00536C00" w:rsidRDefault="00CB7D85">
            <w:pPr>
              <w:jc w:val="right"/>
            </w:pPr>
            <w:r>
              <w:rPr>
                <w:color w:val="000000"/>
                <w:sz w:val="24"/>
                <w:szCs w:val="24"/>
              </w:rPr>
              <w:t>5.17</w:t>
            </w:r>
          </w:p>
        </w:tc>
      </w:tr>
      <w:tr w:rsidR="00536C00">
        <w:trPr>
          <w:jc w:val="center"/>
        </w:trPr>
        <w:tc>
          <w:tcPr>
            <w:tcW w:w="855" w:type="dxa"/>
            <w:vAlign w:val="center"/>
          </w:tcPr>
          <w:p w:rsidR="00536C00" w:rsidRDefault="00CB7D85">
            <w:pPr>
              <w:jc w:val="center"/>
            </w:pPr>
            <w:r>
              <w:rPr>
                <w:color w:val="000000"/>
                <w:sz w:val="24"/>
                <w:szCs w:val="24"/>
              </w:rPr>
              <w:t>6</w:t>
            </w:r>
          </w:p>
        </w:tc>
        <w:tc>
          <w:tcPr>
            <w:tcW w:w="1334" w:type="dxa"/>
            <w:vAlign w:val="center"/>
          </w:tcPr>
          <w:p w:rsidR="00536C00" w:rsidRDefault="00CB7D85">
            <w:pPr>
              <w:jc w:val="center"/>
            </w:pPr>
            <w:r>
              <w:rPr>
                <w:color w:val="000000"/>
                <w:sz w:val="24"/>
                <w:szCs w:val="24"/>
              </w:rPr>
              <w:t>600446</w:t>
            </w:r>
          </w:p>
        </w:tc>
        <w:tc>
          <w:tcPr>
            <w:tcW w:w="1777" w:type="dxa"/>
            <w:vAlign w:val="center"/>
          </w:tcPr>
          <w:p w:rsidR="00536C00" w:rsidRDefault="00CB7D85">
            <w:pPr>
              <w:jc w:val="center"/>
            </w:pPr>
            <w:r>
              <w:rPr>
                <w:color w:val="000000"/>
                <w:sz w:val="24"/>
                <w:szCs w:val="24"/>
              </w:rPr>
              <w:t>金证股份</w:t>
            </w:r>
          </w:p>
        </w:tc>
        <w:tc>
          <w:tcPr>
            <w:tcW w:w="1334" w:type="dxa"/>
            <w:vAlign w:val="center"/>
          </w:tcPr>
          <w:p w:rsidR="00536C00" w:rsidRDefault="00CB7D85">
            <w:pPr>
              <w:jc w:val="right"/>
            </w:pPr>
            <w:r>
              <w:rPr>
                <w:color w:val="000000"/>
                <w:sz w:val="24"/>
                <w:szCs w:val="24"/>
              </w:rPr>
              <w:t>1,926,363</w:t>
            </w:r>
          </w:p>
        </w:tc>
        <w:tc>
          <w:tcPr>
            <w:tcW w:w="1924" w:type="dxa"/>
            <w:vAlign w:val="center"/>
          </w:tcPr>
          <w:p w:rsidR="00536C00" w:rsidRDefault="00CB7D85">
            <w:pPr>
              <w:jc w:val="right"/>
            </w:pPr>
            <w:r>
              <w:rPr>
                <w:color w:val="000000"/>
                <w:sz w:val="24"/>
                <w:szCs w:val="24"/>
              </w:rPr>
              <w:t>234,631,013.40</w:t>
            </w:r>
          </w:p>
        </w:tc>
        <w:tc>
          <w:tcPr>
            <w:tcW w:w="1644" w:type="dxa"/>
            <w:vAlign w:val="center"/>
          </w:tcPr>
          <w:p w:rsidR="00536C00" w:rsidRDefault="00CB7D85">
            <w:pPr>
              <w:jc w:val="right"/>
            </w:pPr>
            <w:r>
              <w:rPr>
                <w:color w:val="000000"/>
                <w:sz w:val="24"/>
                <w:szCs w:val="24"/>
              </w:rPr>
              <w:t>5.11</w:t>
            </w:r>
          </w:p>
        </w:tc>
      </w:tr>
      <w:tr w:rsidR="00536C00">
        <w:trPr>
          <w:jc w:val="center"/>
        </w:trPr>
        <w:tc>
          <w:tcPr>
            <w:tcW w:w="855" w:type="dxa"/>
            <w:vAlign w:val="center"/>
          </w:tcPr>
          <w:p w:rsidR="00536C00" w:rsidRDefault="00CB7D85">
            <w:pPr>
              <w:jc w:val="center"/>
            </w:pPr>
            <w:r>
              <w:rPr>
                <w:color w:val="000000"/>
                <w:sz w:val="24"/>
                <w:szCs w:val="24"/>
              </w:rPr>
              <w:t>7</w:t>
            </w:r>
          </w:p>
        </w:tc>
        <w:tc>
          <w:tcPr>
            <w:tcW w:w="1334" w:type="dxa"/>
            <w:vAlign w:val="center"/>
          </w:tcPr>
          <w:p w:rsidR="00536C00" w:rsidRDefault="00CB7D85">
            <w:pPr>
              <w:jc w:val="center"/>
            </w:pPr>
            <w:r>
              <w:rPr>
                <w:color w:val="000000"/>
                <w:sz w:val="24"/>
                <w:szCs w:val="24"/>
              </w:rPr>
              <w:t>300028</w:t>
            </w:r>
          </w:p>
        </w:tc>
        <w:tc>
          <w:tcPr>
            <w:tcW w:w="1777" w:type="dxa"/>
            <w:vAlign w:val="center"/>
          </w:tcPr>
          <w:p w:rsidR="00536C00" w:rsidRDefault="00CB7D85">
            <w:pPr>
              <w:jc w:val="center"/>
            </w:pPr>
            <w:r>
              <w:rPr>
                <w:color w:val="000000"/>
                <w:sz w:val="24"/>
                <w:szCs w:val="24"/>
              </w:rPr>
              <w:t>金亚科技</w:t>
            </w:r>
          </w:p>
        </w:tc>
        <w:tc>
          <w:tcPr>
            <w:tcW w:w="1334" w:type="dxa"/>
            <w:vAlign w:val="center"/>
          </w:tcPr>
          <w:p w:rsidR="00536C00" w:rsidRDefault="00CB7D85">
            <w:pPr>
              <w:jc w:val="right"/>
            </w:pPr>
            <w:r>
              <w:rPr>
                <w:color w:val="000000"/>
                <w:sz w:val="24"/>
                <w:szCs w:val="24"/>
              </w:rPr>
              <w:t>5,531,377</w:t>
            </w:r>
          </w:p>
        </w:tc>
        <w:tc>
          <w:tcPr>
            <w:tcW w:w="1924" w:type="dxa"/>
            <w:vAlign w:val="center"/>
          </w:tcPr>
          <w:p w:rsidR="00536C00" w:rsidRDefault="00CB7D85">
            <w:pPr>
              <w:jc w:val="right"/>
            </w:pPr>
            <w:r>
              <w:rPr>
                <w:color w:val="000000"/>
                <w:sz w:val="24"/>
                <w:szCs w:val="24"/>
              </w:rPr>
              <w:t>212,017,680.41</w:t>
            </w:r>
          </w:p>
        </w:tc>
        <w:tc>
          <w:tcPr>
            <w:tcW w:w="1644" w:type="dxa"/>
            <w:vAlign w:val="center"/>
          </w:tcPr>
          <w:p w:rsidR="00536C00" w:rsidRDefault="00CB7D85">
            <w:pPr>
              <w:jc w:val="right"/>
            </w:pPr>
            <w:r>
              <w:rPr>
                <w:color w:val="000000"/>
                <w:sz w:val="24"/>
                <w:szCs w:val="24"/>
              </w:rPr>
              <w:t>4.61</w:t>
            </w:r>
          </w:p>
        </w:tc>
      </w:tr>
      <w:tr w:rsidR="00536C00">
        <w:trPr>
          <w:jc w:val="center"/>
        </w:trPr>
        <w:tc>
          <w:tcPr>
            <w:tcW w:w="855" w:type="dxa"/>
            <w:vAlign w:val="center"/>
          </w:tcPr>
          <w:p w:rsidR="00536C00" w:rsidRDefault="00CB7D85">
            <w:pPr>
              <w:jc w:val="center"/>
            </w:pPr>
            <w:r>
              <w:rPr>
                <w:color w:val="000000"/>
                <w:sz w:val="24"/>
                <w:szCs w:val="24"/>
              </w:rPr>
              <w:t>8</w:t>
            </w:r>
          </w:p>
        </w:tc>
        <w:tc>
          <w:tcPr>
            <w:tcW w:w="1334" w:type="dxa"/>
            <w:vAlign w:val="center"/>
          </w:tcPr>
          <w:p w:rsidR="00536C00" w:rsidRDefault="00CB7D85">
            <w:pPr>
              <w:jc w:val="center"/>
            </w:pPr>
            <w:r>
              <w:rPr>
                <w:color w:val="000000"/>
                <w:sz w:val="24"/>
                <w:szCs w:val="24"/>
              </w:rPr>
              <w:t>300085</w:t>
            </w:r>
          </w:p>
        </w:tc>
        <w:tc>
          <w:tcPr>
            <w:tcW w:w="1777" w:type="dxa"/>
            <w:vAlign w:val="center"/>
          </w:tcPr>
          <w:p w:rsidR="00536C00" w:rsidRDefault="00CB7D85">
            <w:pPr>
              <w:jc w:val="center"/>
            </w:pPr>
            <w:r>
              <w:rPr>
                <w:color w:val="000000"/>
                <w:sz w:val="24"/>
                <w:szCs w:val="24"/>
              </w:rPr>
              <w:t>银之杰</w:t>
            </w:r>
          </w:p>
        </w:tc>
        <w:tc>
          <w:tcPr>
            <w:tcW w:w="1334" w:type="dxa"/>
            <w:vAlign w:val="center"/>
          </w:tcPr>
          <w:p w:rsidR="00536C00" w:rsidRDefault="00CB7D85">
            <w:pPr>
              <w:jc w:val="right"/>
            </w:pPr>
            <w:r>
              <w:rPr>
                <w:color w:val="000000"/>
                <w:sz w:val="24"/>
                <w:szCs w:val="24"/>
              </w:rPr>
              <w:t>1,309,776</w:t>
            </w:r>
          </w:p>
        </w:tc>
        <w:tc>
          <w:tcPr>
            <w:tcW w:w="1924" w:type="dxa"/>
            <w:vAlign w:val="center"/>
          </w:tcPr>
          <w:p w:rsidR="00536C00" w:rsidRDefault="00CB7D85">
            <w:pPr>
              <w:jc w:val="right"/>
            </w:pPr>
            <w:r>
              <w:rPr>
                <w:color w:val="000000"/>
                <w:sz w:val="24"/>
                <w:szCs w:val="24"/>
              </w:rPr>
              <w:t>176,675,684.64</w:t>
            </w:r>
          </w:p>
        </w:tc>
        <w:tc>
          <w:tcPr>
            <w:tcW w:w="1644" w:type="dxa"/>
            <w:vAlign w:val="center"/>
          </w:tcPr>
          <w:p w:rsidR="00536C00" w:rsidRDefault="00CB7D85">
            <w:pPr>
              <w:jc w:val="right"/>
            </w:pPr>
            <w:r>
              <w:rPr>
                <w:color w:val="000000"/>
                <w:sz w:val="24"/>
                <w:szCs w:val="24"/>
              </w:rPr>
              <w:t>3.84</w:t>
            </w:r>
          </w:p>
        </w:tc>
      </w:tr>
      <w:tr w:rsidR="00536C00">
        <w:trPr>
          <w:jc w:val="center"/>
        </w:trPr>
        <w:tc>
          <w:tcPr>
            <w:tcW w:w="855" w:type="dxa"/>
            <w:vAlign w:val="center"/>
          </w:tcPr>
          <w:p w:rsidR="00536C00" w:rsidRDefault="00CB7D85">
            <w:pPr>
              <w:jc w:val="center"/>
            </w:pPr>
            <w:r>
              <w:rPr>
                <w:color w:val="000000"/>
                <w:sz w:val="24"/>
                <w:szCs w:val="24"/>
              </w:rPr>
              <w:t>9</w:t>
            </w:r>
          </w:p>
        </w:tc>
        <w:tc>
          <w:tcPr>
            <w:tcW w:w="1334" w:type="dxa"/>
            <w:vAlign w:val="center"/>
          </w:tcPr>
          <w:p w:rsidR="00536C00" w:rsidRDefault="00CB7D85">
            <w:pPr>
              <w:jc w:val="center"/>
            </w:pPr>
            <w:r>
              <w:rPr>
                <w:color w:val="000000"/>
                <w:sz w:val="24"/>
                <w:szCs w:val="24"/>
              </w:rPr>
              <w:t>000671</w:t>
            </w:r>
          </w:p>
        </w:tc>
        <w:tc>
          <w:tcPr>
            <w:tcW w:w="1777" w:type="dxa"/>
            <w:vAlign w:val="center"/>
          </w:tcPr>
          <w:p w:rsidR="00536C00" w:rsidRDefault="00CB7D85">
            <w:pPr>
              <w:jc w:val="center"/>
            </w:pPr>
            <w:r>
              <w:rPr>
                <w:color w:val="000000"/>
                <w:sz w:val="24"/>
                <w:szCs w:val="24"/>
              </w:rPr>
              <w:t>阳</w:t>
            </w:r>
            <w:r>
              <w:rPr>
                <w:color w:val="000000"/>
                <w:sz w:val="24"/>
                <w:szCs w:val="24"/>
              </w:rPr>
              <w:t xml:space="preserve"> </w:t>
            </w:r>
            <w:r>
              <w:rPr>
                <w:color w:val="000000"/>
                <w:sz w:val="24"/>
                <w:szCs w:val="24"/>
              </w:rPr>
              <w:t>光</w:t>
            </w:r>
            <w:r>
              <w:rPr>
                <w:color w:val="000000"/>
                <w:sz w:val="24"/>
                <w:szCs w:val="24"/>
              </w:rPr>
              <w:t xml:space="preserve"> </w:t>
            </w:r>
            <w:r>
              <w:rPr>
                <w:color w:val="000000"/>
                <w:sz w:val="24"/>
                <w:szCs w:val="24"/>
              </w:rPr>
              <w:t>城</w:t>
            </w:r>
          </w:p>
        </w:tc>
        <w:tc>
          <w:tcPr>
            <w:tcW w:w="1334" w:type="dxa"/>
            <w:vAlign w:val="center"/>
          </w:tcPr>
          <w:p w:rsidR="00536C00" w:rsidRDefault="00CB7D85">
            <w:pPr>
              <w:jc w:val="right"/>
            </w:pPr>
            <w:r>
              <w:rPr>
                <w:color w:val="000000"/>
                <w:sz w:val="24"/>
                <w:szCs w:val="24"/>
              </w:rPr>
              <w:t>7,319,742</w:t>
            </w:r>
          </w:p>
        </w:tc>
        <w:tc>
          <w:tcPr>
            <w:tcW w:w="1924" w:type="dxa"/>
            <w:vAlign w:val="center"/>
          </w:tcPr>
          <w:p w:rsidR="00536C00" w:rsidRDefault="00CB7D85">
            <w:pPr>
              <w:jc w:val="right"/>
            </w:pPr>
            <w:r>
              <w:rPr>
                <w:color w:val="000000"/>
                <w:sz w:val="24"/>
                <w:szCs w:val="24"/>
              </w:rPr>
              <w:t>146,834,024.52</w:t>
            </w:r>
          </w:p>
        </w:tc>
        <w:tc>
          <w:tcPr>
            <w:tcW w:w="1644" w:type="dxa"/>
            <w:vAlign w:val="center"/>
          </w:tcPr>
          <w:p w:rsidR="00536C00" w:rsidRDefault="00CB7D85">
            <w:pPr>
              <w:jc w:val="right"/>
            </w:pPr>
            <w:r>
              <w:rPr>
                <w:color w:val="000000"/>
                <w:sz w:val="24"/>
                <w:szCs w:val="24"/>
              </w:rPr>
              <w:t>3.20</w:t>
            </w:r>
          </w:p>
        </w:tc>
      </w:tr>
      <w:tr w:rsidR="00536C00">
        <w:trPr>
          <w:jc w:val="center"/>
        </w:trPr>
        <w:tc>
          <w:tcPr>
            <w:tcW w:w="855" w:type="dxa"/>
            <w:vAlign w:val="center"/>
          </w:tcPr>
          <w:p w:rsidR="00536C00" w:rsidRDefault="00CB7D85">
            <w:pPr>
              <w:jc w:val="center"/>
            </w:pPr>
            <w:r>
              <w:rPr>
                <w:color w:val="000000"/>
                <w:sz w:val="24"/>
                <w:szCs w:val="24"/>
              </w:rPr>
              <w:t>10</w:t>
            </w:r>
          </w:p>
        </w:tc>
        <w:tc>
          <w:tcPr>
            <w:tcW w:w="1334" w:type="dxa"/>
            <w:vAlign w:val="center"/>
          </w:tcPr>
          <w:p w:rsidR="00536C00" w:rsidRDefault="00CB7D85">
            <w:pPr>
              <w:jc w:val="center"/>
            </w:pPr>
            <w:r>
              <w:rPr>
                <w:color w:val="000000"/>
                <w:sz w:val="24"/>
                <w:szCs w:val="24"/>
              </w:rPr>
              <w:t>002405</w:t>
            </w:r>
          </w:p>
        </w:tc>
        <w:tc>
          <w:tcPr>
            <w:tcW w:w="1777" w:type="dxa"/>
            <w:vAlign w:val="center"/>
          </w:tcPr>
          <w:p w:rsidR="00536C00" w:rsidRDefault="00CB7D85">
            <w:pPr>
              <w:jc w:val="center"/>
            </w:pPr>
            <w:r>
              <w:rPr>
                <w:color w:val="000000"/>
                <w:sz w:val="24"/>
                <w:szCs w:val="24"/>
              </w:rPr>
              <w:t>四维图新</w:t>
            </w:r>
          </w:p>
        </w:tc>
        <w:tc>
          <w:tcPr>
            <w:tcW w:w="1334" w:type="dxa"/>
            <w:vAlign w:val="center"/>
          </w:tcPr>
          <w:p w:rsidR="00536C00" w:rsidRDefault="00CB7D85">
            <w:pPr>
              <w:jc w:val="right"/>
            </w:pPr>
            <w:r>
              <w:rPr>
                <w:color w:val="000000"/>
                <w:sz w:val="24"/>
                <w:szCs w:val="24"/>
              </w:rPr>
              <w:t>3,235,782</w:t>
            </w:r>
          </w:p>
        </w:tc>
        <w:tc>
          <w:tcPr>
            <w:tcW w:w="1924" w:type="dxa"/>
            <w:vAlign w:val="center"/>
          </w:tcPr>
          <w:p w:rsidR="00536C00" w:rsidRDefault="00CB7D85">
            <w:pPr>
              <w:jc w:val="right"/>
            </w:pPr>
            <w:r>
              <w:rPr>
                <w:color w:val="000000"/>
                <w:sz w:val="24"/>
                <w:szCs w:val="24"/>
              </w:rPr>
              <w:t>132,019,905.60</w:t>
            </w:r>
          </w:p>
        </w:tc>
        <w:tc>
          <w:tcPr>
            <w:tcW w:w="1644" w:type="dxa"/>
            <w:vAlign w:val="center"/>
          </w:tcPr>
          <w:p w:rsidR="00536C00" w:rsidRDefault="00CB7D85">
            <w:pPr>
              <w:jc w:val="right"/>
            </w:pPr>
            <w:r>
              <w:rPr>
                <w:color w:val="000000"/>
                <w:sz w:val="24"/>
                <w:szCs w:val="24"/>
              </w:rPr>
              <w:t>2.87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30,009,000.00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0.65</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30,009,000.00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0.65</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30,009,000.00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0.65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536C00">
        <w:trPr>
          <w:jc w:val="center"/>
        </w:trPr>
        <w:tc>
          <w:tcPr>
            <w:tcW w:w="850" w:type="dxa"/>
            <w:vAlign w:val="center"/>
          </w:tcPr>
          <w:p w:rsidR="00536C00" w:rsidRDefault="00CB7D85">
            <w:pPr>
              <w:jc w:val="center"/>
            </w:pPr>
            <w:r>
              <w:rPr>
                <w:color w:val="000000"/>
                <w:sz w:val="24"/>
                <w:szCs w:val="24"/>
              </w:rPr>
              <w:t>1</w:t>
            </w:r>
          </w:p>
        </w:tc>
        <w:tc>
          <w:tcPr>
            <w:tcW w:w="1475" w:type="dxa"/>
            <w:vAlign w:val="center"/>
          </w:tcPr>
          <w:p w:rsidR="00536C00" w:rsidRDefault="00CB7D85">
            <w:pPr>
              <w:jc w:val="center"/>
            </w:pPr>
            <w:r>
              <w:rPr>
                <w:color w:val="000000"/>
                <w:sz w:val="24"/>
                <w:szCs w:val="24"/>
              </w:rPr>
              <w:t>140207</w:t>
            </w:r>
          </w:p>
        </w:tc>
        <w:tc>
          <w:tcPr>
            <w:tcW w:w="1769" w:type="dxa"/>
            <w:vAlign w:val="center"/>
          </w:tcPr>
          <w:p w:rsidR="00536C00" w:rsidRDefault="00CB7D85">
            <w:pPr>
              <w:jc w:val="center"/>
            </w:pPr>
            <w:r>
              <w:rPr>
                <w:color w:val="000000"/>
                <w:sz w:val="24"/>
                <w:szCs w:val="24"/>
              </w:rPr>
              <w:t>14</w:t>
            </w:r>
            <w:r>
              <w:rPr>
                <w:color w:val="000000"/>
                <w:sz w:val="24"/>
                <w:szCs w:val="24"/>
              </w:rPr>
              <w:t>国开</w:t>
            </w:r>
            <w:r>
              <w:rPr>
                <w:color w:val="000000"/>
                <w:sz w:val="24"/>
                <w:szCs w:val="24"/>
              </w:rPr>
              <w:t>07</w:t>
            </w:r>
          </w:p>
        </w:tc>
        <w:tc>
          <w:tcPr>
            <w:tcW w:w="1387" w:type="dxa"/>
            <w:vAlign w:val="center"/>
          </w:tcPr>
          <w:p w:rsidR="00536C00" w:rsidRDefault="00CB7D85">
            <w:pPr>
              <w:jc w:val="right"/>
            </w:pPr>
            <w:r>
              <w:rPr>
                <w:color w:val="000000"/>
                <w:sz w:val="24"/>
                <w:szCs w:val="24"/>
              </w:rPr>
              <w:t>300,000</w:t>
            </w:r>
          </w:p>
        </w:tc>
        <w:tc>
          <w:tcPr>
            <w:tcW w:w="2150" w:type="dxa"/>
            <w:vAlign w:val="center"/>
          </w:tcPr>
          <w:p w:rsidR="00536C00" w:rsidRDefault="00CB7D85">
            <w:pPr>
              <w:jc w:val="right"/>
            </w:pPr>
            <w:r>
              <w:rPr>
                <w:color w:val="000000"/>
                <w:sz w:val="24"/>
                <w:szCs w:val="24"/>
              </w:rPr>
              <w:t>30,009,000.00</w:t>
            </w:r>
          </w:p>
        </w:tc>
        <w:tc>
          <w:tcPr>
            <w:tcW w:w="1237" w:type="dxa"/>
            <w:vAlign w:val="center"/>
          </w:tcPr>
          <w:p w:rsidR="00536C00" w:rsidRDefault="00CB7D85">
            <w:pPr>
              <w:jc w:val="right"/>
            </w:pPr>
            <w:r>
              <w:rPr>
                <w:color w:val="000000"/>
                <w:sz w:val="24"/>
                <w:szCs w:val="24"/>
              </w:rPr>
              <w:t>0.65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1,460,714.58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1,513,408.86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91,494,836.33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94,468,959.77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536C00">
        <w:trPr>
          <w:jc w:val="center"/>
        </w:trPr>
        <w:tc>
          <w:tcPr>
            <w:tcW w:w="1129" w:type="dxa"/>
            <w:vAlign w:val="center"/>
          </w:tcPr>
          <w:p w:rsidR="00536C00" w:rsidRDefault="00CB7D85">
            <w:pPr>
              <w:jc w:val="center"/>
            </w:pPr>
            <w:r>
              <w:rPr>
                <w:color w:val="000000"/>
                <w:sz w:val="24"/>
                <w:szCs w:val="24"/>
              </w:rPr>
              <w:t>1</w:t>
            </w:r>
          </w:p>
        </w:tc>
        <w:tc>
          <w:tcPr>
            <w:tcW w:w="1356" w:type="dxa"/>
            <w:vAlign w:val="center"/>
          </w:tcPr>
          <w:p w:rsidR="00536C00" w:rsidRDefault="00CB7D85">
            <w:pPr>
              <w:jc w:val="center"/>
            </w:pPr>
            <w:r>
              <w:rPr>
                <w:color w:val="000000"/>
                <w:sz w:val="24"/>
                <w:szCs w:val="24"/>
              </w:rPr>
              <w:t>000671</w:t>
            </w:r>
          </w:p>
        </w:tc>
        <w:tc>
          <w:tcPr>
            <w:tcW w:w="1355" w:type="dxa"/>
            <w:vAlign w:val="center"/>
          </w:tcPr>
          <w:p w:rsidR="00536C00" w:rsidRDefault="00CB7D85">
            <w:pPr>
              <w:jc w:val="center"/>
            </w:pPr>
            <w:r>
              <w:rPr>
                <w:color w:val="000000"/>
                <w:sz w:val="24"/>
                <w:szCs w:val="24"/>
              </w:rPr>
              <w:t>阳</w:t>
            </w:r>
            <w:r>
              <w:rPr>
                <w:color w:val="000000"/>
                <w:sz w:val="24"/>
                <w:szCs w:val="24"/>
              </w:rPr>
              <w:t xml:space="preserve"> </w:t>
            </w:r>
            <w:r>
              <w:rPr>
                <w:color w:val="000000"/>
                <w:sz w:val="24"/>
                <w:szCs w:val="24"/>
              </w:rPr>
              <w:t>光</w:t>
            </w:r>
            <w:r>
              <w:rPr>
                <w:color w:val="000000"/>
                <w:sz w:val="24"/>
                <w:szCs w:val="24"/>
              </w:rPr>
              <w:t xml:space="preserve"> </w:t>
            </w:r>
            <w:r>
              <w:rPr>
                <w:color w:val="000000"/>
                <w:sz w:val="24"/>
                <w:szCs w:val="24"/>
              </w:rPr>
              <w:t>城</w:t>
            </w:r>
          </w:p>
        </w:tc>
        <w:tc>
          <w:tcPr>
            <w:tcW w:w="1880" w:type="dxa"/>
            <w:vAlign w:val="center"/>
          </w:tcPr>
          <w:p w:rsidR="00536C00" w:rsidRDefault="00CB7D85">
            <w:pPr>
              <w:jc w:val="right"/>
            </w:pPr>
            <w:r>
              <w:rPr>
                <w:color w:val="000000"/>
                <w:sz w:val="24"/>
                <w:szCs w:val="24"/>
              </w:rPr>
              <w:t>146,834,024.52</w:t>
            </w:r>
          </w:p>
        </w:tc>
        <w:tc>
          <w:tcPr>
            <w:tcW w:w="1724" w:type="dxa"/>
            <w:vAlign w:val="center"/>
          </w:tcPr>
          <w:p w:rsidR="00536C00" w:rsidRDefault="00CB7D85">
            <w:pPr>
              <w:jc w:val="right"/>
            </w:pPr>
            <w:r>
              <w:rPr>
                <w:color w:val="000000"/>
                <w:sz w:val="24"/>
                <w:szCs w:val="24"/>
              </w:rPr>
              <w:t>3.20</w:t>
            </w:r>
          </w:p>
        </w:tc>
        <w:tc>
          <w:tcPr>
            <w:tcW w:w="1424" w:type="dxa"/>
            <w:vAlign w:val="center"/>
          </w:tcPr>
          <w:p w:rsidR="00536C00" w:rsidRDefault="008E0F14">
            <w:pPr>
              <w:jc w:val="right"/>
            </w:pPr>
            <w:r w:rsidRPr="005834E9">
              <w:rPr>
                <w:rFonts w:hint="eastAsia"/>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2,165,344,150.88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895,592,167.69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576,253,102.45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2,484,683,216.12</w:t>
            </w:r>
          </w:p>
        </w:tc>
      </w:tr>
    </w:tbl>
    <w:p w:rsidR="00536C00" w:rsidRDefault="00CB7D8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8E0F14">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86,161,914.71</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060A8D" w:rsidRDefault="00060A8D" w:rsidP="00C15CAC">
            <w:pPr>
              <w:spacing w:line="288" w:lineRule="auto"/>
              <w:jc w:val="right"/>
              <w:rPr>
                <w:rFonts w:eastAsiaTheme="minorEastAsia"/>
                <w:color w:val="000000"/>
                <w:kern w:val="0"/>
                <w:sz w:val="24"/>
                <w:szCs w:val="24"/>
              </w:rPr>
            </w:pPr>
            <w:r w:rsidRPr="005834E9">
              <w:rPr>
                <w:rFonts w:eastAsiaTheme="minorEastAsia"/>
                <w:color w:val="000000"/>
                <w:sz w:val="24"/>
              </w:rPr>
              <w:t>9,991,770.89</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060A8D" w:rsidRDefault="00ED2620" w:rsidP="00C15CAC">
            <w:pPr>
              <w:spacing w:line="288" w:lineRule="auto"/>
              <w:jc w:val="right"/>
              <w:rPr>
                <w:rFonts w:eastAsiaTheme="minorEastAsia"/>
                <w:color w:val="000000"/>
                <w:kern w:val="0"/>
                <w:sz w:val="24"/>
                <w:szCs w:val="24"/>
              </w:rPr>
            </w:pPr>
            <w:r w:rsidRPr="00060A8D">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060A8D" w:rsidRDefault="00060A8D" w:rsidP="00C15CAC">
            <w:pPr>
              <w:spacing w:line="288" w:lineRule="auto"/>
              <w:jc w:val="right"/>
              <w:rPr>
                <w:rFonts w:eastAsiaTheme="minorEastAsia"/>
                <w:sz w:val="24"/>
                <w:szCs w:val="24"/>
              </w:rPr>
            </w:pPr>
            <w:r w:rsidRPr="005834E9">
              <w:rPr>
                <w:rFonts w:eastAsiaTheme="minorEastAsia"/>
                <w:color w:val="000000"/>
                <w:sz w:val="24"/>
              </w:rPr>
              <w:t>96,153,685.60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060A8D" w:rsidRDefault="00060A8D" w:rsidP="00C15CAC">
            <w:pPr>
              <w:spacing w:line="288" w:lineRule="auto"/>
              <w:jc w:val="right"/>
              <w:rPr>
                <w:rFonts w:eastAsiaTheme="minorEastAsia"/>
                <w:color w:val="000000"/>
                <w:kern w:val="0"/>
                <w:sz w:val="24"/>
                <w:szCs w:val="24"/>
              </w:rPr>
            </w:pPr>
            <w:r w:rsidRPr="005834E9">
              <w:rPr>
                <w:rFonts w:eastAsiaTheme="minorEastAsia"/>
                <w:color w:val="000000"/>
                <w:sz w:val="24"/>
              </w:rPr>
              <w:t>3.87</w:t>
            </w:r>
          </w:p>
        </w:tc>
      </w:tr>
    </w:tbl>
    <w:p w:rsidR="00536C00" w:rsidRDefault="00CB7D85">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032"/>
        <w:gridCol w:w="1776"/>
        <w:gridCol w:w="1366"/>
        <w:gridCol w:w="1584"/>
        <w:gridCol w:w="1767"/>
        <w:gridCol w:w="1343"/>
      </w:tblGrid>
      <w:tr w:rsidR="00060A8D" w:rsidRPr="000F6252" w:rsidTr="005834E9">
        <w:trPr>
          <w:trHeight w:val="340"/>
          <w:jc w:val="center"/>
        </w:trPr>
        <w:tc>
          <w:tcPr>
            <w:tcW w:w="1032" w:type="dxa"/>
            <w:vAlign w:val="center"/>
          </w:tcPr>
          <w:p w:rsidR="00060A8D" w:rsidRPr="005834E9" w:rsidRDefault="00060A8D" w:rsidP="00E1172F">
            <w:pPr>
              <w:pStyle w:val="ad"/>
              <w:adjustRightInd w:val="0"/>
              <w:snapToGrid w:val="0"/>
              <w:spacing w:before="29" w:line="288" w:lineRule="auto"/>
              <w:jc w:val="center"/>
              <w:rPr>
                <w:color w:val="000000"/>
              </w:rPr>
            </w:pPr>
            <w:r w:rsidRPr="005834E9">
              <w:rPr>
                <w:rFonts w:hint="eastAsia"/>
                <w:color w:val="000000"/>
              </w:rPr>
              <w:t>序号</w:t>
            </w:r>
          </w:p>
        </w:tc>
        <w:tc>
          <w:tcPr>
            <w:tcW w:w="1776" w:type="dxa"/>
            <w:vAlign w:val="center"/>
          </w:tcPr>
          <w:p w:rsidR="00060A8D" w:rsidRPr="005834E9" w:rsidRDefault="00060A8D" w:rsidP="00E1172F">
            <w:pPr>
              <w:adjustRightInd w:val="0"/>
              <w:snapToGrid w:val="0"/>
              <w:spacing w:before="29" w:line="288" w:lineRule="auto"/>
              <w:jc w:val="center"/>
              <w:rPr>
                <w:color w:val="000000"/>
                <w:sz w:val="24"/>
              </w:rPr>
            </w:pPr>
            <w:r w:rsidRPr="005834E9">
              <w:rPr>
                <w:rFonts w:hint="eastAsia"/>
                <w:color w:val="000000"/>
                <w:sz w:val="24"/>
              </w:rPr>
              <w:t>交易方式</w:t>
            </w:r>
          </w:p>
        </w:tc>
        <w:tc>
          <w:tcPr>
            <w:tcW w:w="1366" w:type="dxa"/>
            <w:vAlign w:val="center"/>
          </w:tcPr>
          <w:p w:rsidR="00060A8D" w:rsidRPr="005834E9" w:rsidRDefault="00060A8D" w:rsidP="00E1172F">
            <w:pPr>
              <w:adjustRightInd w:val="0"/>
              <w:snapToGrid w:val="0"/>
              <w:spacing w:before="29" w:line="288" w:lineRule="auto"/>
              <w:rPr>
                <w:color w:val="000000"/>
                <w:sz w:val="24"/>
              </w:rPr>
            </w:pPr>
            <w:r w:rsidRPr="005834E9">
              <w:rPr>
                <w:rFonts w:hint="eastAsia"/>
                <w:color w:val="000000"/>
                <w:sz w:val="24"/>
              </w:rPr>
              <w:t>交易日期</w:t>
            </w:r>
          </w:p>
        </w:tc>
        <w:tc>
          <w:tcPr>
            <w:tcW w:w="1584" w:type="dxa"/>
            <w:vAlign w:val="center"/>
          </w:tcPr>
          <w:p w:rsidR="00060A8D" w:rsidRPr="005834E9" w:rsidRDefault="00060A8D" w:rsidP="00E1172F">
            <w:pPr>
              <w:adjustRightInd w:val="0"/>
              <w:snapToGrid w:val="0"/>
              <w:spacing w:before="29" w:line="288" w:lineRule="auto"/>
              <w:jc w:val="center"/>
              <w:rPr>
                <w:color w:val="000000"/>
                <w:sz w:val="24"/>
              </w:rPr>
            </w:pPr>
            <w:r w:rsidRPr="005834E9">
              <w:rPr>
                <w:rFonts w:hint="eastAsia"/>
                <w:color w:val="000000"/>
                <w:sz w:val="24"/>
              </w:rPr>
              <w:t>交易份额（份）</w:t>
            </w:r>
          </w:p>
        </w:tc>
        <w:tc>
          <w:tcPr>
            <w:tcW w:w="1767" w:type="dxa"/>
            <w:vAlign w:val="center"/>
          </w:tcPr>
          <w:p w:rsidR="00060A8D" w:rsidRPr="005834E9" w:rsidRDefault="00060A8D" w:rsidP="00E1172F">
            <w:pPr>
              <w:adjustRightInd w:val="0"/>
              <w:snapToGrid w:val="0"/>
              <w:spacing w:before="29" w:line="288" w:lineRule="auto"/>
              <w:jc w:val="center"/>
              <w:rPr>
                <w:color w:val="000000"/>
                <w:sz w:val="24"/>
              </w:rPr>
            </w:pPr>
            <w:r w:rsidRPr="005834E9">
              <w:rPr>
                <w:rFonts w:hint="eastAsia"/>
                <w:color w:val="000000"/>
                <w:sz w:val="24"/>
              </w:rPr>
              <w:t>交易金额（元）</w:t>
            </w:r>
          </w:p>
        </w:tc>
        <w:tc>
          <w:tcPr>
            <w:tcW w:w="1343" w:type="dxa"/>
            <w:vAlign w:val="center"/>
          </w:tcPr>
          <w:p w:rsidR="00060A8D" w:rsidRPr="005834E9" w:rsidRDefault="00060A8D" w:rsidP="00E1172F">
            <w:pPr>
              <w:adjustRightInd w:val="0"/>
              <w:snapToGrid w:val="0"/>
              <w:spacing w:before="29" w:line="288" w:lineRule="auto"/>
              <w:jc w:val="center"/>
              <w:rPr>
                <w:color w:val="000000"/>
                <w:sz w:val="24"/>
              </w:rPr>
            </w:pPr>
            <w:r w:rsidRPr="005834E9">
              <w:rPr>
                <w:rFonts w:hint="eastAsia"/>
                <w:color w:val="000000"/>
                <w:sz w:val="24"/>
              </w:rPr>
              <w:t>适用费率</w:t>
            </w:r>
          </w:p>
        </w:tc>
      </w:tr>
      <w:tr w:rsidR="00060A8D" w:rsidRPr="000F6252" w:rsidTr="005834E9">
        <w:trPr>
          <w:jc w:val="center"/>
        </w:trPr>
        <w:tc>
          <w:tcPr>
            <w:tcW w:w="1032" w:type="dxa"/>
            <w:vAlign w:val="center"/>
          </w:tcPr>
          <w:p w:rsidR="00060A8D" w:rsidRPr="005834E9" w:rsidRDefault="00060A8D" w:rsidP="00E1172F">
            <w:pPr>
              <w:jc w:val="center"/>
            </w:pPr>
            <w:r w:rsidRPr="005834E9">
              <w:rPr>
                <w:color w:val="000000"/>
                <w:sz w:val="24"/>
              </w:rPr>
              <w:t>1</w:t>
            </w:r>
          </w:p>
        </w:tc>
        <w:tc>
          <w:tcPr>
            <w:tcW w:w="1776" w:type="dxa"/>
            <w:vAlign w:val="center"/>
          </w:tcPr>
          <w:p w:rsidR="00060A8D" w:rsidRPr="005834E9" w:rsidRDefault="00060A8D" w:rsidP="00E1172F">
            <w:pPr>
              <w:jc w:val="center"/>
            </w:pPr>
            <w:r w:rsidRPr="005834E9">
              <w:rPr>
                <w:rFonts w:hint="eastAsia"/>
                <w:color w:val="000000"/>
                <w:sz w:val="24"/>
              </w:rPr>
              <w:t>红利再投</w:t>
            </w:r>
          </w:p>
        </w:tc>
        <w:tc>
          <w:tcPr>
            <w:tcW w:w="1366" w:type="dxa"/>
            <w:vAlign w:val="center"/>
          </w:tcPr>
          <w:p w:rsidR="00060A8D" w:rsidRPr="005834E9" w:rsidRDefault="00060A8D" w:rsidP="00E1172F">
            <w:pPr>
              <w:jc w:val="center"/>
            </w:pPr>
            <w:r w:rsidRPr="005834E9">
              <w:rPr>
                <w:color w:val="000000"/>
                <w:sz w:val="24"/>
              </w:rPr>
              <w:t>2015-01-21</w:t>
            </w:r>
          </w:p>
        </w:tc>
        <w:tc>
          <w:tcPr>
            <w:tcW w:w="1584" w:type="dxa"/>
            <w:vAlign w:val="center"/>
          </w:tcPr>
          <w:p w:rsidR="00060A8D" w:rsidRPr="005834E9" w:rsidRDefault="00060A8D" w:rsidP="00E1172F">
            <w:pPr>
              <w:jc w:val="right"/>
            </w:pPr>
            <w:r w:rsidRPr="005834E9">
              <w:rPr>
                <w:color w:val="000000"/>
                <w:sz w:val="24"/>
              </w:rPr>
              <w:t>9,991,770.89</w:t>
            </w:r>
          </w:p>
        </w:tc>
        <w:tc>
          <w:tcPr>
            <w:tcW w:w="1767" w:type="dxa"/>
            <w:vAlign w:val="center"/>
          </w:tcPr>
          <w:p w:rsidR="00060A8D" w:rsidRPr="005834E9" w:rsidRDefault="00060A8D" w:rsidP="00E1172F">
            <w:pPr>
              <w:jc w:val="right"/>
            </w:pPr>
            <w:r w:rsidRPr="005834E9">
              <w:rPr>
                <w:color w:val="000000"/>
                <w:sz w:val="24"/>
              </w:rPr>
              <w:t>12,579,639.55</w:t>
            </w:r>
          </w:p>
        </w:tc>
        <w:tc>
          <w:tcPr>
            <w:tcW w:w="1343" w:type="dxa"/>
            <w:vAlign w:val="center"/>
          </w:tcPr>
          <w:p w:rsidR="00060A8D" w:rsidRPr="005834E9" w:rsidRDefault="00060A8D" w:rsidP="00E1172F">
            <w:pPr>
              <w:jc w:val="center"/>
            </w:pPr>
            <w:r w:rsidRPr="005834E9">
              <w:rPr>
                <w:color w:val="000000"/>
                <w:sz w:val="24"/>
              </w:rPr>
              <w:t>-</w:t>
            </w:r>
          </w:p>
        </w:tc>
      </w:tr>
      <w:tr w:rsidR="00060A8D" w:rsidRPr="00414345" w:rsidTr="005834E9">
        <w:trPr>
          <w:trHeight w:val="340"/>
          <w:jc w:val="center"/>
        </w:trPr>
        <w:tc>
          <w:tcPr>
            <w:tcW w:w="1032" w:type="dxa"/>
            <w:vAlign w:val="center"/>
          </w:tcPr>
          <w:p w:rsidR="00060A8D" w:rsidRPr="005834E9" w:rsidRDefault="00060A8D" w:rsidP="00E1172F">
            <w:pPr>
              <w:pStyle w:val="ad"/>
              <w:adjustRightInd w:val="0"/>
              <w:snapToGrid w:val="0"/>
              <w:spacing w:before="29" w:line="288" w:lineRule="auto"/>
              <w:jc w:val="center"/>
              <w:rPr>
                <w:color w:val="000000"/>
              </w:rPr>
            </w:pPr>
            <w:r w:rsidRPr="005834E9">
              <w:rPr>
                <w:rFonts w:hint="eastAsia"/>
                <w:color w:val="000000"/>
              </w:rPr>
              <w:t>合计</w:t>
            </w:r>
          </w:p>
        </w:tc>
        <w:tc>
          <w:tcPr>
            <w:tcW w:w="1776" w:type="dxa"/>
            <w:vAlign w:val="center"/>
          </w:tcPr>
          <w:p w:rsidR="00060A8D" w:rsidRPr="005834E9" w:rsidRDefault="00060A8D" w:rsidP="00E1172F">
            <w:pPr>
              <w:adjustRightInd w:val="0"/>
              <w:snapToGrid w:val="0"/>
              <w:spacing w:before="29" w:line="288" w:lineRule="auto"/>
              <w:jc w:val="right"/>
              <w:rPr>
                <w:color w:val="0000FF"/>
                <w:sz w:val="18"/>
              </w:rPr>
            </w:pPr>
          </w:p>
        </w:tc>
        <w:tc>
          <w:tcPr>
            <w:tcW w:w="1366" w:type="dxa"/>
            <w:vAlign w:val="center"/>
          </w:tcPr>
          <w:p w:rsidR="00060A8D" w:rsidRPr="005834E9" w:rsidRDefault="00060A8D" w:rsidP="00E1172F">
            <w:pPr>
              <w:adjustRightInd w:val="0"/>
              <w:snapToGrid w:val="0"/>
              <w:spacing w:before="29" w:line="288" w:lineRule="auto"/>
              <w:jc w:val="right"/>
              <w:rPr>
                <w:color w:val="0000FF"/>
                <w:sz w:val="18"/>
              </w:rPr>
            </w:pPr>
          </w:p>
        </w:tc>
        <w:tc>
          <w:tcPr>
            <w:tcW w:w="1584" w:type="dxa"/>
            <w:vAlign w:val="center"/>
          </w:tcPr>
          <w:p w:rsidR="00060A8D" w:rsidRPr="005834E9" w:rsidRDefault="00060A8D" w:rsidP="00E1172F">
            <w:pPr>
              <w:adjustRightInd w:val="0"/>
              <w:snapToGrid w:val="0"/>
              <w:spacing w:before="29" w:line="288" w:lineRule="auto"/>
              <w:jc w:val="right"/>
              <w:rPr>
                <w:color w:val="000000"/>
                <w:sz w:val="24"/>
              </w:rPr>
            </w:pPr>
            <w:r w:rsidRPr="005834E9">
              <w:rPr>
                <w:color w:val="000000"/>
                <w:sz w:val="24"/>
              </w:rPr>
              <w:t>9,991,770.89</w:t>
            </w:r>
          </w:p>
        </w:tc>
        <w:tc>
          <w:tcPr>
            <w:tcW w:w="1767" w:type="dxa"/>
            <w:vAlign w:val="center"/>
          </w:tcPr>
          <w:p w:rsidR="00060A8D" w:rsidRPr="00060A8D" w:rsidRDefault="00060A8D" w:rsidP="00E1172F">
            <w:pPr>
              <w:adjustRightInd w:val="0"/>
              <w:snapToGrid w:val="0"/>
              <w:spacing w:before="29" w:line="288" w:lineRule="auto"/>
              <w:jc w:val="right"/>
              <w:rPr>
                <w:color w:val="000000"/>
                <w:sz w:val="24"/>
              </w:rPr>
            </w:pPr>
            <w:r w:rsidRPr="005834E9">
              <w:rPr>
                <w:color w:val="000000"/>
                <w:sz w:val="24"/>
              </w:rPr>
              <w:t>12,579,639.55</w:t>
            </w:r>
          </w:p>
        </w:tc>
        <w:tc>
          <w:tcPr>
            <w:tcW w:w="1343" w:type="dxa"/>
            <w:vAlign w:val="center"/>
          </w:tcPr>
          <w:p w:rsidR="00060A8D" w:rsidRPr="00060A8D" w:rsidRDefault="00060A8D" w:rsidP="00E1172F">
            <w:pPr>
              <w:adjustRightInd w:val="0"/>
              <w:snapToGrid w:val="0"/>
              <w:spacing w:before="29" w:line="288" w:lineRule="auto"/>
              <w:jc w:val="right"/>
              <w:rPr>
                <w:color w:val="0000FF"/>
                <w:sz w:val="18"/>
              </w:rPr>
            </w:pPr>
          </w:p>
        </w:tc>
      </w:tr>
    </w:tbl>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8E0F14">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536C00" w:rsidRDefault="00CB7D85">
      <w:pPr>
        <w:spacing w:before="29" w:line="288" w:lineRule="auto"/>
        <w:ind w:firstLineChars="200" w:firstLine="480"/>
        <w:rPr>
          <w:color w:val="000000"/>
          <w:sz w:val="24"/>
          <w:szCs w:val="24"/>
        </w:rPr>
      </w:pPr>
      <w:r>
        <w:rPr>
          <w:color w:val="000000"/>
          <w:sz w:val="24"/>
          <w:szCs w:val="24"/>
        </w:rPr>
        <w:t>根据《关于发布</w:t>
      </w:r>
      <w:r>
        <w:rPr>
          <w:color w:val="000000"/>
          <w:sz w:val="24"/>
          <w:szCs w:val="24"/>
        </w:rPr>
        <w:t>&lt;</w:t>
      </w:r>
      <w:r>
        <w:rPr>
          <w:color w:val="000000"/>
          <w:sz w:val="24"/>
          <w:szCs w:val="24"/>
        </w:rPr>
        <w:t>中国证券投资基金业协会估值核算工作小组关于</w:t>
      </w:r>
      <w:r>
        <w:rPr>
          <w:color w:val="000000"/>
          <w:sz w:val="24"/>
          <w:szCs w:val="24"/>
        </w:rPr>
        <w:t>2015</w:t>
      </w:r>
      <w:r>
        <w:rPr>
          <w:color w:val="000000"/>
          <w:sz w:val="24"/>
          <w:szCs w:val="24"/>
        </w:rPr>
        <w:t>年</w:t>
      </w:r>
      <w:r>
        <w:rPr>
          <w:color w:val="000000"/>
          <w:sz w:val="24"/>
          <w:szCs w:val="24"/>
        </w:rPr>
        <w:t>1</w:t>
      </w:r>
      <w:r>
        <w:rPr>
          <w:color w:val="000000"/>
          <w:sz w:val="24"/>
          <w:szCs w:val="24"/>
        </w:rPr>
        <w:t>季度固定收益品种的估值处理标准</w:t>
      </w:r>
      <w:r>
        <w:rPr>
          <w:color w:val="000000"/>
          <w:sz w:val="24"/>
          <w:szCs w:val="24"/>
        </w:rPr>
        <w:t>&gt;</w:t>
      </w:r>
      <w:r>
        <w:rPr>
          <w:color w:val="000000"/>
          <w:sz w:val="24"/>
          <w:szCs w:val="24"/>
        </w:rPr>
        <w:t>的通知》（中基协发</w:t>
      </w:r>
      <w:r>
        <w:rPr>
          <w:color w:val="000000"/>
          <w:sz w:val="24"/>
          <w:szCs w:val="24"/>
        </w:rPr>
        <w:t>[2014]24</w:t>
      </w:r>
      <w:r>
        <w:rPr>
          <w:color w:val="000000"/>
          <w:sz w:val="24"/>
          <w:szCs w:val="24"/>
        </w:rPr>
        <w:t>号）的要求，交银施罗德基金管理有限公司经与各基金托管人、会计师事务所协商一致，决定自</w:t>
      </w:r>
      <w:r>
        <w:rPr>
          <w:color w:val="000000"/>
          <w:sz w:val="24"/>
          <w:szCs w:val="24"/>
        </w:rPr>
        <w:t>2015</w:t>
      </w:r>
      <w:r>
        <w:rPr>
          <w:color w:val="000000"/>
          <w:sz w:val="24"/>
          <w:szCs w:val="24"/>
        </w:rPr>
        <w:t>年</w:t>
      </w:r>
      <w:r>
        <w:rPr>
          <w:color w:val="000000"/>
          <w:sz w:val="24"/>
          <w:szCs w:val="24"/>
        </w:rPr>
        <w:t>3</w:t>
      </w:r>
      <w:r>
        <w:rPr>
          <w:color w:val="000000"/>
          <w:sz w:val="24"/>
          <w:szCs w:val="24"/>
        </w:rPr>
        <w:t>月</w:t>
      </w:r>
      <w:r>
        <w:rPr>
          <w:color w:val="000000"/>
          <w:sz w:val="24"/>
          <w:szCs w:val="24"/>
        </w:rPr>
        <w:t>19</w:t>
      </w:r>
      <w:r>
        <w:rPr>
          <w:color w:val="000000"/>
          <w:sz w:val="24"/>
          <w:szCs w:val="24"/>
        </w:rPr>
        <w:t>日起对旗下基金持有的上海证券交易所、深圳证券交易所上市交易或挂牌转让的固定收益品种主要依据第三方估值机构提供的价格数据进行估值，该通知另有规定的除外。</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19</w:t>
      </w:r>
      <w:r w:rsidRPr="00414345">
        <w:rPr>
          <w:color w:val="000000"/>
          <w:sz w:val="24"/>
          <w:szCs w:val="24"/>
        </w:rPr>
        <w:t>日当日进行的上述相关调整对前一估值日各基金资产净值的影响不超过</w:t>
      </w:r>
      <w:r w:rsidRPr="00414345">
        <w:rPr>
          <w:color w:val="000000"/>
          <w:sz w:val="24"/>
          <w:szCs w:val="24"/>
        </w:rPr>
        <w:t>0.50%</w:t>
      </w:r>
      <w:r w:rsidRPr="00414345">
        <w:rPr>
          <w:color w:val="000000"/>
          <w:sz w:val="24"/>
          <w:szCs w:val="24"/>
        </w:rPr>
        <w:t>。</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8E0F14">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536C00" w:rsidRDefault="00CB7D8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、中国证监会批准交银施罗德稳健配置混合型证券投资基金募集的文件；</w:t>
      </w:r>
      <w:r>
        <w:rPr>
          <w:color w:val="000000"/>
          <w:sz w:val="24"/>
          <w:szCs w:val="24"/>
        </w:rPr>
        <w:t xml:space="preserve"> </w:t>
      </w:r>
    </w:p>
    <w:p w:rsidR="00536C00" w:rsidRDefault="00CB7D8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、《交银施罗德稳健配置混合型证券投资基金基金合同》；</w:t>
      </w:r>
      <w:r>
        <w:rPr>
          <w:color w:val="000000"/>
          <w:sz w:val="24"/>
          <w:szCs w:val="24"/>
        </w:rPr>
        <w:t xml:space="preserve"> </w:t>
      </w:r>
    </w:p>
    <w:p w:rsidR="00536C00" w:rsidRDefault="00CB7D8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、《交银施罗德稳健配置混合型证券投资基金招募说明书》；</w:t>
      </w:r>
    </w:p>
    <w:p w:rsidR="00536C00" w:rsidRDefault="00CB7D8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、《交银施罗德稳健配置混合型证券投资基金托管协议》；</w:t>
      </w:r>
      <w:r>
        <w:rPr>
          <w:color w:val="000000"/>
          <w:sz w:val="24"/>
          <w:szCs w:val="24"/>
        </w:rPr>
        <w:t xml:space="preserve"> </w:t>
      </w:r>
    </w:p>
    <w:p w:rsidR="00536C00" w:rsidRDefault="00CB7D85">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、关于募集交银施罗德稳健配置混合型证券投资基金之法律意见书；</w:t>
      </w:r>
      <w:r>
        <w:rPr>
          <w:color w:val="000000"/>
          <w:sz w:val="24"/>
          <w:szCs w:val="24"/>
        </w:rPr>
        <w:t xml:space="preserve"> </w:t>
      </w:r>
    </w:p>
    <w:p w:rsidR="00536C00" w:rsidRDefault="00CB7D85">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536C00" w:rsidRDefault="00CB7D85">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、报告期内交银施罗德稳健配置混合型证券投资基金在指定报刊上各项公告的原稿。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536C00" w:rsidRDefault="00CB7D8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C1E" w:rsidRDefault="00D56C1E" w:rsidP="00876D65">
      <w:r>
        <w:separator/>
      </w:r>
    </w:p>
  </w:endnote>
  <w:endnote w:type="continuationSeparator" w:id="0">
    <w:p w:rsidR="00D56C1E" w:rsidRDefault="00D56C1E"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9F3201">
      <w:rPr>
        <w:kern w:val="0"/>
        <w:szCs w:val="21"/>
      </w:rPr>
      <w:fldChar w:fldCharType="begin"/>
    </w:r>
    <w:r>
      <w:rPr>
        <w:kern w:val="0"/>
        <w:szCs w:val="21"/>
      </w:rPr>
      <w:instrText xml:space="preserve"> PAGE </w:instrText>
    </w:r>
    <w:r w:rsidR="009F3201">
      <w:rPr>
        <w:kern w:val="0"/>
        <w:szCs w:val="21"/>
      </w:rPr>
      <w:fldChar w:fldCharType="separate"/>
    </w:r>
    <w:r w:rsidR="00C775A5">
      <w:rPr>
        <w:noProof/>
        <w:kern w:val="0"/>
        <w:szCs w:val="21"/>
      </w:rPr>
      <w:t>4</w:t>
    </w:r>
    <w:r w:rsidR="009F320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9F3201">
      <w:rPr>
        <w:kern w:val="0"/>
        <w:szCs w:val="21"/>
      </w:rPr>
      <w:fldChar w:fldCharType="begin"/>
    </w:r>
    <w:r>
      <w:rPr>
        <w:kern w:val="0"/>
        <w:szCs w:val="21"/>
      </w:rPr>
      <w:instrText xml:space="preserve"> NUMPAGES </w:instrText>
    </w:r>
    <w:r w:rsidR="009F3201">
      <w:rPr>
        <w:kern w:val="0"/>
        <w:szCs w:val="21"/>
      </w:rPr>
      <w:fldChar w:fldCharType="separate"/>
    </w:r>
    <w:r w:rsidR="00C775A5">
      <w:rPr>
        <w:noProof/>
        <w:kern w:val="0"/>
        <w:szCs w:val="21"/>
      </w:rPr>
      <w:t>12</w:t>
    </w:r>
    <w:r w:rsidR="009F320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C1E" w:rsidRDefault="00D56C1E" w:rsidP="00876D65">
      <w:r>
        <w:separator/>
      </w:r>
    </w:p>
  </w:footnote>
  <w:footnote w:type="continuationSeparator" w:id="0">
    <w:p w:rsidR="00D56C1E" w:rsidRDefault="00D56C1E"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0A8D"/>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36C00"/>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34E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560"/>
    <w:rsid w:val="00626998"/>
    <w:rsid w:val="006269FB"/>
    <w:rsid w:val="00627E2D"/>
    <w:rsid w:val="00627EDE"/>
    <w:rsid w:val="00631ED8"/>
    <w:rsid w:val="006326E3"/>
    <w:rsid w:val="00632B0F"/>
    <w:rsid w:val="00633745"/>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119C"/>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0F14"/>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201"/>
    <w:rsid w:val="009F3659"/>
    <w:rsid w:val="009F4861"/>
    <w:rsid w:val="009F61BE"/>
    <w:rsid w:val="009F7ED4"/>
    <w:rsid w:val="00A022EA"/>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5A5"/>
    <w:rsid w:val="00C77AEF"/>
    <w:rsid w:val="00C85A6E"/>
    <w:rsid w:val="00C87129"/>
    <w:rsid w:val="00C91E1B"/>
    <w:rsid w:val="00C9613D"/>
    <w:rsid w:val="00C9690F"/>
    <w:rsid w:val="00CA574C"/>
    <w:rsid w:val="00CA5FD5"/>
    <w:rsid w:val="00CA7703"/>
    <w:rsid w:val="00CB0F92"/>
    <w:rsid w:val="00CB7D85"/>
    <w:rsid w:val="00CD4E6D"/>
    <w:rsid w:val="00CD4F19"/>
    <w:rsid w:val="00CD5707"/>
    <w:rsid w:val="00CD7702"/>
    <w:rsid w:val="00CE29EA"/>
    <w:rsid w:val="00CE473F"/>
    <w:rsid w:val="00CF04CF"/>
    <w:rsid w:val="00CF173C"/>
    <w:rsid w:val="00CF2D3E"/>
    <w:rsid w:val="00CF6572"/>
    <w:rsid w:val="00D01FE6"/>
    <w:rsid w:val="00D02347"/>
    <w:rsid w:val="00D046DB"/>
    <w:rsid w:val="00D04755"/>
    <w:rsid w:val="00D1116B"/>
    <w:rsid w:val="00D13737"/>
    <w:rsid w:val="00D1638E"/>
    <w:rsid w:val="00D2061C"/>
    <w:rsid w:val="00D21FFF"/>
    <w:rsid w:val="00D2206B"/>
    <w:rsid w:val="00D272A5"/>
    <w:rsid w:val="00D31EF0"/>
    <w:rsid w:val="00D346D9"/>
    <w:rsid w:val="00D43AFB"/>
    <w:rsid w:val="00D44EE8"/>
    <w:rsid w:val="00D56C1E"/>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36CD8A9-D397-455A-B3E2-9BC009E0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uiPriority w:val="99"/>
    <w:rsid w:val="004061AC"/>
    <w:rPr>
      <w:sz w:val="24"/>
      <w:szCs w:val="24"/>
    </w:rPr>
  </w:style>
  <w:style w:type="character" w:customStyle="1" w:styleId="Char4">
    <w:name w:val="日期 Char"/>
    <w:basedOn w:val="a1"/>
    <w:link w:val="ad"/>
    <w:uiPriority w:val="99"/>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63C6-4AA2-477B-A9E7-5F497FA29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1802</TotalTime>
  <Pages>12</Pages>
  <Words>1128</Words>
  <Characters>6434</Characters>
  <Application>Microsoft Office Word</Application>
  <DocSecurity>0</DocSecurity>
  <Lines>53</Lines>
  <Paragraphs>15</Paragraphs>
  <ScaleCrop>false</ScaleCrop>
  <Company/>
  <LinksUpToDate>false</LinksUpToDate>
  <CharactersWithSpaces>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569</cp:revision>
  <dcterms:created xsi:type="dcterms:W3CDTF">2012-10-16T06:07:00Z</dcterms:created>
  <dcterms:modified xsi:type="dcterms:W3CDTF">2015-04-17T06:19:00Z</dcterms:modified>
</cp:coreProperties>
</file>