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二〇一五年四月二十一日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F32A49">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DF0A76" w:rsidRDefault="00F32A4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F0A76" w:rsidRDefault="00F32A4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F0A76" w:rsidRDefault="00F32A4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F0A76" w:rsidRDefault="00F32A4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F0A76" w:rsidRDefault="00F32A49">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交银全球资源股票</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3,863,691.86</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32A49" w:rsidRPr="008640AE" w:rsidTr="00F32A49">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F32A49" w:rsidRPr="008640AE" w:rsidTr="00F32A4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-287,580.94</w:t>
            </w:r>
          </w:p>
        </w:tc>
      </w:tr>
      <w:tr w:rsidR="00F32A49" w:rsidRPr="008640AE" w:rsidTr="00F32A4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-68,228.23</w:t>
            </w:r>
          </w:p>
        </w:tc>
      </w:tr>
      <w:tr w:rsidR="00F32A49" w:rsidRPr="008640AE" w:rsidTr="00F32A4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-0.0171</w:t>
            </w:r>
          </w:p>
        </w:tc>
      </w:tr>
      <w:tr w:rsidR="00F32A49" w:rsidRPr="008640AE" w:rsidTr="00F32A4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4,482,849.98</w:t>
            </w:r>
          </w:p>
        </w:tc>
      </w:tr>
      <w:tr w:rsidR="00F32A49" w:rsidRPr="008640AE" w:rsidTr="00F32A49">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1.160</w:t>
            </w:r>
          </w:p>
        </w:tc>
      </w:tr>
    </w:tbl>
    <w:p w:rsidR="00DF0A76" w:rsidRDefault="00F32A4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DF0A76">
        <w:trPr>
          <w:jc w:val="center"/>
        </w:trPr>
        <w:tc>
          <w:tcPr>
            <w:tcW w:w="1701" w:type="dxa"/>
            <w:vAlign w:val="center"/>
          </w:tcPr>
          <w:p w:rsidR="00DF0A76" w:rsidRDefault="00F32A49">
            <w:pPr>
              <w:jc w:val="left"/>
            </w:pPr>
            <w:r>
              <w:rPr>
                <w:color w:val="000000"/>
                <w:sz w:val="24"/>
              </w:rPr>
              <w:t>过去三个月</w:t>
            </w:r>
          </w:p>
        </w:tc>
        <w:tc>
          <w:tcPr>
            <w:tcW w:w="1194" w:type="dxa"/>
            <w:vAlign w:val="center"/>
          </w:tcPr>
          <w:p w:rsidR="00DF0A76" w:rsidRDefault="00F32A49">
            <w:pPr>
              <w:jc w:val="right"/>
            </w:pPr>
            <w:r>
              <w:rPr>
                <w:color w:val="000000"/>
                <w:sz w:val="24"/>
              </w:rPr>
              <w:t>-1.61%</w:t>
            </w:r>
          </w:p>
        </w:tc>
        <w:tc>
          <w:tcPr>
            <w:tcW w:w="1194" w:type="dxa"/>
            <w:vAlign w:val="center"/>
          </w:tcPr>
          <w:p w:rsidR="00DF0A76" w:rsidRDefault="00F32A49">
            <w:pPr>
              <w:jc w:val="right"/>
            </w:pPr>
            <w:r>
              <w:rPr>
                <w:color w:val="000000"/>
                <w:sz w:val="24"/>
              </w:rPr>
              <w:t>1.15%</w:t>
            </w:r>
          </w:p>
        </w:tc>
        <w:tc>
          <w:tcPr>
            <w:tcW w:w="1194" w:type="dxa"/>
            <w:vAlign w:val="center"/>
          </w:tcPr>
          <w:p w:rsidR="00DF0A76" w:rsidRDefault="00F32A49">
            <w:pPr>
              <w:jc w:val="right"/>
            </w:pPr>
            <w:r>
              <w:rPr>
                <w:color w:val="000000"/>
                <w:sz w:val="24"/>
              </w:rPr>
              <w:t>-0.78%</w:t>
            </w:r>
          </w:p>
        </w:tc>
        <w:tc>
          <w:tcPr>
            <w:tcW w:w="1343" w:type="dxa"/>
            <w:vAlign w:val="center"/>
          </w:tcPr>
          <w:p w:rsidR="00DF0A76" w:rsidRDefault="00F32A49">
            <w:pPr>
              <w:jc w:val="right"/>
            </w:pPr>
            <w:r>
              <w:rPr>
                <w:color w:val="000000"/>
                <w:sz w:val="24"/>
              </w:rPr>
              <w:t>1.09%</w:t>
            </w:r>
          </w:p>
        </w:tc>
        <w:tc>
          <w:tcPr>
            <w:tcW w:w="1194" w:type="dxa"/>
            <w:vAlign w:val="center"/>
          </w:tcPr>
          <w:p w:rsidR="00DF0A76" w:rsidRDefault="00F32A49">
            <w:pPr>
              <w:jc w:val="right"/>
            </w:pPr>
            <w:r>
              <w:rPr>
                <w:color w:val="000000"/>
                <w:sz w:val="24"/>
              </w:rPr>
              <w:t>-0.83%</w:t>
            </w:r>
          </w:p>
        </w:tc>
        <w:tc>
          <w:tcPr>
            <w:tcW w:w="1048" w:type="dxa"/>
            <w:vAlign w:val="center"/>
          </w:tcPr>
          <w:p w:rsidR="00DF0A76" w:rsidRDefault="00F32A49">
            <w:pPr>
              <w:jc w:val="right"/>
            </w:pPr>
            <w:r>
              <w:rPr>
                <w:color w:val="000000"/>
                <w:sz w:val="24"/>
              </w:rPr>
              <w:t>0.06%</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DF0A76">
        <w:trPr>
          <w:jc w:val="center"/>
        </w:trPr>
        <w:tc>
          <w:tcPr>
            <w:tcW w:w="846" w:type="dxa"/>
            <w:vAlign w:val="center"/>
          </w:tcPr>
          <w:p w:rsidR="00DF0A76" w:rsidRDefault="00F32A49">
            <w:pPr>
              <w:jc w:val="center"/>
            </w:pPr>
            <w:r>
              <w:rPr>
                <w:color w:val="000000"/>
                <w:sz w:val="24"/>
              </w:rPr>
              <w:t>晏青</w:t>
            </w:r>
          </w:p>
        </w:tc>
        <w:tc>
          <w:tcPr>
            <w:tcW w:w="845" w:type="dxa"/>
            <w:vAlign w:val="center"/>
          </w:tcPr>
          <w:p w:rsidR="00DF0A76" w:rsidRDefault="00F32A49">
            <w:pPr>
              <w:jc w:val="center"/>
            </w:pPr>
            <w:r>
              <w:rPr>
                <w:color w:val="000000"/>
                <w:sz w:val="24"/>
              </w:rPr>
              <w:t>本基金、交银施罗德环球精选价值证券投资基金的基金经理</w:t>
            </w:r>
          </w:p>
        </w:tc>
        <w:tc>
          <w:tcPr>
            <w:tcW w:w="1549" w:type="dxa"/>
            <w:vAlign w:val="center"/>
          </w:tcPr>
          <w:p w:rsidR="00DF0A76" w:rsidRDefault="00F32A49">
            <w:pPr>
              <w:jc w:val="center"/>
            </w:pPr>
            <w:r>
              <w:rPr>
                <w:color w:val="000000"/>
                <w:sz w:val="24"/>
              </w:rPr>
              <w:t>2014-01-10</w:t>
            </w:r>
          </w:p>
        </w:tc>
        <w:tc>
          <w:tcPr>
            <w:tcW w:w="1548" w:type="dxa"/>
            <w:vAlign w:val="center"/>
          </w:tcPr>
          <w:p w:rsidR="00DF0A76" w:rsidRDefault="00F32A49">
            <w:pPr>
              <w:jc w:val="center"/>
            </w:pPr>
            <w:r>
              <w:rPr>
                <w:color w:val="000000"/>
                <w:sz w:val="24"/>
              </w:rPr>
              <w:t>-</w:t>
            </w:r>
          </w:p>
        </w:tc>
        <w:tc>
          <w:tcPr>
            <w:tcW w:w="1407" w:type="dxa"/>
            <w:vAlign w:val="center"/>
          </w:tcPr>
          <w:p w:rsidR="00DF0A76" w:rsidRDefault="00F32A49">
            <w:pPr>
              <w:jc w:val="center"/>
            </w:pPr>
            <w:r>
              <w:rPr>
                <w:color w:val="000000"/>
                <w:sz w:val="24"/>
              </w:rPr>
              <w:t>9</w:t>
            </w:r>
            <w:r>
              <w:rPr>
                <w:color w:val="000000"/>
                <w:sz w:val="24"/>
              </w:rPr>
              <w:t>年</w:t>
            </w:r>
          </w:p>
        </w:tc>
        <w:tc>
          <w:tcPr>
            <w:tcW w:w="2673" w:type="dxa"/>
            <w:vAlign w:val="center"/>
          </w:tcPr>
          <w:p w:rsidR="00DF0A76" w:rsidRDefault="00F32A49">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DF0A76">
        <w:trPr>
          <w:jc w:val="center"/>
        </w:trPr>
        <w:tc>
          <w:tcPr>
            <w:tcW w:w="2070" w:type="dxa"/>
            <w:vAlign w:val="center"/>
          </w:tcPr>
          <w:p w:rsidR="00DF0A76" w:rsidRDefault="00F32A49">
            <w:pPr>
              <w:jc w:val="center"/>
            </w:pPr>
            <w:r>
              <w:rPr>
                <w:color w:val="000000"/>
                <w:sz w:val="24"/>
              </w:rPr>
              <w:t>Simon Webber</w:t>
            </w:r>
          </w:p>
        </w:tc>
        <w:tc>
          <w:tcPr>
            <w:tcW w:w="2465" w:type="dxa"/>
            <w:vAlign w:val="center"/>
          </w:tcPr>
          <w:p w:rsidR="00DF0A76" w:rsidRDefault="00F32A49">
            <w:pPr>
              <w:jc w:val="center"/>
            </w:pPr>
            <w:r>
              <w:rPr>
                <w:color w:val="000000"/>
                <w:sz w:val="24"/>
              </w:rPr>
              <w:t>施罗德集团多区域（全球及国际）股票投资主管、全球和国际股票基金经理、全球气候变化股票基金经理</w:t>
            </w:r>
          </w:p>
        </w:tc>
        <w:tc>
          <w:tcPr>
            <w:tcW w:w="2116" w:type="dxa"/>
            <w:vAlign w:val="center"/>
          </w:tcPr>
          <w:p w:rsidR="00DF0A76" w:rsidRDefault="00B548B7">
            <w:pPr>
              <w:jc w:val="center"/>
            </w:pPr>
            <w:r>
              <w:rPr>
                <w:color w:val="000000"/>
                <w:sz w:val="24"/>
              </w:rPr>
              <w:t>16</w:t>
            </w:r>
            <w:r w:rsidR="00F32A49">
              <w:rPr>
                <w:color w:val="000000"/>
                <w:sz w:val="24"/>
              </w:rPr>
              <w:t>年</w:t>
            </w:r>
          </w:p>
        </w:tc>
        <w:tc>
          <w:tcPr>
            <w:tcW w:w="2217" w:type="dxa"/>
            <w:vAlign w:val="center"/>
          </w:tcPr>
          <w:p w:rsidR="00DF0A76" w:rsidRDefault="00F32A49">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DF0A76" w:rsidRDefault="00F32A4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F0A76" w:rsidRDefault="00F32A4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F0A76" w:rsidRDefault="00F32A4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w:t>
      </w:r>
      <w:r w:rsidRPr="008640AE">
        <w:rPr>
          <w:color w:val="000000"/>
          <w:sz w:val="24"/>
        </w:rPr>
        <w:t>,</w:t>
      </w:r>
      <w:r w:rsidRPr="008640AE">
        <w:rPr>
          <w:color w:val="000000"/>
          <w:sz w:val="24"/>
        </w:rPr>
        <w:t>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DF0A76" w:rsidRDefault="00F32A49">
      <w:pPr>
        <w:spacing w:before="29" w:line="288" w:lineRule="auto"/>
        <w:ind w:firstLineChars="200" w:firstLine="480"/>
        <w:rPr>
          <w:color w:val="000000"/>
          <w:sz w:val="24"/>
        </w:rPr>
      </w:pPr>
      <w:r>
        <w:rPr>
          <w:color w:val="000000"/>
          <w:sz w:val="24"/>
        </w:rPr>
        <w:t>海外股票市场本季度整体表现良好，发达市场中欧美走势有所分化，欧洲表现最佳，日本继续受益于日元贬值，美国表现相对弱一些，新兴市场中俄罗斯开始企稳，中国</w:t>
      </w:r>
      <w:r>
        <w:rPr>
          <w:color w:val="000000"/>
          <w:sz w:val="24"/>
        </w:rPr>
        <w:t>A</w:t>
      </w:r>
      <w:r>
        <w:rPr>
          <w:color w:val="000000"/>
          <w:sz w:val="24"/>
        </w:rPr>
        <w:t>股继续高歌猛进。大宗商品整体下跌，</w:t>
      </w:r>
      <w:r>
        <w:rPr>
          <w:color w:val="000000"/>
          <w:sz w:val="24"/>
        </w:rPr>
        <w:t>MSCI</w:t>
      </w:r>
      <w:r>
        <w:rPr>
          <w:color w:val="000000"/>
          <w:sz w:val="24"/>
        </w:rPr>
        <w:t>全球能源分类指数继续下挫。本基金精选了香港市场的一些个股，规避了大宗商品下挫所带来的冲击。</w:t>
      </w:r>
    </w:p>
    <w:p w:rsidR="00B0116D" w:rsidRPr="008640AE" w:rsidRDefault="00B0116D" w:rsidP="005546C0">
      <w:pPr>
        <w:spacing w:before="29" w:line="288" w:lineRule="auto"/>
        <w:ind w:firstLineChars="200" w:firstLine="480"/>
        <w:rPr>
          <w:color w:val="000000"/>
          <w:sz w:val="24"/>
        </w:rPr>
      </w:pPr>
      <w:r w:rsidRPr="008640AE">
        <w:rPr>
          <w:color w:val="000000"/>
          <w:sz w:val="24"/>
        </w:rPr>
        <w:t>展望未来一个季度，我们会持续关注全球宏观经济、货币政策和地缘政治这三大因素的变化。考虑到美国经济保持健康增长、欧洲持续量化宽松也出现一些积极的变化、中国经济在政策放松下呈企稳态势，这些因素可能导致大宗商品价格在普遍调整较多的情况下，出现一定程度的修复。我们将坚持一贯的精选个股原则，努力为投资人获取稳健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1.160</w:t>
      </w:r>
      <w:r w:rsidRPr="008640AE">
        <w:rPr>
          <w:color w:val="000000"/>
          <w:sz w:val="24"/>
        </w:rPr>
        <w:t>元，本报告期份额净值增长率为</w:t>
      </w:r>
      <w:r w:rsidRPr="008640AE">
        <w:rPr>
          <w:color w:val="000000"/>
          <w:sz w:val="24"/>
        </w:rPr>
        <w:t>-1.61%</w:t>
      </w:r>
      <w:r w:rsidRPr="008640AE">
        <w:rPr>
          <w:color w:val="000000"/>
          <w:sz w:val="24"/>
        </w:rPr>
        <w:t>，同期业绩比较基准增长率为</w:t>
      </w:r>
      <w:r w:rsidRPr="008640AE">
        <w:rPr>
          <w:color w:val="000000"/>
          <w:sz w:val="24"/>
        </w:rPr>
        <w:t>-0.78%</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F32A49">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1A2B62" w:rsidRPr="001A2B62" w:rsidRDefault="001A2B62" w:rsidP="001A2B62">
      <w:pPr>
        <w:spacing w:before="29" w:line="288" w:lineRule="auto"/>
        <w:ind w:firstLineChars="200" w:firstLine="480"/>
        <w:rPr>
          <w:rFonts w:hint="eastAsia"/>
          <w:color w:val="000000"/>
          <w:sz w:val="24"/>
        </w:rPr>
      </w:pPr>
      <w:r w:rsidRPr="001A2B62">
        <w:rPr>
          <w:rFonts w:hint="eastAsia"/>
          <w:color w:val="000000"/>
          <w:sz w:val="24"/>
        </w:rPr>
        <w:t>截至本报告期末，本基金已经连续六十个工作日以上出现基金资产净值低于五千万元的情形，基金管理人已向中国证券监督</w:t>
      </w:r>
      <w:bookmarkStart w:id="0" w:name="_GoBack"/>
      <w:bookmarkEnd w:id="0"/>
      <w:r w:rsidRPr="001A2B62">
        <w:rPr>
          <w:rFonts w:hint="eastAsia"/>
          <w:color w:val="000000"/>
          <w:sz w:val="24"/>
        </w:rPr>
        <w:t>管理委员会进行了报告，拟通过终止基金合同等方式解决，但至本报告批准报出日，本基金基金资产净值已高于五千万元。</w:t>
      </w:r>
    </w:p>
    <w:p w:rsidR="00EA3F21" w:rsidRPr="001A2B62" w:rsidRDefault="00EA3F21" w:rsidP="005546C0">
      <w:pPr>
        <w:spacing w:before="29" w:line="288" w:lineRule="auto"/>
        <w:ind w:firstLineChars="200" w:firstLine="480"/>
        <w:rPr>
          <w:color w:val="000000"/>
          <w:sz w:val="24"/>
        </w:rPr>
      </w:pPr>
    </w:p>
    <w:p w:rsidR="0076518F" w:rsidRPr="008640AE" w:rsidRDefault="0076518F"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3,965,763.03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77.02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3,965,763.03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77.02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1,044,789.26</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20.29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138,382.53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2.69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5,148,934.82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DF0A76">
        <w:trPr>
          <w:jc w:val="center"/>
        </w:trPr>
        <w:tc>
          <w:tcPr>
            <w:tcW w:w="2484" w:type="dxa"/>
            <w:vAlign w:val="center"/>
          </w:tcPr>
          <w:p w:rsidR="00DF0A76" w:rsidRDefault="00F32A49">
            <w:pPr>
              <w:jc w:val="left"/>
            </w:pPr>
            <w:r>
              <w:rPr>
                <w:color w:val="000000"/>
                <w:sz w:val="24"/>
              </w:rPr>
              <w:t>香港</w:t>
            </w:r>
          </w:p>
        </w:tc>
        <w:tc>
          <w:tcPr>
            <w:tcW w:w="3214" w:type="dxa"/>
            <w:vAlign w:val="center"/>
          </w:tcPr>
          <w:p w:rsidR="00DF0A76" w:rsidRDefault="00F32A49">
            <w:pPr>
              <w:jc w:val="right"/>
            </w:pPr>
            <w:r>
              <w:rPr>
                <w:color w:val="000000"/>
                <w:sz w:val="24"/>
              </w:rPr>
              <w:t>3,965,763.03</w:t>
            </w:r>
          </w:p>
        </w:tc>
        <w:tc>
          <w:tcPr>
            <w:tcW w:w="3170" w:type="dxa"/>
            <w:vAlign w:val="center"/>
          </w:tcPr>
          <w:p w:rsidR="00DF0A76" w:rsidRDefault="00F32A49">
            <w:pPr>
              <w:jc w:val="right"/>
            </w:pPr>
            <w:r>
              <w:rPr>
                <w:color w:val="000000"/>
                <w:sz w:val="24"/>
              </w:rPr>
              <w:t>88.47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3,965,763.03</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88.47</w:t>
            </w:r>
          </w:p>
        </w:tc>
      </w:tr>
    </w:tbl>
    <w:p w:rsidR="00DF0A76" w:rsidRDefault="00F32A4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DF0A76">
        <w:trPr>
          <w:jc w:val="center"/>
        </w:trPr>
        <w:tc>
          <w:tcPr>
            <w:tcW w:w="2904" w:type="dxa"/>
            <w:vAlign w:val="center"/>
          </w:tcPr>
          <w:p w:rsidR="00DF0A76" w:rsidRDefault="00F32A49">
            <w:pPr>
              <w:jc w:val="left"/>
            </w:pPr>
            <w:r>
              <w:rPr>
                <w:color w:val="000000"/>
                <w:sz w:val="24"/>
              </w:rPr>
              <w:t>工业</w:t>
            </w:r>
          </w:p>
        </w:tc>
        <w:tc>
          <w:tcPr>
            <w:tcW w:w="2657" w:type="dxa"/>
            <w:vAlign w:val="center"/>
          </w:tcPr>
          <w:p w:rsidR="00DF0A76" w:rsidRDefault="00F32A49">
            <w:pPr>
              <w:jc w:val="right"/>
            </w:pPr>
            <w:r>
              <w:rPr>
                <w:color w:val="000000"/>
                <w:sz w:val="24"/>
              </w:rPr>
              <w:t>1,100,569.21</w:t>
            </w:r>
          </w:p>
        </w:tc>
        <w:tc>
          <w:tcPr>
            <w:tcW w:w="3307" w:type="dxa"/>
            <w:vAlign w:val="center"/>
          </w:tcPr>
          <w:p w:rsidR="00DF0A76" w:rsidRDefault="00F32A49">
            <w:pPr>
              <w:jc w:val="right"/>
            </w:pPr>
            <w:r>
              <w:rPr>
                <w:color w:val="000000"/>
                <w:sz w:val="24"/>
              </w:rPr>
              <w:t>24.55</w:t>
            </w:r>
          </w:p>
        </w:tc>
      </w:tr>
      <w:tr w:rsidR="00DF0A76">
        <w:trPr>
          <w:jc w:val="center"/>
        </w:trPr>
        <w:tc>
          <w:tcPr>
            <w:tcW w:w="2904" w:type="dxa"/>
            <w:vAlign w:val="center"/>
          </w:tcPr>
          <w:p w:rsidR="00DF0A76" w:rsidRDefault="00F32A49">
            <w:pPr>
              <w:jc w:val="left"/>
            </w:pPr>
            <w:r>
              <w:rPr>
                <w:color w:val="000000"/>
                <w:sz w:val="24"/>
              </w:rPr>
              <w:t>材料</w:t>
            </w:r>
          </w:p>
        </w:tc>
        <w:tc>
          <w:tcPr>
            <w:tcW w:w="2657" w:type="dxa"/>
            <w:vAlign w:val="center"/>
          </w:tcPr>
          <w:p w:rsidR="00DF0A76" w:rsidRDefault="00F32A49">
            <w:pPr>
              <w:jc w:val="right"/>
            </w:pPr>
            <w:r>
              <w:rPr>
                <w:color w:val="000000"/>
                <w:sz w:val="24"/>
              </w:rPr>
              <w:t>1,022,757.24</w:t>
            </w:r>
          </w:p>
        </w:tc>
        <w:tc>
          <w:tcPr>
            <w:tcW w:w="3307" w:type="dxa"/>
            <w:vAlign w:val="center"/>
          </w:tcPr>
          <w:p w:rsidR="00DF0A76" w:rsidRDefault="00F32A49">
            <w:pPr>
              <w:jc w:val="right"/>
            </w:pPr>
            <w:r>
              <w:rPr>
                <w:color w:val="000000"/>
                <w:sz w:val="24"/>
              </w:rPr>
              <w:t>22.81</w:t>
            </w:r>
          </w:p>
        </w:tc>
      </w:tr>
      <w:tr w:rsidR="00DF0A76">
        <w:trPr>
          <w:jc w:val="center"/>
        </w:trPr>
        <w:tc>
          <w:tcPr>
            <w:tcW w:w="2904" w:type="dxa"/>
            <w:vAlign w:val="center"/>
          </w:tcPr>
          <w:p w:rsidR="00DF0A76" w:rsidRDefault="00F32A49">
            <w:pPr>
              <w:jc w:val="left"/>
            </w:pPr>
            <w:r>
              <w:rPr>
                <w:color w:val="000000"/>
                <w:sz w:val="24"/>
              </w:rPr>
              <w:t>必需消费品</w:t>
            </w:r>
          </w:p>
        </w:tc>
        <w:tc>
          <w:tcPr>
            <w:tcW w:w="2657" w:type="dxa"/>
            <w:vAlign w:val="center"/>
          </w:tcPr>
          <w:p w:rsidR="00DF0A76" w:rsidRDefault="00F32A49">
            <w:pPr>
              <w:jc w:val="right"/>
            </w:pPr>
            <w:r>
              <w:rPr>
                <w:color w:val="000000"/>
                <w:sz w:val="24"/>
              </w:rPr>
              <w:t>672,041.03</w:t>
            </w:r>
          </w:p>
        </w:tc>
        <w:tc>
          <w:tcPr>
            <w:tcW w:w="3307" w:type="dxa"/>
            <w:vAlign w:val="center"/>
          </w:tcPr>
          <w:p w:rsidR="00DF0A76" w:rsidRDefault="00F32A49">
            <w:pPr>
              <w:jc w:val="right"/>
            </w:pPr>
            <w:r>
              <w:rPr>
                <w:color w:val="000000"/>
                <w:sz w:val="24"/>
              </w:rPr>
              <w:t>14.99</w:t>
            </w:r>
          </w:p>
        </w:tc>
      </w:tr>
      <w:tr w:rsidR="00DF0A76">
        <w:trPr>
          <w:jc w:val="center"/>
        </w:trPr>
        <w:tc>
          <w:tcPr>
            <w:tcW w:w="2904" w:type="dxa"/>
            <w:vAlign w:val="center"/>
          </w:tcPr>
          <w:p w:rsidR="00DF0A76" w:rsidRDefault="00F32A49">
            <w:pPr>
              <w:jc w:val="left"/>
            </w:pPr>
            <w:r>
              <w:rPr>
                <w:color w:val="000000"/>
                <w:sz w:val="24"/>
              </w:rPr>
              <w:t>公共事业</w:t>
            </w:r>
          </w:p>
        </w:tc>
        <w:tc>
          <w:tcPr>
            <w:tcW w:w="2657" w:type="dxa"/>
            <w:vAlign w:val="center"/>
          </w:tcPr>
          <w:p w:rsidR="00DF0A76" w:rsidRDefault="00F32A49">
            <w:pPr>
              <w:jc w:val="right"/>
            </w:pPr>
            <w:r>
              <w:rPr>
                <w:color w:val="000000"/>
                <w:sz w:val="24"/>
              </w:rPr>
              <w:t>398,170.25</w:t>
            </w:r>
          </w:p>
        </w:tc>
        <w:tc>
          <w:tcPr>
            <w:tcW w:w="3307" w:type="dxa"/>
            <w:vAlign w:val="center"/>
          </w:tcPr>
          <w:p w:rsidR="00DF0A76" w:rsidRDefault="00F32A49">
            <w:pPr>
              <w:jc w:val="right"/>
            </w:pPr>
            <w:r>
              <w:rPr>
                <w:color w:val="000000"/>
                <w:sz w:val="24"/>
              </w:rPr>
              <w:t>8.88</w:t>
            </w:r>
          </w:p>
        </w:tc>
      </w:tr>
      <w:tr w:rsidR="00DF0A76">
        <w:trPr>
          <w:jc w:val="center"/>
        </w:trPr>
        <w:tc>
          <w:tcPr>
            <w:tcW w:w="2904" w:type="dxa"/>
            <w:vAlign w:val="center"/>
          </w:tcPr>
          <w:p w:rsidR="00DF0A76" w:rsidRDefault="00F32A49">
            <w:pPr>
              <w:jc w:val="left"/>
            </w:pPr>
            <w:r>
              <w:rPr>
                <w:color w:val="000000"/>
                <w:sz w:val="24"/>
              </w:rPr>
              <w:t>能源</w:t>
            </w:r>
          </w:p>
        </w:tc>
        <w:tc>
          <w:tcPr>
            <w:tcW w:w="2657" w:type="dxa"/>
            <w:vAlign w:val="center"/>
          </w:tcPr>
          <w:p w:rsidR="00DF0A76" w:rsidRDefault="00F32A49">
            <w:pPr>
              <w:jc w:val="right"/>
            </w:pPr>
            <w:r>
              <w:rPr>
                <w:color w:val="000000"/>
                <w:sz w:val="24"/>
              </w:rPr>
              <w:t>330,514.58</w:t>
            </w:r>
          </w:p>
        </w:tc>
        <w:tc>
          <w:tcPr>
            <w:tcW w:w="3307" w:type="dxa"/>
            <w:vAlign w:val="center"/>
          </w:tcPr>
          <w:p w:rsidR="00DF0A76" w:rsidRDefault="00F32A49">
            <w:pPr>
              <w:jc w:val="right"/>
            </w:pPr>
            <w:r>
              <w:rPr>
                <w:color w:val="000000"/>
                <w:sz w:val="24"/>
              </w:rPr>
              <w:t>7.37</w:t>
            </w:r>
          </w:p>
        </w:tc>
      </w:tr>
      <w:tr w:rsidR="00DF0A76">
        <w:trPr>
          <w:jc w:val="center"/>
        </w:trPr>
        <w:tc>
          <w:tcPr>
            <w:tcW w:w="2904" w:type="dxa"/>
            <w:vAlign w:val="center"/>
          </w:tcPr>
          <w:p w:rsidR="00DF0A76" w:rsidRDefault="00F32A49">
            <w:pPr>
              <w:jc w:val="left"/>
            </w:pPr>
            <w:r>
              <w:rPr>
                <w:color w:val="000000"/>
                <w:sz w:val="24"/>
              </w:rPr>
              <w:t>金融</w:t>
            </w:r>
          </w:p>
        </w:tc>
        <w:tc>
          <w:tcPr>
            <w:tcW w:w="2657" w:type="dxa"/>
            <w:vAlign w:val="center"/>
          </w:tcPr>
          <w:p w:rsidR="00DF0A76" w:rsidRDefault="00F32A49">
            <w:pPr>
              <w:jc w:val="right"/>
            </w:pPr>
            <w:r>
              <w:rPr>
                <w:color w:val="000000"/>
                <w:sz w:val="24"/>
              </w:rPr>
              <w:t>290,111.32</w:t>
            </w:r>
          </w:p>
        </w:tc>
        <w:tc>
          <w:tcPr>
            <w:tcW w:w="3307" w:type="dxa"/>
            <w:vAlign w:val="center"/>
          </w:tcPr>
          <w:p w:rsidR="00DF0A76" w:rsidRDefault="00F32A49">
            <w:pPr>
              <w:jc w:val="right"/>
            </w:pPr>
            <w:r>
              <w:rPr>
                <w:color w:val="000000"/>
                <w:sz w:val="24"/>
              </w:rPr>
              <w:t>6.47</w:t>
            </w:r>
          </w:p>
        </w:tc>
      </w:tr>
      <w:tr w:rsidR="00DF0A76">
        <w:trPr>
          <w:jc w:val="center"/>
        </w:trPr>
        <w:tc>
          <w:tcPr>
            <w:tcW w:w="2904" w:type="dxa"/>
            <w:vAlign w:val="center"/>
          </w:tcPr>
          <w:p w:rsidR="00DF0A76" w:rsidRDefault="00F32A49">
            <w:pPr>
              <w:jc w:val="left"/>
            </w:pPr>
            <w:r>
              <w:rPr>
                <w:color w:val="000000"/>
                <w:sz w:val="24"/>
              </w:rPr>
              <w:t>信息技术</w:t>
            </w:r>
          </w:p>
        </w:tc>
        <w:tc>
          <w:tcPr>
            <w:tcW w:w="2657" w:type="dxa"/>
            <w:vAlign w:val="center"/>
          </w:tcPr>
          <w:p w:rsidR="00DF0A76" w:rsidRDefault="00F32A49">
            <w:pPr>
              <w:jc w:val="right"/>
            </w:pPr>
            <w:r>
              <w:rPr>
                <w:color w:val="000000"/>
                <w:sz w:val="24"/>
              </w:rPr>
              <w:t>151,599.40</w:t>
            </w:r>
          </w:p>
        </w:tc>
        <w:tc>
          <w:tcPr>
            <w:tcW w:w="3307" w:type="dxa"/>
            <w:vAlign w:val="center"/>
          </w:tcPr>
          <w:p w:rsidR="00DF0A76" w:rsidRDefault="00F32A49">
            <w:pPr>
              <w:jc w:val="right"/>
            </w:pPr>
            <w:r>
              <w:rPr>
                <w:color w:val="000000"/>
                <w:sz w:val="24"/>
              </w:rPr>
              <w:t>3.38</w:t>
            </w:r>
          </w:p>
        </w:tc>
      </w:tr>
      <w:tr w:rsidR="00DF0A76">
        <w:trPr>
          <w:jc w:val="center"/>
        </w:trPr>
        <w:tc>
          <w:tcPr>
            <w:tcW w:w="2904" w:type="dxa"/>
            <w:vAlign w:val="center"/>
          </w:tcPr>
          <w:p w:rsidR="00DF0A76" w:rsidRDefault="00F32A49">
            <w:pPr>
              <w:jc w:val="left"/>
            </w:pPr>
            <w:r>
              <w:rPr>
                <w:color w:val="000000"/>
                <w:sz w:val="24"/>
              </w:rPr>
              <w:t>其他</w:t>
            </w:r>
          </w:p>
        </w:tc>
        <w:tc>
          <w:tcPr>
            <w:tcW w:w="2657" w:type="dxa"/>
            <w:vAlign w:val="center"/>
          </w:tcPr>
          <w:p w:rsidR="00DF0A76" w:rsidRDefault="00F32A49">
            <w:pPr>
              <w:jc w:val="right"/>
            </w:pPr>
            <w:r>
              <w:rPr>
                <w:color w:val="000000"/>
                <w:sz w:val="24"/>
              </w:rPr>
              <w:t>-</w:t>
            </w:r>
          </w:p>
        </w:tc>
        <w:tc>
          <w:tcPr>
            <w:tcW w:w="3307" w:type="dxa"/>
            <w:vAlign w:val="center"/>
          </w:tcPr>
          <w:p w:rsidR="00DF0A76" w:rsidRDefault="00F32A49">
            <w:pPr>
              <w:jc w:val="right"/>
            </w:pPr>
            <w:r>
              <w:rPr>
                <w:color w:val="000000"/>
                <w:sz w:val="24"/>
              </w:rPr>
              <w:t>-</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3,965,763.03</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88.47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DF0A76">
        <w:trPr>
          <w:jc w:val="center"/>
        </w:trPr>
        <w:tc>
          <w:tcPr>
            <w:tcW w:w="1243" w:type="dxa"/>
            <w:vAlign w:val="center"/>
          </w:tcPr>
          <w:p w:rsidR="00DF0A76" w:rsidRDefault="00F32A49">
            <w:pPr>
              <w:jc w:val="center"/>
            </w:pPr>
            <w:r>
              <w:rPr>
                <w:color w:val="000000"/>
                <w:sz w:val="24"/>
              </w:rPr>
              <w:t>1</w:t>
            </w:r>
          </w:p>
        </w:tc>
        <w:tc>
          <w:tcPr>
            <w:tcW w:w="971" w:type="dxa"/>
            <w:vAlign w:val="center"/>
          </w:tcPr>
          <w:p w:rsidR="00DF0A76" w:rsidRDefault="00F32A49">
            <w:pPr>
              <w:jc w:val="center"/>
            </w:pPr>
            <w:r>
              <w:rPr>
                <w:color w:val="000000"/>
                <w:sz w:val="24"/>
              </w:rPr>
              <w:t>FUYAO GLASS INDUSTRY GROUP Co., Ltd</w:t>
            </w:r>
          </w:p>
        </w:tc>
        <w:tc>
          <w:tcPr>
            <w:tcW w:w="993" w:type="dxa"/>
            <w:vAlign w:val="center"/>
          </w:tcPr>
          <w:p w:rsidR="00DF0A76" w:rsidRDefault="00F32A49">
            <w:pPr>
              <w:jc w:val="center"/>
            </w:pPr>
            <w:r>
              <w:rPr>
                <w:color w:val="000000"/>
                <w:sz w:val="24"/>
              </w:rPr>
              <w:t>福耀玻璃工业集团股份有限公司</w:t>
            </w:r>
          </w:p>
        </w:tc>
        <w:tc>
          <w:tcPr>
            <w:tcW w:w="725" w:type="dxa"/>
            <w:vAlign w:val="center"/>
          </w:tcPr>
          <w:p w:rsidR="00DF0A76" w:rsidRDefault="00F32A49">
            <w:pPr>
              <w:jc w:val="center"/>
            </w:pPr>
            <w:r>
              <w:rPr>
                <w:color w:val="000000"/>
                <w:sz w:val="24"/>
              </w:rPr>
              <w:t>3606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25,000</w:t>
            </w:r>
          </w:p>
        </w:tc>
        <w:tc>
          <w:tcPr>
            <w:tcW w:w="975" w:type="dxa"/>
            <w:vAlign w:val="center"/>
          </w:tcPr>
          <w:p w:rsidR="00DF0A76" w:rsidRDefault="00F32A49">
            <w:pPr>
              <w:jc w:val="right"/>
            </w:pPr>
            <w:r>
              <w:rPr>
                <w:color w:val="000000"/>
                <w:sz w:val="24"/>
              </w:rPr>
              <w:t>376,304.95</w:t>
            </w:r>
          </w:p>
        </w:tc>
        <w:tc>
          <w:tcPr>
            <w:tcW w:w="1175" w:type="dxa"/>
            <w:vAlign w:val="center"/>
          </w:tcPr>
          <w:p w:rsidR="00DF0A76" w:rsidRDefault="00F32A49">
            <w:pPr>
              <w:jc w:val="right"/>
            </w:pPr>
            <w:r>
              <w:rPr>
                <w:color w:val="000000"/>
                <w:sz w:val="24"/>
              </w:rPr>
              <w:t>8.39</w:t>
            </w:r>
          </w:p>
        </w:tc>
      </w:tr>
      <w:tr w:rsidR="00DF0A76">
        <w:trPr>
          <w:jc w:val="center"/>
        </w:trPr>
        <w:tc>
          <w:tcPr>
            <w:tcW w:w="1243" w:type="dxa"/>
            <w:vAlign w:val="center"/>
          </w:tcPr>
          <w:p w:rsidR="00DF0A76" w:rsidRDefault="00F32A49">
            <w:pPr>
              <w:jc w:val="center"/>
            </w:pPr>
            <w:r>
              <w:rPr>
                <w:color w:val="000000"/>
                <w:sz w:val="24"/>
              </w:rPr>
              <w:t>2</w:t>
            </w:r>
          </w:p>
        </w:tc>
        <w:tc>
          <w:tcPr>
            <w:tcW w:w="971" w:type="dxa"/>
            <w:vAlign w:val="center"/>
          </w:tcPr>
          <w:p w:rsidR="00DF0A76" w:rsidRDefault="00F32A49">
            <w:pPr>
              <w:jc w:val="center"/>
            </w:pPr>
            <w:r>
              <w:rPr>
                <w:color w:val="000000"/>
                <w:sz w:val="24"/>
              </w:rPr>
              <w:t>WEST CHINA CEMENT LTD</w:t>
            </w:r>
          </w:p>
        </w:tc>
        <w:tc>
          <w:tcPr>
            <w:tcW w:w="993" w:type="dxa"/>
            <w:vAlign w:val="center"/>
          </w:tcPr>
          <w:p w:rsidR="00DF0A76" w:rsidRDefault="00F32A49">
            <w:pPr>
              <w:jc w:val="center"/>
            </w:pPr>
            <w:r>
              <w:rPr>
                <w:color w:val="000000"/>
                <w:sz w:val="24"/>
              </w:rPr>
              <w:t>中国西部水泥有限公司</w:t>
            </w:r>
          </w:p>
        </w:tc>
        <w:tc>
          <w:tcPr>
            <w:tcW w:w="725" w:type="dxa"/>
            <w:vAlign w:val="center"/>
          </w:tcPr>
          <w:p w:rsidR="00DF0A76" w:rsidRDefault="00F32A49">
            <w:pPr>
              <w:jc w:val="center"/>
            </w:pPr>
            <w:r>
              <w:rPr>
                <w:color w:val="000000"/>
                <w:sz w:val="24"/>
              </w:rPr>
              <w:t>2233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350,000</w:t>
            </w:r>
          </w:p>
        </w:tc>
        <w:tc>
          <w:tcPr>
            <w:tcW w:w="975" w:type="dxa"/>
            <w:vAlign w:val="center"/>
          </w:tcPr>
          <w:p w:rsidR="00DF0A76" w:rsidRDefault="00F32A49">
            <w:pPr>
              <w:jc w:val="right"/>
            </w:pPr>
            <w:r>
              <w:rPr>
                <w:color w:val="000000"/>
                <w:sz w:val="24"/>
              </w:rPr>
              <w:t>324,414.48</w:t>
            </w:r>
          </w:p>
        </w:tc>
        <w:tc>
          <w:tcPr>
            <w:tcW w:w="1175" w:type="dxa"/>
            <w:vAlign w:val="center"/>
          </w:tcPr>
          <w:p w:rsidR="00DF0A76" w:rsidRDefault="00F32A49">
            <w:pPr>
              <w:jc w:val="right"/>
            </w:pPr>
            <w:r>
              <w:rPr>
                <w:color w:val="000000"/>
                <w:sz w:val="24"/>
              </w:rPr>
              <w:t>7.24</w:t>
            </w:r>
          </w:p>
        </w:tc>
      </w:tr>
      <w:tr w:rsidR="00DF0A76">
        <w:trPr>
          <w:jc w:val="center"/>
        </w:trPr>
        <w:tc>
          <w:tcPr>
            <w:tcW w:w="1243" w:type="dxa"/>
            <w:vAlign w:val="center"/>
          </w:tcPr>
          <w:p w:rsidR="00DF0A76" w:rsidRDefault="00F32A49">
            <w:pPr>
              <w:jc w:val="center"/>
            </w:pPr>
            <w:r>
              <w:rPr>
                <w:color w:val="000000"/>
                <w:sz w:val="24"/>
              </w:rPr>
              <w:t>3</w:t>
            </w:r>
          </w:p>
        </w:tc>
        <w:tc>
          <w:tcPr>
            <w:tcW w:w="971" w:type="dxa"/>
            <w:vAlign w:val="center"/>
          </w:tcPr>
          <w:p w:rsidR="00DF0A76" w:rsidRDefault="00F32A49">
            <w:pPr>
              <w:jc w:val="center"/>
            </w:pPr>
            <w:r>
              <w:rPr>
                <w:color w:val="000000"/>
                <w:sz w:val="24"/>
              </w:rPr>
              <w:t>BBMG CORPORATION</w:t>
            </w:r>
          </w:p>
        </w:tc>
        <w:tc>
          <w:tcPr>
            <w:tcW w:w="993" w:type="dxa"/>
            <w:vAlign w:val="center"/>
          </w:tcPr>
          <w:p w:rsidR="00DF0A76" w:rsidRDefault="00F32A49">
            <w:pPr>
              <w:jc w:val="center"/>
            </w:pPr>
            <w:r>
              <w:rPr>
                <w:color w:val="000000"/>
                <w:sz w:val="24"/>
              </w:rPr>
              <w:t>北京金隅股份有限公司</w:t>
            </w:r>
            <w:r>
              <w:rPr>
                <w:color w:val="000000"/>
                <w:sz w:val="24"/>
              </w:rPr>
              <w:t xml:space="preserve"> </w:t>
            </w:r>
          </w:p>
        </w:tc>
        <w:tc>
          <w:tcPr>
            <w:tcW w:w="725" w:type="dxa"/>
            <w:vAlign w:val="center"/>
          </w:tcPr>
          <w:p w:rsidR="00DF0A76" w:rsidRDefault="00F32A49">
            <w:pPr>
              <w:jc w:val="center"/>
            </w:pPr>
            <w:r>
              <w:rPr>
                <w:color w:val="000000"/>
                <w:sz w:val="24"/>
              </w:rPr>
              <w:t>2009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50,000</w:t>
            </w:r>
          </w:p>
        </w:tc>
        <w:tc>
          <w:tcPr>
            <w:tcW w:w="975" w:type="dxa"/>
            <w:vAlign w:val="center"/>
          </w:tcPr>
          <w:p w:rsidR="00DF0A76" w:rsidRDefault="00F32A49">
            <w:pPr>
              <w:jc w:val="right"/>
            </w:pPr>
            <w:r>
              <w:rPr>
                <w:color w:val="000000"/>
                <w:sz w:val="24"/>
              </w:rPr>
              <w:t>283,218.99</w:t>
            </w:r>
          </w:p>
        </w:tc>
        <w:tc>
          <w:tcPr>
            <w:tcW w:w="1175" w:type="dxa"/>
            <w:vAlign w:val="center"/>
          </w:tcPr>
          <w:p w:rsidR="00DF0A76" w:rsidRDefault="00F32A49">
            <w:pPr>
              <w:jc w:val="right"/>
            </w:pPr>
            <w:r>
              <w:rPr>
                <w:color w:val="000000"/>
                <w:sz w:val="24"/>
              </w:rPr>
              <w:t>6.32</w:t>
            </w:r>
          </w:p>
        </w:tc>
      </w:tr>
      <w:tr w:rsidR="00DF0A76">
        <w:trPr>
          <w:jc w:val="center"/>
        </w:trPr>
        <w:tc>
          <w:tcPr>
            <w:tcW w:w="1243" w:type="dxa"/>
            <w:vAlign w:val="center"/>
          </w:tcPr>
          <w:p w:rsidR="00DF0A76" w:rsidRDefault="00F32A49">
            <w:pPr>
              <w:jc w:val="center"/>
            </w:pPr>
            <w:r>
              <w:rPr>
                <w:color w:val="000000"/>
                <w:sz w:val="24"/>
              </w:rPr>
              <w:t>4</w:t>
            </w:r>
          </w:p>
        </w:tc>
        <w:tc>
          <w:tcPr>
            <w:tcW w:w="971" w:type="dxa"/>
            <w:vAlign w:val="center"/>
          </w:tcPr>
          <w:p w:rsidR="00DF0A76" w:rsidRDefault="00F32A49">
            <w:pPr>
              <w:jc w:val="center"/>
            </w:pPr>
            <w:r>
              <w:rPr>
                <w:color w:val="000000"/>
                <w:sz w:val="24"/>
              </w:rPr>
              <w:t xml:space="preserve">China Guangdong Nuclear Power Co.,Ltd. </w:t>
            </w:r>
          </w:p>
        </w:tc>
        <w:tc>
          <w:tcPr>
            <w:tcW w:w="993" w:type="dxa"/>
            <w:vAlign w:val="center"/>
          </w:tcPr>
          <w:p w:rsidR="00DF0A76" w:rsidRDefault="00F32A49">
            <w:pPr>
              <w:jc w:val="center"/>
            </w:pPr>
            <w:r>
              <w:rPr>
                <w:color w:val="000000"/>
                <w:sz w:val="24"/>
              </w:rPr>
              <w:t>中国广核电力股份有限公司</w:t>
            </w:r>
            <w:r>
              <w:rPr>
                <w:color w:val="000000"/>
                <w:sz w:val="24"/>
              </w:rPr>
              <w:t xml:space="preserve"> </w:t>
            </w:r>
          </w:p>
        </w:tc>
        <w:tc>
          <w:tcPr>
            <w:tcW w:w="725" w:type="dxa"/>
            <w:vAlign w:val="center"/>
          </w:tcPr>
          <w:p w:rsidR="00DF0A76" w:rsidRDefault="00F32A49">
            <w:pPr>
              <w:jc w:val="center"/>
            </w:pPr>
            <w:r>
              <w:rPr>
                <w:color w:val="000000"/>
                <w:sz w:val="24"/>
              </w:rPr>
              <w:t>1816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100,000</w:t>
            </w:r>
          </w:p>
        </w:tc>
        <w:tc>
          <w:tcPr>
            <w:tcW w:w="975" w:type="dxa"/>
            <w:vAlign w:val="center"/>
          </w:tcPr>
          <w:p w:rsidR="00DF0A76" w:rsidRDefault="00F32A49">
            <w:pPr>
              <w:jc w:val="right"/>
            </w:pPr>
            <w:r>
              <w:rPr>
                <w:color w:val="000000"/>
                <w:sz w:val="24"/>
              </w:rPr>
              <w:t>264,601.80</w:t>
            </w:r>
          </w:p>
        </w:tc>
        <w:tc>
          <w:tcPr>
            <w:tcW w:w="1175" w:type="dxa"/>
            <w:vAlign w:val="center"/>
          </w:tcPr>
          <w:p w:rsidR="00DF0A76" w:rsidRDefault="00F32A49">
            <w:pPr>
              <w:jc w:val="right"/>
            </w:pPr>
            <w:r>
              <w:rPr>
                <w:color w:val="000000"/>
                <w:sz w:val="24"/>
              </w:rPr>
              <w:t>5.90</w:t>
            </w:r>
          </w:p>
        </w:tc>
      </w:tr>
      <w:tr w:rsidR="00DF0A76">
        <w:trPr>
          <w:jc w:val="center"/>
        </w:trPr>
        <w:tc>
          <w:tcPr>
            <w:tcW w:w="1243" w:type="dxa"/>
            <w:vAlign w:val="center"/>
          </w:tcPr>
          <w:p w:rsidR="00DF0A76" w:rsidRDefault="00F32A49">
            <w:pPr>
              <w:jc w:val="center"/>
            </w:pPr>
            <w:r>
              <w:rPr>
                <w:color w:val="000000"/>
                <w:sz w:val="24"/>
              </w:rPr>
              <w:t>5</w:t>
            </w:r>
          </w:p>
        </w:tc>
        <w:tc>
          <w:tcPr>
            <w:tcW w:w="971" w:type="dxa"/>
            <w:vAlign w:val="center"/>
          </w:tcPr>
          <w:p w:rsidR="00DF0A76" w:rsidRDefault="00F32A49">
            <w:pPr>
              <w:jc w:val="center"/>
            </w:pPr>
            <w:r>
              <w:rPr>
                <w:color w:val="000000"/>
                <w:sz w:val="24"/>
              </w:rPr>
              <w:t xml:space="preserve">Shanghai Electric Group Company Limited </w:t>
            </w:r>
          </w:p>
        </w:tc>
        <w:tc>
          <w:tcPr>
            <w:tcW w:w="993" w:type="dxa"/>
            <w:vAlign w:val="center"/>
          </w:tcPr>
          <w:p w:rsidR="00DF0A76" w:rsidRDefault="00F32A49">
            <w:pPr>
              <w:jc w:val="center"/>
            </w:pPr>
            <w:r>
              <w:rPr>
                <w:color w:val="000000"/>
                <w:sz w:val="24"/>
              </w:rPr>
              <w:t>上海电气集团股份有限公司</w:t>
            </w:r>
            <w:r>
              <w:rPr>
                <w:color w:val="000000"/>
                <w:sz w:val="24"/>
              </w:rPr>
              <w:t xml:space="preserve"> </w:t>
            </w:r>
          </w:p>
        </w:tc>
        <w:tc>
          <w:tcPr>
            <w:tcW w:w="725" w:type="dxa"/>
            <w:vAlign w:val="center"/>
          </w:tcPr>
          <w:p w:rsidR="00DF0A76" w:rsidRDefault="00F32A49">
            <w:pPr>
              <w:jc w:val="center"/>
            </w:pPr>
            <w:r>
              <w:rPr>
                <w:color w:val="000000"/>
                <w:sz w:val="24"/>
              </w:rPr>
              <w:t>2727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55,000</w:t>
            </w:r>
          </w:p>
        </w:tc>
        <w:tc>
          <w:tcPr>
            <w:tcW w:w="975" w:type="dxa"/>
            <w:vAlign w:val="center"/>
          </w:tcPr>
          <w:p w:rsidR="00DF0A76" w:rsidRDefault="00F32A49">
            <w:pPr>
              <w:jc w:val="right"/>
            </w:pPr>
            <w:r>
              <w:rPr>
                <w:color w:val="000000"/>
                <w:sz w:val="24"/>
              </w:rPr>
              <w:t>223,089.42</w:t>
            </w:r>
          </w:p>
        </w:tc>
        <w:tc>
          <w:tcPr>
            <w:tcW w:w="1175" w:type="dxa"/>
            <w:vAlign w:val="center"/>
          </w:tcPr>
          <w:p w:rsidR="00DF0A76" w:rsidRDefault="00F32A49">
            <w:pPr>
              <w:jc w:val="right"/>
            </w:pPr>
            <w:r>
              <w:rPr>
                <w:color w:val="000000"/>
                <w:sz w:val="24"/>
              </w:rPr>
              <w:t>4.98</w:t>
            </w:r>
          </w:p>
        </w:tc>
      </w:tr>
      <w:tr w:rsidR="00DF0A76">
        <w:trPr>
          <w:jc w:val="center"/>
        </w:trPr>
        <w:tc>
          <w:tcPr>
            <w:tcW w:w="1243" w:type="dxa"/>
            <w:vAlign w:val="center"/>
          </w:tcPr>
          <w:p w:rsidR="00DF0A76" w:rsidRDefault="00F32A49">
            <w:pPr>
              <w:jc w:val="center"/>
            </w:pPr>
            <w:r>
              <w:rPr>
                <w:color w:val="000000"/>
                <w:sz w:val="24"/>
              </w:rPr>
              <w:t>6</w:t>
            </w:r>
          </w:p>
        </w:tc>
        <w:tc>
          <w:tcPr>
            <w:tcW w:w="971" w:type="dxa"/>
            <w:vAlign w:val="center"/>
          </w:tcPr>
          <w:p w:rsidR="00DF0A76" w:rsidRDefault="00F32A49">
            <w:pPr>
              <w:jc w:val="center"/>
            </w:pPr>
            <w:r>
              <w:rPr>
                <w:color w:val="000000"/>
                <w:sz w:val="24"/>
              </w:rPr>
              <w:t xml:space="preserve">Da Ming International Holdings Limited </w:t>
            </w:r>
          </w:p>
        </w:tc>
        <w:tc>
          <w:tcPr>
            <w:tcW w:w="993" w:type="dxa"/>
            <w:vAlign w:val="center"/>
          </w:tcPr>
          <w:p w:rsidR="00DF0A76" w:rsidRDefault="00F32A49">
            <w:pPr>
              <w:jc w:val="center"/>
            </w:pPr>
            <w:r>
              <w:rPr>
                <w:color w:val="000000"/>
                <w:sz w:val="24"/>
              </w:rPr>
              <w:t>大明国际控股有限公司</w:t>
            </w:r>
            <w:r>
              <w:rPr>
                <w:color w:val="000000"/>
                <w:sz w:val="24"/>
              </w:rPr>
              <w:t xml:space="preserve"> </w:t>
            </w:r>
          </w:p>
        </w:tc>
        <w:tc>
          <w:tcPr>
            <w:tcW w:w="725" w:type="dxa"/>
            <w:vAlign w:val="center"/>
          </w:tcPr>
          <w:p w:rsidR="00DF0A76" w:rsidRDefault="00F32A49">
            <w:pPr>
              <w:jc w:val="center"/>
            </w:pPr>
            <w:r>
              <w:rPr>
                <w:color w:val="000000"/>
                <w:sz w:val="24"/>
              </w:rPr>
              <w:t>1090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120,000</w:t>
            </w:r>
          </w:p>
        </w:tc>
        <w:tc>
          <w:tcPr>
            <w:tcW w:w="975" w:type="dxa"/>
            <w:vAlign w:val="center"/>
          </w:tcPr>
          <w:p w:rsidR="00DF0A76" w:rsidRDefault="00F32A49">
            <w:pPr>
              <w:jc w:val="right"/>
            </w:pPr>
            <w:r>
              <w:rPr>
                <w:color w:val="000000"/>
                <w:sz w:val="24"/>
              </w:rPr>
              <w:t>212,948.99</w:t>
            </w:r>
          </w:p>
        </w:tc>
        <w:tc>
          <w:tcPr>
            <w:tcW w:w="1175" w:type="dxa"/>
            <w:vAlign w:val="center"/>
          </w:tcPr>
          <w:p w:rsidR="00DF0A76" w:rsidRDefault="00F32A49">
            <w:pPr>
              <w:jc w:val="right"/>
            </w:pPr>
            <w:r>
              <w:rPr>
                <w:color w:val="000000"/>
                <w:sz w:val="24"/>
              </w:rPr>
              <w:t>4.75</w:t>
            </w:r>
          </w:p>
        </w:tc>
      </w:tr>
      <w:tr w:rsidR="00DF0A76">
        <w:trPr>
          <w:jc w:val="center"/>
        </w:trPr>
        <w:tc>
          <w:tcPr>
            <w:tcW w:w="1243" w:type="dxa"/>
            <w:vAlign w:val="center"/>
          </w:tcPr>
          <w:p w:rsidR="00DF0A76" w:rsidRDefault="00F32A49">
            <w:pPr>
              <w:jc w:val="center"/>
            </w:pPr>
            <w:r>
              <w:rPr>
                <w:color w:val="000000"/>
                <w:sz w:val="24"/>
              </w:rPr>
              <w:t>7</w:t>
            </w:r>
          </w:p>
        </w:tc>
        <w:tc>
          <w:tcPr>
            <w:tcW w:w="971" w:type="dxa"/>
            <w:vAlign w:val="center"/>
          </w:tcPr>
          <w:p w:rsidR="00DF0A76" w:rsidRDefault="00F32A49">
            <w:pPr>
              <w:jc w:val="center"/>
            </w:pPr>
            <w:r>
              <w:rPr>
                <w:color w:val="000000"/>
                <w:sz w:val="24"/>
              </w:rPr>
              <w:t>Xinyi Glass Holdings Ltd.</w:t>
            </w:r>
          </w:p>
        </w:tc>
        <w:tc>
          <w:tcPr>
            <w:tcW w:w="993" w:type="dxa"/>
            <w:vAlign w:val="center"/>
          </w:tcPr>
          <w:p w:rsidR="00DF0A76" w:rsidRDefault="00F32A49">
            <w:pPr>
              <w:jc w:val="center"/>
            </w:pPr>
            <w:r>
              <w:rPr>
                <w:color w:val="000000"/>
                <w:sz w:val="24"/>
              </w:rPr>
              <w:t>信义玻璃控股有限公司</w:t>
            </w:r>
            <w:r>
              <w:rPr>
                <w:color w:val="000000"/>
                <w:sz w:val="24"/>
              </w:rPr>
              <w:t xml:space="preserve"> </w:t>
            </w:r>
          </w:p>
        </w:tc>
        <w:tc>
          <w:tcPr>
            <w:tcW w:w="725" w:type="dxa"/>
            <w:vAlign w:val="center"/>
          </w:tcPr>
          <w:p w:rsidR="00DF0A76" w:rsidRDefault="00F32A49">
            <w:pPr>
              <w:jc w:val="center"/>
            </w:pPr>
            <w:r>
              <w:rPr>
                <w:color w:val="000000"/>
                <w:sz w:val="24"/>
              </w:rPr>
              <w:t>868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50,000</w:t>
            </w:r>
          </w:p>
        </w:tc>
        <w:tc>
          <w:tcPr>
            <w:tcW w:w="975" w:type="dxa"/>
            <w:vAlign w:val="center"/>
          </w:tcPr>
          <w:p w:rsidR="00DF0A76" w:rsidRDefault="00F32A49">
            <w:pPr>
              <w:jc w:val="right"/>
            </w:pPr>
            <w:r>
              <w:rPr>
                <w:color w:val="000000"/>
                <w:sz w:val="24"/>
              </w:rPr>
              <w:t>189,736.92</w:t>
            </w:r>
          </w:p>
        </w:tc>
        <w:tc>
          <w:tcPr>
            <w:tcW w:w="1175" w:type="dxa"/>
            <w:vAlign w:val="center"/>
          </w:tcPr>
          <w:p w:rsidR="00DF0A76" w:rsidRDefault="00F32A49">
            <w:pPr>
              <w:jc w:val="right"/>
            </w:pPr>
            <w:r>
              <w:rPr>
                <w:color w:val="000000"/>
                <w:sz w:val="24"/>
              </w:rPr>
              <w:t>4.23</w:t>
            </w:r>
          </w:p>
        </w:tc>
      </w:tr>
      <w:tr w:rsidR="00DF0A76">
        <w:trPr>
          <w:jc w:val="center"/>
        </w:trPr>
        <w:tc>
          <w:tcPr>
            <w:tcW w:w="1243" w:type="dxa"/>
            <w:vAlign w:val="center"/>
          </w:tcPr>
          <w:p w:rsidR="00DF0A76" w:rsidRDefault="00F32A49">
            <w:pPr>
              <w:jc w:val="center"/>
            </w:pPr>
            <w:r>
              <w:rPr>
                <w:color w:val="000000"/>
                <w:sz w:val="24"/>
              </w:rPr>
              <w:t>8</w:t>
            </w:r>
          </w:p>
        </w:tc>
        <w:tc>
          <w:tcPr>
            <w:tcW w:w="971" w:type="dxa"/>
            <w:vAlign w:val="center"/>
          </w:tcPr>
          <w:p w:rsidR="00DF0A76" w:rsidRDefault="00F32A49">
            <w:pPr>
              <w:jc w:val="center"/>
            </w:pPr>
            <w:r>
              <w:rPr>
                <w:color w:val="000000"/>
                <w:sz w:val="24"/>
              </w:rPr>
              <w:t xml:space="preserve">CIMC Enric Holdings Limited </w:t>
            </w:r>
          </w:p>
        </w:tc>
        <w:tc>
          <w:tcPr>
            <w:tcW w:w="993" w:type="dxa"/>
            <w:vAlign w:val="center"/>
          </w:tcPr>
          <w:p w:rsidR="00DF0A76" w:rsidRDefault="00F32A49">
            <w:pPr>
              <w:jc w:val="center"/>
            </w:pPr>
            <w:r>
              <w:rPr>
                <w:color w:val="000000"/>
                <w:sz w:val="24"/>
              </w:rPr>
              <w:t>中集安瑞科控股有限公司</w:t>
            </w:r>
            <w:r>
              <w:rPr>
                <w:color w:val="000000"/>
                <w:sz w:val="24"/>
              </w:rPr>
              <w:t xml:space="preserve"> </w:t>
            </w:r>
          </w:p>
        </w:tc>
        <w:tc>
          <w:tcPr>
            <w:tcW w:w="725" w:type="dxa"/>
            <w:vAlign w:val="center"/>
          </w:tcPr>
          <w:p w:rsidR="00DF0A76" w:rsidRDefault="00F32A49">
            <w:pPr>
              <w:jc w:val="center"/>
            </w:pPr>
            <w:r>
              <w:rPr>
                <w:color w:val="000000"/>
                <w:sz w:val="24"/>
              </w:rPr>
              <w:t>3899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30,000</w:t>
            </w:r>
          </w:p>
        </w:tc>
        <w:tc>
          <w:tcPr>
            <w:tcW w:w="975" w:type="dxa"/>
            <w:vAlign w:val="center"/>
          </w:tcPr>
          <w:p w:rsidR="00DF0A76" w:rsidRDefault="00F32A49">
            <w:pPr>
              <w:jc w:val="right"/>
            </w:pPr>
            <w:r>
              <w:rPr>
                <w:color w:val="000000"/>
                <w:sz w:val="24"/>
              </w:rPr>
              <w:t>179,675.71</w:t>
            </w:r>
          </w:p>
        </w:tc>
        <w:tc>
          <w:tcPr>
            <w:tcW w:w="1175" w:type="dxa"/>
            <w:vAlign w:val="center"/>
          </w:tcPr>
          <w:p w:rsidR="00DF0A76" w:rsidRDefault="00F32A49">
            <w:pPr>
              <w:jc w:val="right"/>
            </w:pPr>
            <w:r>
              <w:rPr>
                <w:color w:val="000000"/>
                <w:sz w:val="24"/>
              </w:rPr>
              <w:t>4.01</w:t>
            </w:r>
          </w:p>
        </w:tc>
      </w:tr>
      <w:tr w:rsidR="00DF0A76">
        <w:trPr>
          <w:jc w:val="center"/>
        </w:trPr>
        <w:tc>
          <w:tcPr>
            <w:tcW w:w="1243" w:type="dxa"/>
            <w:vAlign w:val="center"/>
          </w:tcPr>
          <w:p w:rsidR="00DF0A76" w:rsidRDefault="00F32A49">
            <w:pPr>
              <w:jc w:val="center"/>
            </w:pPr>
            <w:r>
              <w:rPr>
                <w:color w:val="000000"/>
                <w:sz w:val="24"/>
              </w:rPr>
              <w:t>9</w:t>
            </w:r>
          </w:p>
        </w:tc>
        <w:tc>
          <w:tcPr>
            <w:tcW w:w="971" w:type="dxa"/>
            <w:vAlign w:val="center"/>
          </w:tcPr>
          <w:p w:rsidR="00DF0A76" w:rsidRDefault="00F32A49">
            <w:pPr>
              <w:jc w:val="center"/>
            </w:pPr>
            <w:r>
              <w:rPr>
                <w:color w:val="000000"/>
                <w:sz w:val="24"/>
              </w:rPr>
              <w:t xml:space="preserve">CNOOC Limited </w:t>
            </w:r>
          </w:p>
        </w:tc>
        <w:tc>
          <w:tcPr>
            <w:tcW w:w="993" w:type="dxa"/>
            <w:vAlign w:val="center"/>
          </w:tcPr>
          <w:p w:rsidR="00DF0A76" w:rsidRDefault="00F32A49">
            <w:pPr>
              <w:jc w:val="center"/>
            </w:pPr>
            <w:r>
              <w:rPr>
                <w:color w:val="000000"/>
                <w:sz w:val="24"/>
              </w:rPr>
              <w:t>中国海洋石油有限公司</w:t>
            </w:r>
            <w:r>
              <w:rPr>
                <w:color w:val="000000"/>
                <w:sz w:val="24"/>
              </w:rPr>
              <w:t xml:space="preserve"> </w:t>
            </w:r>
          </w:p>
        </w:tc>
        <w:tc>
          <w:tcPr>
            <w:tcW w:w="725" w:type="dxa"/>
            <w:vAlign w:val="center"/>
          </w:tcPr>
          <w:p w:rsidR="00DF0A76" w:rsidRDefault="00F32A49">
            <w:pPr>
              <w:jc w:val="center"/>
            </w:pPr>
            <w:r>
              <w:rPr>
                <w:color w:val="000000"/>
                <w:sz w:val="24"/>
              </w:rPr>
              <w:t>883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20,000</w:t>
            </w:r>
          </w:p>
        </w:tc>
        <w:tc>
          <w:tcPr>
            <w:tcW w:w="975" w:type="dxa"/>
            <w:vAlign w:val="center"/>
          </w:tcPr>
          <w:p w:rsidR="00DF0A76" w:rsidRDefault="00F32A49">
            <w:pPr>
              <w:jc w:val="right"/>
            </w:pPr>
            <w:r>
              <w:rPr>
                <w:color w:val="000000"/>
                <w:sz w:val="24"/>
              </w:rPr>
              <w:t>173,654.83</w:t>
            </w:r>
          </w:p>
        </w:tc>
        <w:tc>
          <w:tcPr>
            <w:tcW w:w="1175" w:type="dxa"/>
            <w:vAlign w:val="center"/>
          </w:tcPr>
          <w:p w:rsidR="00DF0A76" w:rsidRDefault="00F32A49">
            <w:pPr>
              <w:jc w:val="right"/>
            </w:pPr>
            <w:r>
              <w:rPr>
                <w:color w:val="000000"/>
                <w:sz w:val="24"/>
              </w:rPr>
              <w:t>3.87</w:t>
            </w:r>
          </w:p>
        </w:tc>
      </w:tr>
      <w:tr w:rsidR="00DF0A76">
        <w:trPr>
          <w:jc w:val="center"/>
        </w:trPr>
        <w:tc>
          <w:tcPr>
            <w:tcW w:w="1243" w:type="dxa"/>
            <w:vAlign w:val="center"/>
          </w:tcPr>
          <w:p w:rsidR="00DF0A76" w:rsidRDefault="00F32A49">
            <w:pPr>
              <w:jc w:val="center"/>
            </w:pPr>
            <w:r>
              <w:rPr>
                <w:color w:val="000000"/>
                <w:sz w:val="24"/>
              </w:rPr>
              <w:t>10</w:t>
            </w:r>
          </w:p>
        </w:tc>
        <w:tc>
          <w:tcPr>
            <w:tcW w:w="971" w:type="dxa"/>
            <w:vAlign w:val="center"/>
          </w:tcPr>
          <w:p w:rsidR="00DF0A76" w:rsidRDefault="00F32A49">
            <w:pPr>
              <w:jc w:val="center"/>
            </w:pPr>
            <w:r>
              <w:rPr>
                <w:color w:val="000000"/>
                <w:sz w:val="24"/>
              </w:rPr>
              <w:t xml:space="preserve">China Shenhua Energy Company Limited </w:t>
            </w:r>
          </w:p>
        </w:tc>
        <w:tc>
          <w:tcPr>
            <w:tcW w:w="993" w:type="dxa"/>
            <w:vAlign w:val="center"/>
          </w:tcPr>
          <w:p w:rsidR="00DF0A76" w:rsidRDefault="00F32A49">
            <w:pPr>
              <w:jc w:val="center"/>
            </w:pPr>
            <w:r>
              <w:rPr>
                <w:color w:val="000000"/>
                <w:sz w:val="24"/>
              </w:rPr>
              <w:t>中国神华能源股份有限公司</w:t>
            </w:r>
            <w:r>
              <w:rPr>
                <w:color w:val="000000"/>
                <w:sz w:val="24"/>
              </w:rPr>
              <w:t xml:space="preserve"> </w:t>
            </w:r>
          </w:p>
        </w:tc>
        <w:tc>
          <w:tcPr>
            <w:tcW w:w="725" w:type="dxa"/>
            <w:vAlign w:val="center"/>
          </w:tcPr>
          <w:p w:rsidR="00DF0A76" w:rsidRDefault="00F32A49">
            <w:pPr>
              <w:jc w:val="center"/>
            </w:pPr>
            <w:r>
              <w:rPr>
                <w:color w:val="000000"/>
                <w:sz w:val="24"/>
              </w:rPr>
              <w:t>1088 HK</w:t>
            </w:r>
          </w:p>
        </w:tc>
        <w:tc>
          <w:tcPr>
            <w:tcW w:w="747" w:type="dxa"/>
            <w:vAlign w:val="center"/>
          </w:tcPr>
          <w:p w:rsidR="00DF0A76" w:rsidRDefault="00F32A49">
            <w:pPr>
              <w:jc w:val="center"/>
            </w:pPr>
            <w:r>
              <w:rPr>
                <w:color w:val="000000"/>
                <w:sz w:val="24"/>
              </w:rPr>
              <w:t>香港证券交易所</w:t>
            </w:r>
          </w:p>
        </w:tc>
        <w:tc>
          <w:tcPr>
            <w:tcW w:w="975" w:type="dxa"/>
            <w:vAlign w:val="center"/>
          </w:tcPr>
          <w:p w:rsidR="00DF0A76" w:rsidRDefault="00F32A49">
            <w:pPr>
              <w:jc w:val="center"/>
            </w:pPr>
            <w:r>
              <w:rPr>
                <w:color w:val="000000"/>
                <w:sz w:val="24"/>
              </w:rPr>
              <w:t>香港</w:t>
            </w:r>
          </w:p>
        </w:tc>
        <w:tc>
          <w:tcPr>
            <w:tcW w:w="1175" w:type="dxa"/>
            <w:vAlign w:val="center"/>
          </w:tcPr>
          <w:p w:rsidR="00DF0A76" w:rsidRDefault="00F32A49">
            <w:pPr>
              <w:jc w:val="right"/>
            </w:pPr>
            <w:r>
              <w:rPr>
                <w:color w:val="000000"/>
                <w:sz w:val="24"/>
              </w:rPr>
              <w:t>10,000</w:t>
            </w:r>
          </w:p>
        </w:tc>
        <w:tc>
          <w:tcPr>
            <w:tcW w:w="975" w:type="dxa"/>
            <w:vAlign w:val="center"/>
          </w:tcPr>
          <w:p w:rsidR="00DF0A76" w:rsidRDefault="00F32A49">
            <w:pPr>
              <w:jc w:val="right"/>
            </w:pPr>
            <w:r>
              <w:rPr>
                <w:color w:val="000000"/>
                <w:sz w:val="24"/>
              </w:rPr>
              <w:t>156,859.75</w:t>
            </w:r>
          </w:p>
        </w:tc>
        <w:tc>
          <w:tcPr>
            <w:tcW w:w="1175" w:type="dxa"/>
            <w:vAlign w:val="center"/>
          </w:tcPr>
          <w:p w:rsidR="00DF0A76" w:rsidRDefault="00F32A49">
            <w:pPr>
              <w:jc w:val="right"/>
            </w:pPr>
            <w:r>
              <w:rPr>
                <w:color w:val="000000"/>
                <w:sz w:val="24"/>
              </w:rPr>
              <w:t>3.50</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69,585.68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168.41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68,628.44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138,382.53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4,030,757.13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1,539,649.66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1,706,714.93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3,863,691.86</w:t>
            </w:r>
          </w:p>
        </w:tc>
      </w:tr>
    </w:tbl>
    <w:p w:rsidR="00DF0A76" w:rsidRDefault="00F32A4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B111B9" w:rsidRPr="008640AE">
        <w:rPr>
          <w:color w:val="000000"/>
          <w:kern w:val="0"/>
          <w:sz w:val="24"/>
          <w:szCs w:val="24"/>
        </w:rPr>
        <w:t xml:space="preserve">8 </w:t>
      </w:r>
      <w:r w:rsidRPr="008640AE">
        <w:rPr>
          <w:color w:val="000000"/>
          <w:kern w:val="0"/>
          <w:sz w:val="24"/>
          <w:szCs w:val="24"/>
        </w:rPr>
        <w:t>影响投资者决策的其他重要信息</w:t>
      </w:r>
    </w:p>
    <w:p w:rsidR="00DF0A76" w:rsidRDefault="00F32A49">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8975BC" w:rsidRPr="008640AE" w:rsidRDefault="008975BC" w:rsidP="005546C0">
      <w:pPr>
        <w:spacing w:before="29" w:line="288" w:lineRule="auto"/>
        <w:ind w:firstLineChars="200" w:firstLine="480"/>
        <w:rPr>
          <w:color w:val="000000"/>
          <w:sz w:val="24"/>
        </w:rPr>
      </w:pPr>
      <w:r w:rsidRPr="008640AE">
        <w:rPr>
          <w:color w:val="000000"/>
          <w:sz w:val="24"/>
        </w:rPr>
        <w:t>2015</w:t>
      </w:r>
      <w:r w:rsidRPr="008640AE">
        <w:rPr>
          <w:color w:val="000000"/>
          <w:sz w:val="24"/>
        </w:rPr>
        <w:t>年</w:t>
      </w:r>
      <w:r w:rsidRPr="008640AE">
        <w:rPr>
          <w:color w:val="000000"/>
          <w:sz w:val="24"/>
        </w:rPr>
        <w:t>3</w:t>
      </w:r>
      <w:r w:rsidRPr="008640AE">
        <w:rPr>
          <w:color w:val="000000"/>
          <w:sz w:val="24"/>
        </w:rPr>
        <w:t>月</w:t>
      </w:r>
      <w:r w:rsidRPr="008640AE">
        <w:rPr>
          <w:color w:val="000000"/>
          <w:sz w:val="24"/>
        </w:rPr>
        <w:t>19</w:t>
      </w:r>
      <w:r w:rsidRPr="008640AE">
        <w:rPr>
          <w:color w:val="000000"/>
          <w:sz w:val="24"/>
        </w:rPr>
        <w:t>日当日进行的上述相关调整对前一估值日各基金资产净值的影响不超过</w:t>
      </w:r>
      <w:r w:rsidRPr="008640AE">
        <w:rPr>
          <w:color w:val="000000"/>
          <w:sz w:val="24"/>
        </w:rPr>
        <w:t>0.50%</w:t>
      </w:r>
      <w:r w:rsidRPr="008640AE">
        <w:rPr>
          <w:color w:val="000000"/>
          <w:sz w:val="24"/>
        </w:rPr>
        <w:t>。</w:t>
      </w:r>
    </w:p>
    <w:p w:rsidR="00CF0249" w:rsidRPr="008640AE" w:rsidRDefault="00CF0249" w:rsidP="005546C0">
      <w:pPr>
        <w:spacing w:before="29" w:line="288" w:lineRule="auto"/>
        <w:ind w:firstLineChars="200" w:firstLine="480"/>
        <w:rPr>
          <w:color w:val="000000"/>
          <w:sz w:val="24"/>
        </w:rPr>
      </w:pPr>
    </w:p>
    <w:p w:rsidR="0076518F" w:rsidRPr="008640AE" w:rsidRDefault="0076518F" w:rsidP="00F32A49">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DF0A76" w:rsidRDefault="00F32A49">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DF0A76" w:rsidRDefault="00F32A49">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DF0A76" w:rsidRDefault="00F32A49">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DF0A76" w:rsidRDefault="00F32A49">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DF0A76" w:rsidRDefault="00F32A49">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DF0A76" w:rsidRDefault="00F32A49">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DF0A76" w:rsidRDefault="00F32A49">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DF0A76" w:rsidRDefault="00F32A4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23D" w:rsidRDefault="0069323D">
      <w:r>
        <w:separator/>
      </w:r>
    </w:p>
  </w:endnote>
  <w:endnote w:type="continuationSeparator" w:id="0">
    <w:p w:rsidR="0069323D" w:rsidRDefault="0069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DF0A76">
      <w:rPr>
        <w:kern w:val="0"/>
        <w:szCs w:val="21"/>
      </w:rPr>
      <w:fldChar w:fldCharType="begin"/>
    </w:r>
    <w:r>
      <w:rPr>
        <w:kern w:val="0"/>
        <w:szCs w:val="21"/>
      </w:rPr>
      <w:instrText xml:space="preserve"> PAGE </w:instrText>
    </w:r>
    <w:r w:rsidR="00DF0A76">
      <w:rPr>
        <w:kern w:val="0"/>
        <w:szCs w:val="21"/>
      </w:rPr>
      <w:fldChar w:fldCharType="separate"/>
    </w:r>
    <w:r w:rsidR="001A2B62">
      <w:rPr>
        <w:noProof/>
        <w:kern w:val="0"/>
        <w:szCs w:val="21"/>
      </w:rPr>
      <w:t>6</w:t>
    </w:r>
    <w:r w:rsidR="00DF0A76">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DF0A76">
      <w:rPr>
        <w:kern w:val="0"/>
        <w:szCs w:val="21"/>
      </w:rPr>
      <w:fldChar w:fldCharType="begin"/>
    </w:r>
    <w:r>
      <w:rPr>
        <w:kern w:val="0"/>
        <w:szCs w:val="21"/>
      </w:rPr>
      <w:instrText xml:space="preserve"> NUMPAGES </w:instrText>
    </w:r>
    <w:r w:rsidR="00DF0A76">
      <w:rPr>
        <w:kern w:val="0"/>
        <w:szCs w:val="21"/>
      </w:rPr>
      <w:fldChar w:fldCharType="separate"/>
    </w:r>
    <w:r w:rsidR="001A2B62">
      <w:rPr>
        <w:noProof/>
        <w:kern w:val="0"/>
        <w:szCs w:val="21"/>
      </w:rPr>
      <w:t>13</w:t>
    </w:r>
    <w:r w:rsidR="00DF0A76">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F0A76">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23D" w:rsidRDefault="0069323D">
      <w:r>
        <w:separator/>
      </w:r>
    </w:p>
  </w:footnote>
  <w:footnote w:type="continuationSeparator" w:id="0">
    <w:p w:rsidR="0069323D" w:rsidRDefault="00693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2B62"/>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55FB9"/>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0A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323D"/>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48B7"/>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4C2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0A7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A49"/>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7D7766B5-76E4-4CC4-9C19-0B9F7ECC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105</TotalTime>
  <Pages>13</Pages>
  <Words>1095</Words>
  <Characters>6248</Characters>
  <Application>Microsoft Office Word</Application>
  <DocSecurity>0</DocSecurity>
  <Lines>52</Lines>
  <Paragraphs>14</Paragraphs>
  <ScaleCrop>false</ScaleCrop>
  <Company>TRT. Ltd. Co.</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241</cp:revision>
  <cp:lastPrinted>2007-07-19T00:46:00Z</cp:lastPrinted>
  <dcterms:created xsi:type="dcterms:W3CDTF">2013-08-01T05:26:00Z</dcterms:created>
  <dcterms:modified xsi:type="dcterms:W3CDTF">2015-04-17T03:23:00Z</dcterms:modified>
</cp:coreProperties>
</file>