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3788" w:rsidRDefault="00783788">
      <w:pPr>
        <w:tabs>
          <w:tab w:val="left" w:pos="5580"/>
        </w:tabs>
        <w:spacing w:line="360" w:lineRule="auto"/>
        <w:jc w:val="center"/>
        <w:rPr>
          <w:rFonts w:ascii="宋体" w:hAnsi="宋体"/>
          <w:sz w:val="28"/>
          <w:szCs w:val="28"/>
        </w:rPr>
      </w:pPr>
    </w:p>
    <w:p w:rsidR="00783788" w:rsidRDefault="00783788">
      <w:pPr>
        <w:spacing w:line="360" w:lineRule="auto"/>
        <w:jc w:val="center"/>
        <w:rPr>
          <w:rFonts w:ascii="宋体" w:hAnsi="宋体"/>
          <w:sz w:val="28"/>
          <w:szCs w:val="28"/>
        </w:rPr>
      </w:pPr>
    </w:p>
    <w:p w:rsidR="00783788" w:rsidRDefault="00783788">
      <w:pPr>
        <w:spacing w:line="360" w:lineRule="auto"/>
        <w:jc w:val="center"/>
        <w:rPr>
          <w:rFonts w:ascii="宋体" w:hAnsi="宋体"/>
          <w:sz w:val="28"/>
          <w:szCs w:val="28"/>
        </w:rPr>
      </w:pPr>
    </w:p>
    <w:p w:rsidR="00783788" w:rsidRDefault="00783788">
      <w:pPr>
        <w:spacing w:line="360" w:lineRule="auto"/>
        <w:jc w:val="center"/>
        <w:rPr>
          <w:rFonts w:ascii="宋体" w:hAnsi="宋体"/>
          <w:sz w:val="28"/>
          <w:szCs w:val="28"/>
        </w:rPr>
      </w:pPr>
    </w:p>
    <w:p w:rsidR="00783788" w:rsidRDefault="003E6104">
      <w:pPr>
        <w:spacing w:line="360" w:lineRule="auto"/>
        <w:jc w:val="center"/>
        <w:rPr>
          <w:rFonts w:ascii="宋体" w:hAnsi="宋体"/>
          <w:sz w:val="32"/>
        </w:rPr>
      </w:pPr>
      <w:r>
        <w:rPr>
          <w:rFonts w:ascii="宋体" w:hAnsi="宋体"/>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style="width:342pt;height:45pt">
            <v:imagedata r:id="rId8" o:title=""/>
          </v:shape>
        </w:pict>
      </w:r>
    </w:p>
    <w:p w:rsidR="00783788" w:rsidRDefault="00783788">
      <w:pPr>
        <w:spacing w:line="360" w:lineRule="auto"/>
        <w:jc w:val="center"/>
        <w:rPr>
          <w:rFonts w:ascii="宋体" w:hAnsi="宋体"/>
          <w:b/>
          <w:sz w:val="28"/>
          <w:szCs w:val="28"/>
        </w:rPr>
      </w:pPr>
    </w:p>
    <w:p w:rsidR="00783788" w:rsidRDefault="00783788">
      <w:pPr>
        <w:spacing w:line="360" w:lineRule="auto"/>
        <w:jc w:val="center"/>
        <w:rPr>
          <w:rFonts w:ascii="宋体" w:hAnsi="宋体"/>
          <w:b/>
          <w:sz w:val="28"/>
          <w:szCs w:val="28"/>
        </w:rPr>
      </w:pPr>
    </w:p>
    <w:p w:rsidR="00783788" w:rsidRDefault="00783788">
      <w:pPr>
        <w:spacing w:line="360" w:lineRule="auto"/>
        <w:jc w:val="center"/>
        <w:rPr>
          <w:rFonts w:ascii="宋体" w:hAnsi="宋体"/>
          <w:b/>
          <w:sz w:val="28"/>
          <w:szCs w:val="28"/>
        </w:rPr>
      </w:pPr>
    </w:p>
    <w:p w:rsidR="00783788" w:rsidRDefault="002C6E18">
      <w:pPr>
        <w:adjustRightInd w:val="0"/>
        <w:snapToGrid w:val="0"/>
        <w:spacing w:line="360" w:lineRule="auto"/>
        <w:jc w:val="center"/>
        <w:rPr>
          <w:rFonts w:ascii="宋体" w:hAnsi="宋体"/>
          <w:b/>
          <w:sz w:val="44"/>
        </w:rPr>
      </w:pPr>
      <w:r>
        <w:rPr>
          <w:rFonts w:ascii="宋体" w:hAnsi="宋体" w:hint="eastAsia"/>
          <w:b/>
          <w:sz w:val="44"/>
        </w:rPr>
        <w:t>交银施罗德定期支付双息平衡混合型</w:t>
      </w:r>
    </w:p>
    <w:p w:rsidR="00783788" w:rsidRDefault="002C6E18">
      <w:pPr>
        <w:adjustRightInd w:val="0"/>
        <w:snapToGrid w:val="0"/>
        <w:spacing w:line="360" w:lineRule="auto"/>
        <w:jc w:val="center"/>
        <w:rPr>
          <w:rFonts w:ascii="宋体" w:hAnsi="宋体"/>
          <w:b/>
          <w:sz w:val="44"/>
        </w:rPr>
      </w:pPr>
      <w:r>
        <w:rPr>
          <w:rFonts w:ascii="宋体" w:hAnsi="宋体" w:hint="eastAsia"/>
          <w:b/>
          <w:sz w:val="44"/>
        </w:rPr>
        <w:t>证券投资基金（更新）招募说明书</w:t>
      </w:r>
    </w:p>
    <w:p w:rsidR="00783788" w:rsidRDefault="00783788">
      <w:pPr>
        <w:spacing w:line="360" w:lineRule="auto"/>
        <w:jc w:val="center"/>
        <w:rPr>
          <w:rFonts w:ascii="宋体" w:hAnsi="宋体"/>
          <w:sz w:val="24"/>
        </w:rPr>
      </w:pPr>
    </w:p>
    <w:p w:rsidR="00783788" w:rsidRDefault="00783788">
      <w:pPr>
        <w:spacing w:line="360" w:lineRule="auto"/>
        <w:jc w:val="center"/>
        <w:rPr>
          <w:rFonts w:ascii="宋体" w:hAnsi="宋体"/>
          <w:b/>
          <w:sz w:val="24"/>
        </w:rPr>
      </w:pPr>
    </w:p>
    <w:p w:rsidR="00783788" w:rsidRDefault="002C6E18">
      <w:pPr>
        <w:jc w:val="center"/>
        <w:rPr>
          <w:rFonts w:eastAsia="黑体"/>
          <w:b/>
          <w:color w:val="000000"/>
          <w:sz w:val="24"/>
          <w:szCs w:val="28"/>
        </w:rPr>
      </w:pPr>
      <w:r>
        <w:rPr>
          <w:rFonts w:ascii="黑体" w:eastAsia="黑体" w:hint="eastAsia"/>
          <w:b/>
          <w:sz w:val="32"/>
          <w:szCs w:val="32"/>
        </w:rPr>
        <w:t>（201</w:t>
      </w:r>
      <w:r>
        <w:rPr>
          <w:rFonts w:ascii="黑体" w:eastAsia="黑体"/>
          <w:b/>
          <w:sz w:val="32"/>
          <w:szCs w:val="32"/>
        </w:rPr>
        <w:t>5</w:t>
      </w:r>
      <w:r>
        <w:rPr>
          <w:rFonts w:ascii="黑体" w:eastAsia="黑体" w:hint="eastAsia"/>
          <w:b/>
          <w:sz w:val="32"/>
          <w:szCs w:val="32"/>
        </w:rPr>
        <w:t>年第</w:t>
      </w:r>
      <w:r>
        <w:rPr>
          <w:rFonts w:ascii="黑体" w:eastAsia="黑体"/>
          <w:b/>
          <w:sz w:val="32"/>
          <w:szCs w:val="32"/>
        </w:rPr>
        <w:t>1</w:t>
      </w:r>
      <w:r>
        <w:rPr>
          <w:rFonts w:ascii="黑体" w:eastAsia="黑体" w:hint="eastAsia"/>
          <w:b/>
          <w:sz w:val="32"/>
          <w:szCs w:val="32"/>
        </w:rPr>
        <w:t>号）</w:t>
      </w:r>
    </w:p>
    <w:p w:rsidR="00783788" w:rsidRDefault="00783788">
      <w:pPr>
        <w:spacing w:line="360" w:lineRule="auto"/>
        <w:jc w:val="center"/>
        <w:rPr>
          <w:rFonts w:ascii="宋体" w:hAnsi="宋体"/>
          <w:b/>
          <w:sz w:val="28"/>
        </w:rPr>
      </w:pPr>
    </w:p>
    <w:p w:rsidR="00783788" w:rsidRDefault="00783788">
      <w:pPr>
        <w:spacing w:line="360" w:lineRule="auto"/>
        <w:jc w:val="center"/>
        <w:rPr>
          <w:rFonts w:ascii="宋体" w:hAnsi="宋体"/>
          <w:b/>
          <w:sz w:val="28"/>
        </w:rPr>
      </w:pPr>
    </w:p>
    <w:p w:rsidR="00783788" w:rsidRDefault="00783788">
      <w:pPr>
        <w:spacing w:line="360" w:lineRule="auto"/>
        <w:jc w:val="center"/>
        <w:rPr>
          <w:rFonts w:ascii="宋体" w:hAnsi="宋体"/>
          <w:b/>
          <w:sz w:val="28"/>
        </w:rPr>
      </w:pPr>
    </w:p>
    <w:p w:rsidR="00783788" w:rsidRDefault="00783788">
      <w:pPr>
        <w:spacing w:line="360" w:lineRule="auto"/>
        <w:jc w:val="center"/>
        <w:rPr>
          <w:rFonts w:ascii="宋体" w:hAnsi="宋体"/>
          <w:b/>
          <w:sz w:val="28"/>
        </w:rPr>
      </w:pPr>
    </w:p>
    <w:p w:rsidR="00783788" w:rsidRDefault="002C6E18">
      <w:pPr>
        <w:spacing w:line="360" w:lineRule="auto"/>
        <w:ind w:firstLineChars="500" w:firstLine="1405"/>
        <w:rPr>
          <w:rFonts w:ascii="宋体" w:hAnsi="宋体"/>
          <w:b/>
          <w:sz w:val="28"/>
        </w:rPr>
      </w:pPr>
      <w:r>
        <w:rPr>
          <w:rFonts w:ascii="宋体" w:hAnsi="宋体" w:hint="eastAsia"/>
          <w:b/>
          <w:sz w:val="28"/>
        </w:rPr>
        <w:t>基金管理人：交银施罗德基金管理有限公司</w:t>
      </w:r>
    </w:p>
    <w:p w:rsidR="00783788" w:rsidRDefault="002C6E18">
      <w:pPr>
        <w:spacing w:line="360" w:lineRule="auto"/>
        <w:ind w:firstLineChars="500" w:firstLine="1405"/>
        <w:rPr>
          <w:rFonts w:ascii="宋体" w:hAnsi="宋体"/>
          <w:b/>
          <w:sz w:val="28"/>
        </w:rPr>
      </w:pPr>
      <w:r>
        <w:rPr>
          <w:rFonts w:ascii="宋体" w:hAnsi="宋体" w:hint="eastAsia"/>
          <w:b/>
          <w:sz w:val="28"/>
        </w:rPr>
        <w:t>基金托管人：中国农业银行股份有限公司</w:t>
      </w:r>
    </w:p>
    <w:p w:rsidR="00783788" w:rsidRDefault="00783788">
      <w:pPr>
        <w:widowControl/>
        <w:spacing w:line="360" w:lineRule="auto"/>
        <w:jc w:val="center"/>
        <w:rPr>
          <w:rFonts w:ascii="宋体" w:hAnsi="宋体"/>
          <w:kern w:val="0"/>
        </w:rPr>
      </w:pPr>
    </w:p>
    <w:p w:rsidR="00783788" w:rsidRDefault="002C6E18">
      <w:pPr>
        <w:autoSpaceDE w:val="0"/>
        <w:autoSpaceDN w:val="0"/>
        <w:spacing w:line="360" w:lineRule="auto"/>
        <w:ind w:left="2996" w:hanging="2996"/>
        <w:jc w:val="center"/>
        <w:textAlignment w:val="bottom"/>
        <w:rPr>
          <w:rFonts w:ascii="宋体" w:hAnsi="宋体"/>
          <w:b/>
          <w:sz w:val="24"/>
        </w:rPr>
      </w:pPr>
      <w:r>
        <w:rPr>
          <w:rFonts w:ascii="宋体" w:hAnsi="宋体" w:hint="eastAsia"/>
          <w:b/>
          <w:sz w:val="28"/>
        </w:rPr>
        <w:t>二〇一五年三月</w:t>
      </w:r>
    </w:p>
    <w:p w:rsidR="00783788" w:rsidRDefault="002C6E18">
      <w:pPr>
        <w:widowControl/>
        <w:spacing w:line="360" w:lineRule="auto"/>
        <w:jc w:val="left"/>
        <w:rPr>
          <w:kern w:val="0"/>
        </w:rPr>
      </w:pPr>
      <w:r>
        <w:rPr>
          <w:rFonts w:hAnsi="宋体"/>
          <w:kern w:val="0"/>
        </w:rPr>
        <w:t>基金招募说明书自基金合同生效日起，每</w:t>
      </w:r>
      <w:r>
        <w:rPr>
          <w:kern w:val="0"/>
        </w:rPr>
        <w:t>6</w:t>
      </w:r>
      <w:r>
        <w:rPr>
          <w:rFonts w:hAnsi="宋体"/>
          <w:kern w:val="0"/>
        </w:rPr>
        <w:t>个月更新一次，并于每</w:t>
      </w:r>
      <w:r>
        <w:rPr>
          <w:kern w:val="0"/>
        </w:rPr>
        <w:t>6</w:t>
      </w:r>
      <w:r>
        <w:rPr>
          <w:rFonts w:hAnsi="宋体"/>
          <w:kern w:val="0"/>
        </w:rPr>
        <w:t>个月结束之日后的</w:t>
      </w:r>
      <w:r>
        <w:rPr>
          <w:kern w:val="0"/>
        </w:rPr>
        <w:t>45</w:t>
      </w:r>
      <w:r>
        <w:rPr>
          <w:rFonts w:hAnsi="宋体"/>
          <w:kern w:val="0"/>
        </w:rPr>
        <w:t>日内公告，更新内容截至每</w:t>
      </w:r>
      <w:r>
        <w:rPr>
          <w:kern w:val="0"/>
        </w:rPr>
        <w:t>6</w:t>
      </w:r>
      <w:r>
        <w:rPr>
          <w:rFonts w:hAnsi="宋体"/>
          <w:kern w:val="0"/>
        </w:rPr>
        <w:t>个月的最后</w:t>
      </w:r>
      <w:r>
        <w:rPr>
          <w:kern w:val="0"/>
        </w:rPr>
        <w:t>1</w:t>
      </w:r>
      <w:r>
        <w:rPr>
          <w:rFonts w:hAnsi="宋体"/>
          <w:kern w:val="0"/>
        </w:rPr>
        <w:t>日。</w:t>
      </w:r>
    </w:p>
    <w:p w:rsidR="00783788" w:rsidRDefault="002C6E18">
      <w:pPr>
        <w:widowControl/>
        <w:spacing w:line="360" w:lineRule="auto"/>
        <w:jc w:val="center"/>
        <w:rPr>
          <w:rFonts w:ascii="宋体" w:hAnsi="宋体"/>
          <w:b/>
          <w:kern w:val="0"/>
          <w:sz w:val="30"/>
        </w:rPr>
      </w:pPr>
      <w:r>
        <w:rPr>
          <w:rFonts w:ascii="宋体" w:hAnsi="宋体" w:hint="eastAsia"/>
          <w:b/>
          <w:kern w:val="0"/>
          <w:sz w:val="30"/>
        </w:rPr>
        <w:lastRenderedPageBreak/>
        <w:t>【</w:t>
      </w:r>
      <w:r>
        <w:rPr>
          <w:rFonts w:ascii="宋体" w:hAnsi="宋体"/>
          <w:b/>
          <w:kern w:val="0"/>
          <w:sz w:val="30"/>
        </w:rPr>
        <w:t>重要提示】</w:t>
      </w:r>
    </w:p>
    <w:p w:rsidR="00783788" w:rsidRDefault="002C6E18">
      <w:pPr>
        <w:widowControl/>
        <w:adjustRightInd w:val="0"/>
        <w:snapToGrid w:val="0"/>
        <w:spacing w:line="360" w:lineRule="auto"/>
        <w:ind w:firstLineChars="200" w:firstLine="480"/>
        <w:rPr>
          <w:kern w:val="0"/>
          <w:sz w:val="24"/>
        </w:rPr>
      </w:pPr>
      <w:r>
        <w:rPr>
          <w:rFonts w:hAnsi="宋体"/>
          <w:kern w:val="0"/>
          <w:sz w:val="24"/>
        </w:rPr>
        <w:t>交银施罗德定期支付双息平衡混合型证券投资基金（以下简称</w:t>
      </w:r>
      <w:r>
        <w:rPr>
          <w:kern w:val="0"/>
          <w:sz w:val="24"/>
        </w:rPr>
        <w:t>“</w:t>
      </w:r>
      <w:r>
        <w:rPr>
          <w:rFonts w:hAnsi="宋体"/>
          <w:kern w:val="0"/>
          <w:sz w:val="24"/>
        </w:rPr>
        <w:t>本基金</w:t>
      </w:r>
      <w:r>
        <w:rPr>
          <w:kern w:val="0"/>
          <w:sz w:val="24"/>
        </w:rPr>
        <w:t>”</w:t>
      </w:r>
      <w:r>
        <w:rPr>
          <w:rFonts w:hAnsi="宋体"/>
          <w:kern w:val="0"/>
          <w:sz w:val="24"/>
        </w:rPr>
        <w:t>）经</w:t>
      </w:r>
      <w:r>
        <w:rPr>
          <w:kern w:val="0"/>
          <w:sz w:val="24"/>
        </w:rPr>
        <w:t>20</w:t>
      </w:r>
      <w:r>
        <w:rPr>
          <w:rFonts w:hint="eastAsia"/>
          <w:kern w:val="0"/>
          <w:sz w:val="24"/>
        </w:rPr>
        <w:t>13</w:t>
      </w:r>
      <w:r>
        <w:rPr>
          <w:rFonts w:hAnsi="宋体"/>
          <w:kern w:val="0"/>
          <w:sz w:val="24"/>
        </w:rPr>
        <w:t>年</w:t>
      </w:r>
      <w:r>
        <w:rPr>
          <w:rFonts w:hint="eastAsia"/>
          <w:kern w:val="0"/>
          <w:sz w:val="24"/>
        </w:rPr>
        <w:t>6</w:t>
      </w:r>
      <w:r>
        <w:rPr>
          <w:rFonts w:hAnsi="宋体"/>
          <w:kern w:val="0"/>
          <w:sz w:val="24"/>
        </w:rPr>
        <w:t>月</w:t>
      </w:r>
      <w:r>
        <w:rPr>
          <w:rFonts w:hint="eastAsia"/>
          <w:kern w:val="0"/>
          <w:sz w:val="24"/>
        </w:rPr>
        <w:t>6</w:t>
      </w:r>
      <w:r>
        <w:rPr>
          <w:rFonts w:hAnsi="宋体"/>
          <w:kern w:val="0"/>
          <w:sz w:val="24"/>
        </w:rPr>
        <w:t>日中国证券监督管理委员会（以下简称</w:t>
      </w:r>
      <w:r>
        <w:rPr>
          <w:kern w:val="0"/>
          <w:sz w:val="24"/>
        </w:rPr>
        <w:t>“</w:t>
      </w:r>
      <w:r>
        <w:rPr>
          <w:rFonts w:hAnsi="宋体"/>
          <w:kern w:val="0"/>
          <w:sz w:val="24"/>
        </w:rPr>
        <w:t>中国证监会</w:t>
      </w:r>
      <w:r>
        <w:rPr>
          <w:kern w:val="0"/>
          <w:sz w:val="24"/>
        </w:rPr>
        <w:t>”</w:t>
      </w:r>
      <w:r>
        <w:rPr>
          <w:rFonts w:hAnsi="宋体"/>
          <w:kern w:val="0"/>
          <w:sz w:val="24"/>
        </w:rPr>
        <w:t>）证监许可【</w:t>
      </w:r>
      <w:r>
        <w:rPr>
          <w:kern w:val="0"/>
          <w:sz w:val="24"/>
        </w:rPr>
        <w:t>20</w:t>
      </w:r>
      <w:r>
        <w:rPr>
          <w:rFonts w:hint="eastAsia"/>
          <w:kern w:val="0"/>
          <w:sz w:val="24"/>
        </w:rPr>
        <w:t>13</w:t>
      </w:r>
      <w:r>
        <w:rPr>
          <w:rFonts w:hAnsi="宋体"/>
          <w:kern w:val="0"/>
          <w:sz w:val="24"/>
        </w:rPr>
        <w:t>】</w:t>
      </w:r>
      <w:r>
        <w:rPr>
          <w:rFonts w:hint="eastAsia"/>
          <w:kern w:val="0"/>
          <w:sz w:val="24"/>
        </w:rPr>
        <w:t>753</w:t>
      </w:r>
      <w:r>
        <w:rPr>
          <w:rFonts w:hAnsi="宋体"/>
          <w:kern w:val="0"/>
          <w:sz w:val="24"/>
        </w:rPr>
        <w:t>号文核准募集。</w:t>
      </w:r>
      <w:r>
        <w:rPr>
          <w:rFonts w:ascii="宋体" w:hAnsi="宋体" w:hint="eastAsia"/>
          <w:kern w:val="0"/>
          <w:sz w:val="24"/>
        </w:rPr>
        <w:t>本基金基金合同于2013年9月4日正式生效。</w:t>
      </w:r>
    </w:p>
    <w:p w:rsidR="00783788" w:rsidRDefault="002C6E18">
      <w:pPr>
        <w:widowControl/>
        <w:adjustRightInd w:val="0"/>
        <w:snapToGrid w:val="0"/>
        <w:spacing w:line="360" w:lineRule="auto"/>
        <w:ind w:firstLineChars="200" w:firstLine="480"/>
        <w:rPr>
          <w:kern w:val="0"/>
          <w:sz w:val="24"/>
        </w:rPr>
      </w:pPr>
      <w:r>
        <w:rPr>
          <w:rFonts w:hAnsi="宋体"/>
          <w:kern w:val="0"/>
          <w:sz w:val="24"/>
        </w:rPr>
        <w:t>基金管理人保证招募说明书的内容真实、准确、完整。本招募说明书经中国证监会核准，但中国证监会对本基金募集的核准，并不表明其对本基金的价值和收益作出实质性判断或保证，也不表明投资于本基金没有风险。</w:t>
      </w:r>
      <w:r>
        <w:rPr>
          <w:kern w:val="0"/>
          <w:sz w:val="24"/>
        </w:rPr>
        <w:t xml:space="preserve"> </w:t>
      </w:r>
    </w:p>
    <w:p w:rsidR="00783788" w:rsidRDefault="002C6E18">
      <w:pPr>
        <w:widowControl/>
        <w:adjustRightInd w:val="0"/>
        <w:snapToGrid w:val="0"/>
        <w:spacing w:line="360" w:lineRule="auto"/>
        <w:ind w:firstLineChars="200" w:firstLine="480"/>
        <w:rPr>
          <w:kern w:val="0"/>
          <w:sz w:val="24"/>
        </w:rPr>
      </w:pPr>
      <w:r>
        <w:rPr>
          <w:rFonts w:hAnsi="宋体"/>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rsidR="00783788" w:rsidRDefault="002C6E18">
      <w:pPr>
        <w:widowControl/>
        <w:adjustRightInd w:val="0"/>
        <w:snapToGrid w:val="0"/>
        <w:spacing w:line="360" w:lineRule="auto"/>
        <w:ind w:firstLineChars="200" w:firstLine="480"/>
        <w:rPr>
          <w:rFonts w:ascii="宋体" w:hAnsi="宋体"/>
          <w:sz w:val="24"/>
        </w:rPr>
      </w:pPr>
      <w:r>
        <w:rPr>
          <w:kern w:val="0"/>
          <w:sz w:val="24"/>
        </w:rPr>
        <w:t>本基金投资于证券市场，基金净值会因为证券市场波动等因素产生波动。投资人在投资本基金前，需全面认识本基金产品的风险收益特征和产品特性，充分考虑自身的风险承受能力，理性判断市场，对投资本基金的意愿、时机、数量等投资行为作出独立决策。投资人根据所持有份额享受基金的收益，但同时也需承担相应的投资风险。投资本基金可能遇到的风险包括：</w:t>
      </w:r>
      <w:r>
        <w:rPr>
          <w:rFonts w:hint="eastAsia"/>
          <w:kern w:val="0"/>
          <w:sz w:val="24"/>
        </w:rPr>
        <w:t>市场风险、管理风险、流动性风险、信用风险、本基金投资策略所特有的风险、本基金定期支付相关的特定风险，例如定期支付不等同于收益分配、年化现金支付比率不代表基金实际投资收益率、定期支付被确认失败的风险、</w:t>
      </w:r>
      <w:r>
        <w:rPr>
          <w:rFonts w:hAnsi="宋体" w:hint="eastAsia"/>
          <w:sz w:val="24"/>
          <w:szCs w:val="24"/>
        </w:rPr>
        <w:t>年化现金支付比率发生</w:t>
      </w:r>
      <w:r>
        <w:rPr>
          <w:rFonts w:hint="eastAsia"/>
          <w:kern w:val="0"/>
          <w:sz w:val="24"/>
        </w:rPr>
        <w:t>调整的风险等等。</w:t>
      </w:r>
      <w:r>
        <w:rPr>
          <w:rFonts w:ascii="宋体" w:hAnsi="宋体" w:hint="eastAsia"/>
          <w:sz w:val="24"/>
        </w:rPr>
        <w:t>本基金是一只混合型基金，在证券投资基金中属于较高风险的品种，其长期平均风险和预期收益高于货币市场基金和债券型基金，低于股票型基金。</w:t>
      </w:r>
    </w:p>
    <w:p w:rsidR="00783788" w:rsidRDefault="002C6E18">
      <w:pPr>
        <w:widowControl/>
        <w:adjustRightInd w:val="0"/>
        <w:snapToGrid w:val="0"/>
        <w:spacing w:line="360" w:lineRule="auto"/>
        <w:ind w:firstLineChars="200" w:firstLine="480"/>
        <w:rPr>
          <w:sz w:val="24"/>
          <w:szCs w:val="18"/>
        </w:rPr>
      </w:pPr>
      <w:r>
        <w:rPr>
          <w:rFonts w:hint="eastAsia"/>
          <w:sz w:val="24"/>
          <w:szCs w:val="18"/>
        </w:rPr>
        <w:t>本基金按照基金合同的约定，每月定期按照年化现金支付比率计算现金支付金额并通过自动赎回基金份额向基金份额持有人支付一定现金，但基金管理人不保证本基金一定盈利，也不保证最低收益，定期支付不等同于收益分配，年化现金支付比率也不代表本基金的实际投资收益率。根据基金合同的约定，特定情形下并存在当期定期支付业务被确认失败的风险。基金管理人可以根据基金实际运作情况和市场环境的变化，在履行适当程序后对上述约定的年化现金支付比率进行调整，并至少在调整前一个月公告，上述调整不须召开份额持有人大会。</w:t>
      </w:r>
    </w:p>
    <w:p w:rsidR="00783788" w:rsidRDefault="002C6E18">
      <w:pPr>
        <w:widowControl/>
        <w:adjustRightInd w:val="0"/>
        <w:snapToGrid w:val="0"/>
        <w:spacing w:line="360" w:lineRule="auto"/>
        <w:ind w:firstLineChars="200" w:firstLine="480"/>
        <w:rPr>
          <w:rFonts w:hAnsi="宋体"/>
          <w:kern w:val="0"/>
          <w:sz w:val="24"/>
        </w:rPr>
      </w:pPr>
      <w:r>
        <w:rPr>
          <w:rFonts w:hAnsi="宋体"/>
          <w:kern w:val="0"/>
          <w:sz w:val="24"/>
        </w:rPr>
        <w:lastRenderedPageBreak/>
        <w:t>投资有风险，投资人在投资本基金前应认真阅读本</w:t>
      </w:r>
      <w:r>
        <w:rPr>
          <w:rFonts w:hAnsi="宋体" w:hint="eastAsia"/>
          <w:kern w:val="0"/>
          <w:sz w:val="24"/>
        </w:rPr>
        <w:t>基金的</w:t>
      </w:r>
      <w:r>
        <w:rPr>
          <w:rFonts w:hAnsi="宋体"/>
          <w:kern w:val="0"/>
          <w:sz w:val="24"/>
        </w:rPr>
        <w:t>招募说明书</w:t>
      </w:r>
      <w:r>
        <w:rPr>
          <w:rFonts w:hAnsi="宋体" w:hint="eastAsia"/>
          <w:kern w:val="0"/>
          <w:sz w:val="24"/>
        </w:rPr>
        <w:t>和基金合同</w:t>
      </w:r>
      <w:r>
        <w:rPr>
          <w:rFonts w:hAnsi="宋体"/>
          <w:kern w:val="0"/>
          <w:sz w:val="24"/>
        </w:rPr>
        <w:t>。基金的过往业绩并不代表未来表现。基金管理人管理的其他基金的业绩并不构成对本基金业绩表现的保证。</w:t>
      </w:r>
    </w:p>
    <w:p w:rsidR="00783788" w:rsidRDefault="002C6E18">
      <w:pPr>
        <w:widowControl/>
        <w:spacing w:line="360" w:lineRule="auto"/>
        <w:ind w:firstLineChars="200" w:firstLine="480"/>
        <w:rPr>
          <w:rFonts w:ascii="宋体" w:hAnsi="宋体"/>
          <w:kern w:val="0"/>
          <w:sz w:val="24"/>
        </w:rPr>
      </w:pPr>
      <w:r>
        <w:rPr>
          <w:rFonts w:ascii="宋体" w:hAnsi="宋体" w:hint="eastAsia"/>
          <w:kern w:val="0"/>
          <w:sz w:val="24"/>
        </w:rPr>
        <w:t>本招募说明书所载内容截止日为</w:t>
      </w:r>
      <w:r>
        <w:rPr>
          <w:rFonts w:ascii="宋体" w:hAnsi="宋体"/>
          <w:kern w:val="0"/>
          <w:sz w:val="24"/>
        </w:rPr>
        <w:t>2015年3</w:t>
      </w:r>
      <w:r>
        <w:rPr>
          <w:rFonts w:ascii="宋体" w:hAnsi="宋体" w:hint="eastAsia"/>
          <w:kern w:val="0"/>
          <w:sz w:val="24"/>
        </w:rPr>
        <w:t>月</w:t>
      </w:r>
      <w:r>
        <w:rPr>
          <w:rFonts w:ascii="宋体" w:hAnsi="宋体"/>
          <w:kern w:val="0"/>
          <w:sz w:val="24"/>
        </w:rPr>
        <w:t>4日</w:t>
      </w:r>
      <w:r>
        <w:rPr>
          <w:rFonts w:ascii="宋体" w:hAnsi="宋体" w:hint="eastAsia"/>
          <w:kern w:val="0"/>
          <w:sz w:val="24"/>
        </w:rPr>
        <w:t>，有关财务数据和净值表现截止日为2014年</w:t>
      </w:r>
      <w:r>
        <w:rPr>
          <w:rFonts w:ascii="宋体" w:hAnsi="宋体"/>
          <w:kern w:val="0"/>
          <w:sz w:val="24"/>
        </w:rPr>
        <w:t>12</w:t>
      </w:r>
      <w:r>
        <w:rPr>
          <w:rFonts w:ascii="宋体" w:hAnsi="宋体" w:hint="eastAsia"/>
          <w:kern w:val="0"/>
          <w:sz w:val="24"/>
        </w:rPr>
        <w:t>月3</w:t>
      </w:r>
      <w:r>
        <w:rPr>
          <w:rFonts w:ascii="宋体" w:hAnsi="宋体"/>
          <w:kern w:val="0"/>
          <w:sz w:val="24"/>
        </w:rPr>
        <w:t>1</w:t>
      </w:r>
      <w:r>
        <w:rPr>
          <w:rFonts w:ascii="宋体" w:hAnsi="宋体" w:hint="eastAsia"/>
          <w:kern w:val="0"/>
          <w:sz w:val="24"/>
        </w:rPr>
        <w:t>日。本招募说明书所载的财务数据未经审计。</w:t>
      </w:r>
    </w:p>
    <w:p w:rsidR="00783788" w:rsidRDefault="00783788">
      <w:pPr>
        <w:widowControl/>
        <w:adjustRightInd w:val="0"/>
        <w:snapToGrid w:val="0"/>
        <w:spacing w:line="360" w:lineRule="auto"/>
        <w:ind w:firstLineChars="200" w:firstLine="480"/>
        <w:rPr>
          <w:rFonts w:ascii="宋体" w:hAnsi="宋体"/>
          <w:kern w:val="0"/>
          <w:sz w:val="24"/>
        </w:rPr>
      </w:pPr>
    </w:p>
    <w:p w:rsidR="00783788" w:rsidRDefault="002C6E18">
      <w:pPr>
        <w:widowControl/>
        <w:spacing w:line="360" w:lineRule="auto"/>
        <w:jc w:val="center"/>
        <w:rPr>
          <w:rFonts w:ascii="宋体" w:hAnsi="宋体"/>
          <w:b/>
          <w:kern w:val="0"/>
          <w:sz w:val="30"/>
        </w:rPr>
      </w:pPr>
      <w:r>
        <w:rPr>
          <w:rFonts w:ascii="宋体" w:hAnsi="宋体"/>
          <w:kern w:val="0"/>
          <w:sz w:val="30"/>
        </w:rPr>
        <w:br w:type="page"/>
      </w:r>
      <w:r>
        <w:rPr>
          <w:rFonts w:ascii="宋体" w:hAnsi="宋体"/>
          <w:b/>
          <w:kern w:val="0"/>
          <w:sz w:val="30"/>
        </w:rPr>
        <w:lastRenderedPageBreak/>
        <w:t>目 录</w:t>
      </w:r>
    </w:p>
    <w:bookmarkStart w:id="0" w:name="_Toc109537379"/>
    <w:p w:rsidR="00783788" w:rsidRDefault="002C6E18">
      <w:pPr>
        <w:pStyle w:val="10"/>
        <w:rPr>
          <w:rFonts w:ascii="Calibri" w:eastAsia="宋体" w:hAnsi="Calibri"/>
          <w:sz w:val="21"/>
          <w:szCs w:val="22"/>
        </w:rPr>
      </w:pPr>
      <w:r>
        <w:rPr>
          <w:rFonts w:ascii="宋体" w:eastAsia="宋体"/>
          <w:kern w:val="0"/>
        </w:rPr>
        <w:fldChar w:fldCharType="begin"/>
      </w:r>
      <w:r>
        <w:rPr>
          <w:rFonts w:ascii="宋体" w:eastAsia="宋体"/>
          <w:kern w:val="0"/>
        </w:rPr>
        <w:instrText xml:space="preserve"> TOC \o "1-1" \h \z \u </w:instrText>
      </w:r>
      <w:r>
        <w:rPr>
          <w:rFonts w:ascii="宋体" w:eastAsia="宋体"/>
          <w:kern w:val="0"/>
        </w:rPr>
        <w:fldChar w:fldCharType="separate"/>
      </w:r>
      <w:hyperlink w:anchor="_Toc382321312" w:history="1">
        <w:r>
          <w:rPr>
            <w:rStyle w:val="af2"/>
            <w:rFonts w:ascii="宋体" w:hint="eastAsia"/>
            <w:b/>
            <w:kern w:val="0"/>
          </w:rPr>
          <w:t>一、绪言</w:t>
        </w:r>
        <w:r>
          <w:tab/>
        </w:r>
        <w:r>
          <w:fldChar w:fldCharType="begin"/>
        </w:r>
        <w:r>
          <w:instrText xml:space="preserve"> PAGEREF _Toc382321312 \h </w:instrText>
        </w:r>
        <w:r>
          <w:fldChar w:fldCharType="separate"/>
        </w:r>
        <w:r w:rsidR="007464B7">
          <w:rPr>
            <w:noProof/>
          </w:rPr>
          <w:t>5</w:t>
        </w:r>
        <w:r>
          <w:fldChar w:fldCharType="end"/>
        </w:r>
      </w:hyperlink>
    </w:p>
    <w:p w:rsidR="00783788" w:rsidRDefault="003E6104">
      <w:pPr>
        <w:pStyle w:val="10"/>
        <w:rPr>
          <w:rFonts w:ascii="Calibri" w:eastAsia="宋体" w:hAnsi="Calibri"/>
          <w:sz w:val="21"/>
          <w:szCs w:val="22"/>
        </w:rPr>
      </w:pPr>
      <w:hyperlink w:anchor="_Toc382321313" w:history="1">
        <w:r w:rsidR="002C6E18">
          <w:rPr>
            <w:rStyle w:val="af2"/>
            <w:rFonts w:ascii="宋体" w:hint="eastAsia"/>
            <w:b/>
            <w:kern w:val="0"/>
          </w:rPr>
          <w:t>二、释义</w:t>
        </w:r>
        <w:r w:rsidR="002C6E18">
          <w:tab/>
        </w:r>
        <w:r w:rsidR="002C6E18">
          <w:fldChar w:fldCharType="begin"/>
        </w:r>
        <w:r w:rsidR="002C6E18">
          <w:instrText xml:space="preserve"> PAGEREF _Toc382321313 \h </w:instrText>
        </w:r>
        <w:r w:rsidR="002C6E18">
          <w:fldChar w:fldCharType="separate"/>
        </w:r>
        <w:r w:rsidR="007464B7">
          <w:rPr>
            <w:noProof/>
          </w:rPr>
          <w:t>5</w:t>
        </w:r>
        <w:r w:rsidR="002C6E18">
          <w:fldChar w:fldCharType="end"/>
        </w:r>
      </w:hyperlink>
    </w:p>
    <w:p w:rsidR="00783788" w:rsidRDefault="003E6104">
      <w:pPr>
        <w:pStyle w:val="10"/>
        <w:rPr>
          <w:rFonts w:ascii="Calibri" w:eastAsia="宋体" w:hAnsi="Calibri"/>
          <w:sz w:val="21"/>
          <w:szCs w:val="22"/>
        </w:rPr>
      </w:pPr>
      <w:hyperlink w:anchor="_Toc382321314" w:history="1">
        <w:r w:rsidR="002C6E18">
          <w:rPr>
            <w:rStyle w:val="af2"/>
            <w:rFonts w:ascii="宋体" w:hint="eastAsia"/>
            <w:b/>
            <w:kern w:val="0"/>
          </w:rPr>
          <w:t>三、基金管理人</w:t>
        </w:r>
        <w:r w:rsidR="002C6E18">
          <w:tab/>
        </w:r>
        <w:r w:rsidR="002C6E18">
          <w:fldChar w:fldCharType="begin"/>
        </w:r>
        <w:r w:rsidR="002C6E18">
          <w:instrText xml:space="preserve"> PAGEREF _Toc382321314 \h </w:instrText>
        </w:r>
        <w:r w:rsidR="002C6E18">
          <w:fldChar w:fldCharType="separate"/>
        </w:r>
        <w:r w:rsidR="007464B7">
          <w:rPr>
            <w:noProof/>
          </w:rPr>
          <w:t>9</w:t>
        </w:r>
        <w:r w:rsidR="002C6E18">
          <w:fldChar w:fldCharType="end"/>
        </w:r>
      </w:hyperlink>
    </w:p>
    <w:p w:rsidR="00783788" w:rsidRDefault="003E6104">
      <w:pPr>
        <w:pStyle w:val="10"/>
        <w:rPr>
          <w:rFonts w:ascii="Calibri" w:eastAsia="宋体" w:hAnsi="Calibri"/>
          <w:sz w:val="21"/>
          <w:szCs w:val="22"/>
        </w:rPr>
      </w:pPr>
      <w:hyperlink w:anchor="_Toc382321315" w:history="1">
        <w:r w:rsidR="002C6E18">
          <w:rPr>
            <w:rStyle w:val="af2"/>
            <w:rFonts w:ascii="宋体" w:hint="eastAsia"/>
            <w:b/>
            <w:kern w:val="0"/>
          </w:rPr>
          <w:t>四、基金托管人</w:t>
        </w:r>
        <w:r w:rsidR="002C6E18">
          <w:tab/>
        </w:r>
        <w:r w:rsidR="002C6E18">
          <w:fldChar w:fldCharType="begin"/>
        </w:r>
        <w:r w:rsidR="002C6E18">
          <w:instrText xml:space="preserve"> PAGEREF _Toc382321315 \h </w:instrText>
        </w:r>
        <w:r w:rsidR="002C6E18">
          <w:fldChar w:fldCharType="separate"/>
        </w:r>
        <w:r w:rsidR="007464B7">
          <w:rPr>
            <w:noProof/>
          </w:rPr>
          <w:t>17</w:t>
        </w:r>
        <w:r w:rsidR="002C6E18">
          <w:fldChar w:fldCharType="end"/>
        </w:r>
      </w:hyperlink>
    </w:p>
    <w:p w:rsidR="00783788" w:rsidRDefault="003B080D">
      <w:pPr>
        <w:pStyle w:val="10"/>
        <w:rPr>
          <w:rFonts w:ascii="Calibri" w:eastAsia="宋体" w:hAnsi="Calibri"/>
          <w:sz w:val="21"/>
          <w:szCs w:val="22"/>
        </w:rPr>
      </w:pPr>
      <w:hyperlink w:anchor="_Toc382321316" w:history="1">
        <w:r w:rsidR="002C6E18">
          <w:rPr>
            <w:rStyle w:val="af2"/>
            <w:rFonts w:ascii="宋体" w:hint="eastAsia"/>
            <w:b/>
            <w:kern w:val="0"/>
          </w:rPr>
          <w:t>五、相关服务机构</w:t>
        </w:r>
        <w:r w:rsidR="002C6E18">
          <w:tab/>
        </w:r>
        <w:r w:rsidR="002C6E18">
          <w:fldChar w:fldCharType="begin"/>
        </w:r>
        <w:r w:rsidR="002C6E18">
          <w:instrText xml:space="preserve"> PAGEREF _Toc382321316 \h </w:instrText>
        </w:r>
        <w:r w:rsidR="002C6E18">
          <w:fldChar w:fldCharType="separate"/>
        </w:r>
        <w:bookmarkStart w:id="1" w:name="_GoBack"/>
        <w:r w:rsidR="007464B7">
          <w:rPr>
            <w:noProof/>
          </w:rPr>
          <w:t>24</w:t>
        </w:r>
        <w:bookmarkEnd w:id="1"/>
        <w:r w:rsidR="002C6E18">
          <w:fldChar w:fldCharType="end"/>
        </w:r>
      </w:hyperlink>
    </w:p>
    <w:p w:rsidR="00783788" w:rsidRDefault="003B080D">
      <w:pPr>
        <w:pStyle w:val="10"/>
        <w:rPr>
          <w:rFonts w:ascii="Calibri" w:eastAsia="宋体" w:hAnsi="Calibri"/>
          <w:sz w:val="21"/>
          <w:szCs w:val="22"/>
        </w:rPr>
      </w:pPr>
      <w:hyperlink w:anchor="_Toc382321317" w:history="1">
        <w:r w:rsidR="002C6E18">
          <w:rPr>
            <w:rStyle w:val="af2"/>
            <w:rFonts w:ascii="宋体" w:hint="eastAsia"/>
            <w:b/>
            <w:kern w:val="0"/>
          </w:rPr>
          <w:t>六、基金的募集</w:t>
        </w:r>
        <w:r w:rsidR="002C6E18">
          <w:tab/>
        </w:r>
        <w:r w:rsidR="002C6E18">
          <w:fldChar w:fldCharType="begin"/>
        </w:r>
        <w:r w:rsidR="002C6E18">
          <w:instrText xml:space="preserve"> PAGEREF _Toc382321317 \h </w:instrText>
        </w:r>
        <w:r w:rsidR="002C6E18">
          <w:fldChar w:fldCharType="separate"/>
        </w:r>
        <w:r w:rsidR="007464B7">
          <w:rPr>
            <w:noProof/>
          </w:rPr>
          <w:t>38</w:t>
        </w:r>
        <w:r w:rsidR="002C6E18">
          <w:fldChar w:fldCharType="end"/>
        </w:r>
      </w:hyperlink>
    </w:p>
    <w:p w:rsidR="00783788" w:rsidRDefault="003E6104">
      <w:pPr>
        <w:pStyle w:val="10"/>
        <w:rPr>
          <w:rFonts w:ascii="Calibri" w:eastAsia="宋体" w:hAnsi="Calibri"/>
          <w:sz w:val="21"/>
          <w:szCs w:val="22"/>
        </w:rPr>
      </w:pPr>
      <w:hyperlink w:anchor="_Toc382321318" w:history="1">
        <w:r w:rsidR="002C6E18">
          <w:rPr>
            <w:rStyle w:val="af2"/>
            <w:rFonts w:ascii="宋体" w:hint="eastAsia"/>
            <w:b/>
            <w:kern w:val="0"/>
          </w:rPr>
          <w:t>七、基金合同的生效</w:t>
        </w:r>
        <w:r w:rsidR="002C6E18">
          <w:tab/>
        </w:r>
        <w:r w:rsidR="002C6E18">
          <w:fldChar w:fldCharType="begin"/>
        </w:r>
        <w:r w:rsidR="002C6E18">
          <w:instrText xml:space="preserve"> PAGEREF _Toc382321318 \h </w:instrText>
        </w:r>
        <w:r w:rsidR="002C6E18">
          <w:fldChar w:fldCharType="separate"/>
        </w:r>
        <w:r w:rsidR="007464B7">
          <w:rPr>
            <w:noProof/>
          </w:rPr>
          <w:t>38</w:t>
        </w:r>
        <w:r w:rsidR="002C6E18">
          <w:fldChar w:fldCharType="end"/>
        </w:r>
      </w:hyperlink>
    </w:p>
    <w:p w:rsidR="00783788" w:rsidRDefault="003E6104">
      <w:pPr>
        <w:pStyle w:val="10"/>
        <w:rPr>
          <w:rFonts w:ascii="Calibri" w:eastAsia="宋体" w:hAnsi="Calibri"/>
          <w:sz w:val="21"/>
          <w:szCs w:val="22"/>
        </w:rPr>
      </w:pPr>
      <w:hyperlink w:anchor="_Toc382321319" w:history="1">
        <w:r w:rsidR="002C6E18">
          <w:rPr>
            <w:rStyle w:val="af2"/>
            <w:rFonts w:ascii="宋体" w:hint="eastAsia"/>
            <w:b/>
            <w:kern w:val="0"/>
          </w:rPr>
          <w:t>八、基金份额的申购与赎回</w:t>
        </w:r>
        <w:r w:rsidR="002C6E18">
          <w:tab/>
        </w:r>
        <w:r w:rsidR="002C6E18">
          <w:fldChar w:fldCharType="begin"/>
        </w:r>
        <w:r w:rsidR="002C6E18">
          <w:instrText xml:space="preserve"> PAGEREF _Toc382321319 \h </w:instrText>
        </w:r>
        <w:r w:rsidR="002C6E18">
          <w:fldChar w:fldCharType="separate"/>
        </w:r>
        <w:r w:rsidR="007464B7">
          <w:rPr>
            <w:noProof/>
          </w:rPr>
          <w:t>38</w:t>
        </w:r>
        <w:r w:rsidR="002C6E18">
          <w:fldChar w:fldCharType="end"/>
        </w:r>
      </w:hyperlink>
    </w:p>
    <w:p w:rsidR="00783788" w:rsidRDefault="003B080D">
      <w:pPr>
        <w:pStyle w:val="10"/>
        <w:rPr>
          <w:rFonts w:ascii="Calibri" w:eastAsia="宋体" w:hAnsi="Calibri"/>
          <w:sz w:val="21"/>
          <w:szCs w:val="22"/>
        </w:rPr>
      </w:pPr>
      <w:hyperlink w:anchor="_Toc382321320" w:history="1">
        <w:r w:rsidR="002C6E18">
          <w:rPr>
            <w:rStyle w:val="af2"/>
            <w:rFonts w:ascii="宋体" w:hint="eastAsia"/>
            <w:b/>
            <w:kern w:val="0"/>
          </w:rPr>
          <w:t>九、基金的转换</w:t>
        </w:r>
        <w:r w:rsidR="002C6E18">
          <w:tab/>
        </w:r>
        <w:r w:rsidR="002C6E18">
          <w:fldChar w:fldCharType="begin"/>
        </w:r>
        <w:r w:rsidR="002C6E18">
          <w:instrText xml:space="preserve"> PAGEREF _Toc382321320 \h </w:instrText>
        </w:r>
        <w:r w:rsidR="002C6E18">
          <w:fldChar w:fldCharType="separate"/>
        </w:r>
        <w:r w:rsidR="007464B7">
          <w:rPr>
            <w:noProof/>
          </w:rPr>
          <w:t>50</w:t>
        </w:r>
        <w:r w:rsidR="002C6E18">
          <w:fldChar w:fldCharType="end"/>
        </w:r>
      </w:hyperlink>
    </w:p>
    <w:p w:rsidR="00783788" w:rsidRDefault="003E6104">
      <w:pPr>
        <w:pStyle w:val="10"/>
        <w:rPr>
          <w:rFonts w:ascii="Calibri" w:eastAsia="宋体" w:hAnsi="Calibri"/>
          <w:sz w:val="21"/>
          <w:szCs w:val="22"/>
        </w:rPr>
      </w:pPr>
      <w:hyperlink w:anchor="_Toc382321321" w:history="1">
        <w:r w:rsidR="002C6E18">
          <w:rPr>
            <w:rStyle w:val="af2"/>
            <w:rFonts w:ascii="宋体" w:hint="eastAsia"/>
            <w:b/>
            <w:kern w:val="0"/>
          </w:rPr>
          <w:t>十、基金的定期支付</w:t>
        </w:r>
        <w:r w:rsidR="002C6E18">
          <w:tab/>
        </w:r>
        <w:r w:rsidR="002C6E18">
          <w:fldChar w:fldCharType="begin"/>
        </w:r>
        <w:r w:rsidR="002C6E18">
          <w:instrText xml:space="preserve"> PAGEREF _Toc382321321 \h </w:instrText>
        </w:r>
        <w:r w:rsidR="002C6E18">
          <w:fldChar w:fldCharType="separate"/>
        </w:r>
        <w:r w:rsidR="007464B7">
          <w:rPr>
            <w:noProof/>
          </w:rPr>
          <w:t>57</w:t>
        </w:r>
        <w:r w:rsidR="002C6E18">
          <w:fldChar w:fldCharType="end"/>
        </w:r>
      </w:hyperlink>
    </w:p>
    <w:p w:rsidR="00783788" w:rsidRDefault="003E6104">
      <w:pPr>
        <w:pStyle w:val="10"/>
        <w:rPr>
          <w:rFonts w:ascii="Calibri" w:eastAsia="宋体" w:hAnsi="Calibri"/>
          <w:sz w:val="21"/>
          <w:szCs w:val="22"/>
        </w:rPr>
      </w:pPr>
      <w:hyperlink w:anchor="_Toc382321322" w:history="1">
        <w:r w:rsidR="002C6E18">
          <w:rPr>
            <w:rStyle w:val="af2"/>
            <w:rFonts w:ascii="宋体" w:hint="eastAsia"/>
            <w:b/>
            <w:kern w:val="0"/>
          </w:rPr>
          <w:t>十一、基金的投资</w:t>
        </w:r>
        <w:r w:rsidR="002C6E18">
          <w:tab/>
        </w:r>
        <w:r w:rsidR="002C6E18">
          <w:fldChar w:fldCharType="begin"/>
        </w:r>
        <w:r w:rsidR="002C6E18">
          <w:instrText xml:space="preserve"> PAGEREF _Toc382321322 \h </w:instrText>
        </w:r>
        <w:r w:rsidR="002C6E18">
          <w:fldChar w:fldCharType="separate"/>
        </w:r>
        <w:r w:rsidR="007464B7">
          <w:rPr>
            <w:noProof/>
          </w:rPr>
          <w:t>61</w:t>
        </w:r>
        <w:r w:rsidR="002C6E18">
          <w:fldChar w:fldCharType="end"/>
        </w:r>
      </w:hyperlink>
    </w:p>
    <w:p w:rsidR="00783788" w:rsidRDefault="003E6104">
      <w:pPr>
        <w:pStyle w:val="10"/>
        <w:rPr>
          <w:rFonts w:ascii="Calibri" w:eastAsia="宋体" w:hAnsi="Calibri"/>
          <w:sz w:val="21"/>
          <w:szCs w:val="22"/>
        </w:rPr>
      </w:pPr>
      <w:hyperlink w:anchor="_Toc382321323" w:history="1">
        <w:r w:rsidR="002C6E18">
          <w:rPr>
            <w:rStyle w:val="af2"/>
            <w:rFonts w:ascii="宋体" w:hint="eastAsia"/>
            <w:b/>
            <w:kern w:val="0"/>
          </w:rPr>
          <w:t>十二、基金的业绩</w:t>
        </w:r>
        <w:r w:rsidR="002C6E18">
          <w:tab/>
        </w:r>
        <w:r w:rsidR="002C6E18">
          <w:fldChar w:fldCharType="begin"/>
        </w:r>
        <w:r w:rsidR="002C6E18">
          <w:instrText xml:space="preserve"> PAGEREF _Toc382321323 \h </w:instrText>
        </w:r>
        <w:r w:rsidR="002C6E18">
          <w:fldChar w:fldCharType="separate"/>
        </w:r>
        <w:r w:rsidR="007464B7">
          <w:rPr>
            <w:noProof/>
          </w:rPr>
          <w:t>74</w:t>
        </w:r>
        <w:r w:rsidR="002C6E18">
          <w:fldChar w:fldCharType="end"/>
        </w:r>
      </w:hyperlink>
    </w:p>
    <w:p w:rsidR="00783788" w:rsidRDefault="003B080D">
      <w:pPr>
        <w:pStyle w:val="10"/>
        <w:rPr>
          <w:rFonts w:ascii="Calibri" w:eastAsia="宋体" w:hAnsi="Calibri"/>
          <w:sz w:val="21"/>
          <w:szCs w:val="22"/>
        </w:rPr>
      </w:pPr>
      <w:hyperlink w:anchor="_Toc382321324" w:history="1">
        <w:r w:rsidR="002C6E18">
          <w:rPr>
            <w:rStyle w:val="af2"/>
            <w:rFonts w:ascii="宋体" w:hint="eastAsia"/>
            <w:b/>
            <w:kern w:val="0"/>
          </w:rPr>
          <w:t>十三、基金的财产</w:t>
        </w:r>
        <w:r w:rsidR="002C6E18">
          <w:tab/>
        </w:r>
        <w:r w:rsidR="002C6E18">
          <w:fldChar w:fldCharType="begin"/>
        </w:r>
        <w:r w:rsidR="002C6E18">
          <w:instrText xml:space="preserve"> PAGEREF _Toc382321324 \h </w:instrText>
        </w:r>
        <w:r w:rsidR="002C6E18">
          <w:fldChar w:fldCharType="separate"/>
        </w:r>
        <w:r w:rsidR="007464B7">
          <w:rPr>
            <w:noProof/>
          </w:rPr>
          <w:t>76</w:t>
        </w:r>
        <w:r w:rsidR="002C6E18">
          <w:fldChar w:fldCharType="end"/>
        </w:r>
      </w:hyperlink>
    </w:p>
    <w:p w:rsidR="00783788" w:rsidRDefault="003E6104">
      <w:pPr>
        <w:pStyle w:val="10"/>
        <w:rPr>
          <w:rFonts w:ascii="Calibri" w:eastAsia="宋体" w:hAnsi="Calibri"/>
          <w:sz w:val="21"/>
          <w:szCs w:val="22"/>
        </w:rPr>
      </w:pPr>
      <w:hyperlink w:anchor="_Toc382321325" w:history="1">
        <w:r w:rsidR="002C6E18">
          <w:rPr>
            <w:rStyle w:val="af2"/>
            <w:rFonts w:ascii="宋体" w:hint="eastAsia"/>
            <w:b/>
            <w:kern w:val="0"/>
          </w:rPr>
          <w:t>十四、基金资产的估值</w:t>
        </w:r>
        <w:r w:rsidR="002C6E18">
          <w:tab/>
        </w:r>
        <w:r w:rsidR="002C6E18">
          <w:fldChar w:fldCharType="begin"/>
        </w:r>
        <w:r w:rsidR="002C6E18">
          <w:instrText xml:space="preserve"> PAGEREF _Toc382321325 \h </w:instrText>
        </w:r>
        <w:r w:rsidR="002C6E18">
          <w:fldChar w:fldCharType="separate"/>
        </w:r>
        <w:r w:rsidR="007464B7">
          <w:rPr>
            <w:noProof/>
          </w:rPr>
          <w:t>76</w:t>
        </w:r>
        <w:r w:rsidR="002C6E18">
          <w:fldChar w:fldCharType="end"/>
        </w:r>
      </w:hyperlink>
    </w:p>
    <w:p w:rsidR="00783788" w:rsidRDefault="003E6104">
      <w:pPr>
        <w:pStyle w:val="10"/>
        <w:rPr>
          <w:rFonts w:ascii="Calibri" w:eastAsia="宋体" w:hAnsi="Calibri"/>
          <w:sz w:val="21"/>
          <w:szCs w:val="22"/>
        </w:rPr>
      </w:pPr>
      <w:hyperlink w:anchor="_Toc382321326" w:history="1">
        <w:r w:rsidR="002C6E18">
          <w:rPr>
            <w:rStyle w:val="af2"/>
            <w:rFonts w:ascii="宋体" w:hint="eastAsia"/>
            <w:b/>
            <w:kern w:val="0"/>
          </w:rPr>
          <w:t>十五、基金收益与分配</w:t>
        </w:r>
        <w:r w:rsidR="002C6E18">
          <w:tab/>
        </w:r>
        <w:r w:rsidR="002C6E18">
          <w:fldChar w:fldCharType="begin"/>
        </w:r>
        <w:r w:rsidR="002C6E18">
          <w:instrText xml:space="preserve"> PAGEREF _Toc382321326 \h </w:instrText>
        </w:r>
        <w:r w:rsidR="002C6E18">
          <w:fldChar w:fldCharType="separate"/>
        </w:r>
        <w:r w:rsidR="007464B7">
          <w:rPr>
            <w:noProof/>
          </w:rPr>
          <w:t>81</w:t>
        </w:r>
        <w:r w:rsidR="002C6E18">
          <w:fldChar w:fldCharType="end"/>
        </w:r>
      </w:hyperlink>
    </w:p>
    <w:p w:rsidR="00783788" w:rsidRDefault="003E6104">
      <w:pPr>
        <w:pStyle w:val="10"/>
        <w:rPr>
          <w:rFonts w:ascii="Calibri" w:eastAsia="宋体" w:hAnsi="Calibri"/>
          <w:sz w:val="21"/>
          <w:szCs w:val="22"/>
        </w:rPr>
      </w:pPr>
      <w:hyperlink w:anchor="_Toc382321327" w:history="1">
        <w:r w:rsidR="002C6E18">
          <w:rPr>
            <w:rStyle w:val="af2"/>
            <w:rFonts w:ascii="宋体" w:hint="eastAsia"/>
            <w:b/>
            <w:kern w:val="0"/>
          </w:rPr>
          <w:t>十六、基金的费用与税收</w:t>
        </w:r>
        <w:r w:rsidR="002C6E18">
          <w:tab/>
        </w:r>
        <w:r w:rsidR="002C6E18">
          <w:fldChar w:fldCharType="begin"/>
        </w:r>
        <w:r w:rsidR="002C6E18">
          <w:instrText xml:space="preserve"> PAGEREF _Toc382321327 \h </w:instrText>
        </w:r>
        <w:r w:rsidR="002C6E18">
          <w:fldChar w:fldCharType="separate"/>
        </w:r>
        <w:r w:rsidR="007464B7">
          <w:rPr>
            <w:noProof/>
          </w:rPr>
          <w:t>81</w:t>
        </w:r>
        <w:r w:rsidR="002C6E18">
          <w:fldChar w:fldCharType="end"/>
        </w:r>
      </w:hyperlink>
    </w:p>
    <w:p w:rsidR="00783788" w:rsidRDefault="003E6104">
      <w:pPr>
        <w:pStyle w:val="10"/>
        <w:rPr>
          <w:rFonts w:ascii="Calibri" w:eastAsia="宋体" w:hAnsi="Calibri"/>
          <w:sz w:val="21"/>
          <w:szCs w:val="22"/>
        </w:rPr>
      </w:pPr>
      <w:hyperlink w:anchor="_Toc382321328" w:history="1">
        <w:r w:rsidR="002C6E18">
          <w:rPr>
            <w:rStyle w:val="af2"/>
            <w:rFonts w:ascii="宋体" w:hint="eastAsia"/>
            <w:b/>
            <w:kern w:val="0"/>
          </w:rPr>
          <w:t>十七、基金的会计与审计</w:t>
        </w:r>
        <w:r w:rsidR="002C6E18">
          <w:tab/>
        </w:r>
        <w:r w:rsidR="002C6E18">
          <w:fldChar w:fldCharType="begin"/>
        </w:r>
        <w:r w:rsidR="002C6E18">
          <w:instrText xml:space="preserve"> PAGEREF _Toc382321328 \h </w:instrText>
        </w:r>
        <w:r w:rsidR="002C6E18">
          <w:fldChar w:fldCharType="separate"/>
        </w:r>
        <w:r w:rsidR="007464B7">
          <w:rPr>
            <w:noProof/>
          </w:rPr>
          <w:t>83</w:t>
        </w:r>
        <w:r w:rsidR="002C6E18">
          <w:fldChar w:fldCharType="end"/>
        </w:r>
      </w:hyperlink>
    </w:p>
    <w:p w:rsidR="00783788" w:rsidRDefault="003B080D">
      <w:pPr>
        <w:pStyle w:val="10"/>
        <w:rPr>
          <w:rFonts w:ascii="Calibri" w:eastAsia="宋体" w:hAnsi="Calibri"/>
          <w:sz w:val="21"/>
          <w:szCs w:val="22"/>
        </w:rPr>
      </w:pPr>
      <w:hyperlink w:anchor="_Toc382321329" w:history="1">
        <w:r w:rsidR="002C6E18">
          <w:rPr>
            <w:rStyle w:val="af2"/>
            <w:rFonts w:ascii="宋体" w:hint="eastAsia"/>
            <w:b/>
            <w:kern w:val="0"/>
          </w:rPr>
          <w:t>十八、基金的信息披露</w:t>
        </w:r>
        <w:r w:rsidR="002C6E18">
          <w:tab/>
        </w:r>
        <w:r w:rsidR="002C6E18">
          <w:fldChar w:fldCharType="begin"/>
        </w:r>
        <w:r w:rsidR="002C6E18">
          <w:instrText xml:space="preserve"> PAGEREF _Toc382321329 \h </w:instrText>
        </w:r>
        <w:r w:rsidR="002C6E18">
          <w:fldChar w:fldCharType="separate"/>
        </w:r>
        <w:r w:rsidR="007464B7">
          <w:rPr>
            <w:noProof/>
          </w:rPr>
          <w:t>84</w:t>
        </w:r>
        <w:r w:rsidR="002C6E18">
          <w:fldChar w:fldCharType="end"/>
        </w:r>
      </w:hyperlink>
    </w:p>
    <w:p w:rsidR="00783788" w:rsidRDefault="003B080D">
      <w:pPr>
        <w:pStyle w:val="10"/>
        <w:rPr>
          <w:rFonts w:ascii="Calibri" w:eastAsia="宋体" w:hAnsi="Calibri"/>
          <w:sz w:val="21"/>
          <w:szCs w:val="22"/>
        </w:rPr>
      </w:pPr>
      <w:hyperlink w:anchor="_Toc382321330" w:history="1">
        <w:r w:rsidR="002C6E18">
          <w:rPr>
            <w:rStyle w:val="af2"/>
            <w:rFonts w:ascii="宋体" w:hint="eastAsia"/>
            <w:b/>
            <w:kern w:val="0"/>
          </w:rPr>
          <w:t>十九、风险揭示</w:t>
        </w:r>
        <w:r w:rsidR="002C6E18">
          <w:tab/>
        </w:r>
        <w:r w:rsidR="002C6E18">
          <w:fldChar w:fldCharType="begin"/>
        </w:r>
        <w:r w:rsidR="002C6E18">
          <w:instrText xml:space="preserve"> PAGEREF _Toc382321330 \h </w:instrText>
        </w:r>
        <w:r w:rsidR="002C6E18">
          <w:fldChar w:fldCharType="separate"/>
        </w:r>
        <w:r w:rsidR="007464B7">
          <w:rPr>
            <w:noProof/>
          </w:rPr>
          <w:t>89</w:t>
        </w:r>
        <w:r w:rsidR="002C6E18">
          <w:fldChar w:fldCharType="end"/>
        </w:r>
      </w:hyperlink>
    </w:p>
    <w:p w:rsidR="00783788" w:rsidRDefault="003E6104">
      <w:pPr>
        <w:pStyle w:val="10"/>
        <w:rPr>
          <w:rFonts w:ascii="Calibri" w:eastAsia="宋体" w:hAnsi="Calibri"/>
          <w:sz w:val="21"/>
          <w:szCs w:val="22"/>
        </w:rPr>
      </w:pPr>
      <w:hyperlink w:anchor="_Toc382321331" w:history="1">
        <w:r w:rsidR="002C6E18">
          <w:rPr>
            <w:rStyle w:val="af2"/>
            <w:rFonts w:hint="eastAsia"/>
            <w:b/>
            <w:kern w:val="0"/>
          </w:rPr>
          <w:t>二十、基金合同的变更、终止与基金财产的清算</w:t>
        </w:r>
        <w:r w:rsidR="002C6E18">
          <w:tab/>
        </w:r>
        <w:r w:rsidR="002C6E18">
          <w:fldChar w:fldCharType="begin"/>
        </w:r>
        <w:r w:rsidR="002C6E18">
          <w:instrText xml:space="preserve"> PAGEREF _Toc382321331 \h </w:instrText>
        </w:r>
        <w:r w:rsidR="002C6E18">
          <w:fldChar w:fldCharType="separate"/>
        </w:r>
        <w:r w:rsidR="007464B7">
          <w:rPr>
            <w:noProof/>
          </w:rPr>
          <w:t>93</w:t>
        </w:r>
        <w:r w:rsidR="002C6E18">
          <w:fldChar w:fldCharType="end"/>
        </w:r>
      </w:hyperlink>
    </w:p>
    <w:p w:rsidR="00783788" w:rsidRDefault="003E6104">
      <w:pPr>
        <w:pStyle w:val="10"/>
        <w:rPr>
          <w:rFonts w:ascii="Calibri" w:eastAsia="宋体" w:hAnsi="Calibri"/>
          <w:sz w:val="21"/>
          <w:szCs w:val="22"/>
        </w:rPr>
      </w:pPr>
      <w:hyperlink w:anchor="_Toc382321332" w:history="1">
        <w:r w:rsidR="002C6E18">
          <w:rPr>
            <w:rStyle w:val="af2"/>
            <w:rFonts w:ascii="宋体" w:hint="eastAsia"/>
            <w:b/>
            <w:kern w:val="0"/>
          </w:rPr>
          <w:t>二十一、基金合同内容摘要</w:t>
        </w:r>
        <w:r w:rsidR="002C6E18">
          <w:tab/>
        </w:r>
        <w:r w:rsidR="002C6E18">
          <w:fldChar w:fldCharType="begin"/>
        </w:r>
        <w:r w:rsidR="002C6E18">
          <w:instrText xml:space="preserve"> PAGEREF _Toc382321332 \h </w:instrText>
        </w:r>
        <w:r w:rsidR="002C6E18">
          <w:fldChar w:fldCharType="separate"/>
        </w:r>
        <w:r w:rsidR="007464B7">
          <w:rPr>
            <w:noProof/>
          </w:rPr>
          <w:t>95</w:t>
        </w:r>
        <w:r w:rsidR="002C6E18">
          <w:fldChar w:fldCharType="end"/>
        </w:r>
      </w:hyperlink>
    </w:p>
    <w:p w:rsidR="00783788" w:rsidRDefault="003B080D">
      <w:pPr>
        <w:pStyle w:val="10"/>
        <w:rPr>
          <w:rFonts w:ascii="Calibri" w:eastAsia="宋体" w:hAnsi="Calibri"/>
          <w:sz w:val="21"/>
          <w:szCs w:val="22"/>
        </w:rPr>
      </w:pPr>
      <w:hyperlink w:anchor="_Toc382321333" w:history="1">
        <w:r w:rsidR="002C6E18">
          <w:rPr>
            <w:rStyle w:val="af2"/>
            <w:rFonts w:ascii="宋体" w:hint="eastAsia"/>
            <w:b/>
            <w:kern w:val="0"/>
          </w:rPr>
          <w:t>二十二、托管协议的内容摘要</w:t>
        </w:r>
        <w:r w:rsidR="002C6E18">
          <w:tab/>
        </w:r>
        <w:r w:rsidR="002C6E18">
          <w:fldChar w:fldCharType="begin"/>
        </w:r>
        <w:r w:rsidR="002C6E18">
          <w:instrText xml:space="preserve"> PAGEREF _Toc382321333 \h </w:instrText>
        </w:r>
        <w:r w:rsidR="002C6E18">
          <w:fldChar w:fldCharType="separate"/>
        </w:r>
        <w:r w:rsidR="007464B7">
          <w:rPr>
            <w:noProof/>
          </w:rPr>
          <w:t>109</w:t>
        </w:r>
        <w:r w:rsidR="002C6E18">
          <w:fldChar w:fldCharType="end"/>
        </w:r>
      </w:hyperlink>
    </w:p>
    <w:p w:rsidR="00783788" w:rsidRDefault="003E6104">
      <w:pPr>
        <w:pStyle w:val="10"/>
        <w:rPr>
          <w:rFonts w:ascii="Calibri" w:eastAsia="宋体" w:hAnsi="Calibri"/>
          <w:sz w:val="21"/>
          <w:szCs w:val="22"/>
        </w:rPr>
      </w:pPr>
      <w:hyperlink w:anchor="_Toc382321334" w:history="1">
        <w:r w:rsidR="002C6E18">
          <w:rPr>
            <w:rStyle w:val="af2"/>
            <w:rFonts w:ascii="宋体" w:hint="eastAsia"/>
            <w:b/>
            <w:kern w:val="0"/>
          </w:rPr>
          <w:t>二十三、对基金份额持有人的服务</w:t>
        </w:r>
        <w:r w:rsidR="002C6E18">
          <w:tab/>
        </w:r>
        <w:r w:rsidR="002C6E18">
          <w:fldChar w:fldCharType="begin"/>
        </w:r>
        <w:r w:rsidR="002C6E18">
          <w:instrText xml:space="preserve"> PAGEREF _Toc382321334 \h </w:instrText>
        </w:r>
        <w:r w:rsidR="002C6E18">
          <w:fldChar w:fldCharType="separate"/>
        </w:r>
        <w:r w:rsidR="007464B7">
          <w:rPr>
            <w:noProof/>
          </w:rPr>
          <w:t>125</w:t>
        </w:r>
        <w:r w:rsidR="002C6E18">
          <w:fldChar w:fldCharType="end"/>
        </w:r>
      </w:hyperlink>
    </w:p>
    <w:p w:rsidR="00783788" w:rsidRDefault="003B080D">
      <w:pPr>
        <w:pStyle w:val="10"/>
        <w:rPr>
          <w:rFonts w:ascii="Calibri" w:eastAsia="宋体" w:hAnsi="Calibri"/>
          <w:sz w:val="21"/>
          <w:szCs w:val="22"/>
        </w:rPr>
      </w:pPr>
      <w:hyperlink w:anchor="_Toc382321335" w:history="1">
        <w:r w:rsidR="002C6E18">
          <w:rPr>
            <w:rStyle w:val="af2"/>
            <w:rFonts w:ascii="宋体" w:hint="eastAsia"/>
            <w:b/>
            <w:kern w:val="0"/>
          </w:rPr>
          <w:t>二十四、其他应披露事项</w:t>
        </w:r>
        <w:r w:rsidR="002C6E18">
          <w:tab/>
        </w:r>
        <w:r w:rsidR="002C6E18">
          <w:fldChar w:fldCharType="begin"/>
        </w:r>
        <w:r w:rsidR="002C6E18">
          <w:instrText xml:space="preserve"> PAGEREF _Toc382321335 \h </w:instrText>
        </w:r>
        <w:r w:rsidR="002C6E18">
          <w:fldChar w:fldCharType="separate"/>
        </w:r>
        <w:r w:rsidR="007464B7">
          <w:rPr>
            <w:noProof/>
          </w:rPr>
          <w:t>127</w:t>
        </w:r>
        <w:r w:rsidR="002C6E18">
          <w:fldChar w:fldCharType="end"/>
        </w:r>
      </w:hyperlink>
    </w:p>
    <w:p w:rsidR="00783788" w:rsidRDefault="003E6104">
      <w:pPr>
        <w:pStyle w:val="10"/>
        <w:rPr>
          <w:rFonts w:ascii="Calibri" w:eastAsia="宋体" w:hAnsi="Calibri"/>
          <w:sz w:val="21"/>
          <w:szCs w:val="22"/>
        </w:rPr>
      </w:pPr>
      <w:hyperlink w:anchor="_Toc382321336" w:history="1">
        <w:r w:rsidR="002C6E18">
          <w:rPr>
            <w:rStyle w:val="af2"/>
            <w:rFonts w:ascii="宋体" w:hint="eastAsia"/>
            <w:b/>
            <w:kern w:val="0"/>
          </w:rPr>
          <w:t>二十五、招募说明书的存放及查阅方式</w:t>
        </w:r>
        <w:r w:rsidR="002C6E18">
          <w:tab/>
        </w:r>
        <w:r w:rsidR="002C6E18">
          <w:fldChar w:fldCharType="begin"/>
        </w:r>
        <w:r w:rsidR="002C6E18">
          <w:instrText xml:space="preserve"> PAGEREF _Toc382321336 \h </w:instrText>
        </w:r>
        <w:r w:rsidR="002C6E18">
          <w:fldChar w:fldCharType="separate"/>
        </w:r>
        <w:r w:rsidR="007464B7">
          <w:rPr>
            <w:noProof/>
          </w:rPr>
          <w:t>128</w:t>
        </w:r>
        <w:r w:rsidR="002C6E18">
          <w:fldChar w:fldCharType="end"/>
        </w:r>
      </w:hyperlink>
    </w:p>
    <w:p w:rsidR="00783788" w:rsidRDefault="003B080D">
      <w:pPr>
        <w:pStyle w:val="10"/>
        <w:rPr>
          <w:rFonts w:ascii="Calibri" w:eastAsia="宋体" w:hAnsi="Calibri"/>
          <w:sz w:val="21"/>
          <w:szCs w:val="22"/>
        </w:rPr>
      </w:pPr>
      <w:hyperlink w:anchor="_Toc382321337" w:history="1">
        <w:r w:rsidR="002C6E18">
          <w:rPr>
            <w:rStyle w:val="af2"/>
            <w:rFonts w:ascii="宋体" w:hint="eastAsia"/>
            <w:b/>
            <w:kern w:val="0"/>
          </w:rPr>
          <w:t>二十六、备查文件</w:t>
        </w:r>
        <w:r w:rsidR="002C6E18">
          <w:tab/>
        </w:r>
        <w:r w:rsidR="002C6E18">
          <w:fldChar w:fldCharType="begin"/>
        </w:r>
        <w:r w:rsidR="002C6E18">
          <w:instrText xml:space="preserve"> PAGEREF _Toc382321337 \h </w:instrText>
        </w:r>
        <w:r w:rsidR="002C6E18">
          <w:fldChar w:fldCharType="separate"/>
        </w:r>
        <w:r w:rsidR="007464B7">
          <w:rPr>
            <w:noProof/>
          </w:rPr>
          <w:t>129</w:t>
        </w:r>
        <w:r w:rsidR="002C6E18">
          <w:fldChar w:fldCharType="end"/>
        </w:r>
      </w:hyperlink>
    </w:p>
    <w:p w:rsidR="00783788" w:rsidRDefault="002C6E18">
      <w:pPr>
        <w:widowControl/>
        <w:adjustRightInd w:val="0"/>
        <w:snapToGrid w:val="0"/>
        <w:spacing w:beforeLines="100" w:before="240" w:afterLines="50" w:after="120" w:line="360" w:lineRule="auto"/>
        <w:jc w:val="center"/>
        <w:outlineLvl w:val="0"/>
        <w:rPr>
          <w:rFonts w:ascii="宋体" w:hAnsi="宋体"/>
          <w:b/>
          <w:kern w:val="0"/>
          <w:sz w:val="30"/>
        </w:rPr>
      </w:pPr>
      <w:r>
        <w:rPr>
          <w:kern w:val="0"/>
        </w:rPr>
        <w:fldChar w:fldCharType="end"/>
      </w:r>
      <w:r>
        <w:rPr>
          <w:rFonts w:ascii="宋体" w:hAnsi="宋体"/>
          <w:kern w:val="0"/>
          <w:sz w:val="24"/>
        </w:rPr>
        <w:br w:type="page"/>
      </w:r>
      <w:bookmarkStart w:id="2" w:name="_Toc382321312"/>
      <w:r>
        <w:rPr>
          <w:rFonts w:ascii="宋体" w:hAnsi="宋体" w:hint="eastAsia"/>
          <w:b/>
          <w:kern w:val="0"/>
          <w:sz w:val="30"/>
        </w:rPr>
        <w:t>一、绪言</w:t>
      </w:r>
      <w:bookmarkEnd w:id="0"/>
      <w:bookmarkEnd w:id="2"/>
    </w:p>
    <w:p w:rsidR="00783788" w:rsidRDefault="002C6E18">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《交银施罗德定期支付双息平衡混合型证券投资基金招募说明书》（以下简称“</w:t>
      </w:r>
      <w:r>
        <w:rPr>
          <w:rFonts w:ascii="宋体" w:hAnsi="宋体"/>
          <w:kern w:val="0"/>
          <w:sz w:val="24"/>
        </w:rPr>
        <w:t>本招募说明书</w:t>
      </w:r>
      <w:r>
        <w:rPr>
          <w:rFonts w:ascii="宋体" w:hAnsi="宋体" w:hint="eastAsia"/>
          <w:kern w:val="0"/>
          <w:sz w:val="24"/>
        </w:rPr>
        <w:t>”）</w:t>
      </w:r>
      <w:r>
        <w:rPr>
          <w:rFonts w:ascii="宋体" w:hAnsi="宋体"/>
          <w:kern w:val="0"/>
          <w:sz w:val="24"/>
        </w:rPr>
        <w:t>依据《中华人民共和国证券投资基金法》</w:t>
      </w:r>
      <w:r>
        <w:rPr>
          <w:rFonts w:ascii="宋体" w:hAnsi="宋体" w:hint="eastAsia"/>
          <w:kern w:val="0"/>
          <w:sz w:val="24"/>
        </w:rPr>
        <w:t>、《证券投资基金运作管理办法》、《证券投资基金销售管理办法》、《证券投资基金信息披露管理办法》和其他</w:t>
      </w:r>
      <w:r>
        <w:rPr>
          <w:rFonts w:ascii="宋体" w:hAnsi="宋体"/>
          <w:kern w:val="0"/>
          <w:sz w:val="24"/>
        </w:rPr>
        <w:t>相关法律法规</w:t>
      </w:r>
      <w:r>
        <w:rPr>
          <w:rFonts w:ascii="宋体" w:hAnsi="宋体" w:hint="eastAsia"/>
          <w:kern w:val="0"/>
          <w:sz w:val="24"/>
        </w:rPr>
        <w:t>的规定以及</w:t>
      </w:r>
      <w:r>
        <w:rPr>
          <w:rFonts w:ascii="宋体" w:hAnsi="宋体"/>
          <w:kern w:val="0"/>
          <w:sz w:val="24"/>
        </w:rPr>
        <w:t>《</w:t>
      </w:r>
      <w:r>
        <w:rPr>
          <w:rFonts w:ascii="宋体" w:hAnsi="宋体" w:hint="eastAsia"/>
          <w:kern w:val="0"/>
          <w:sz w:val="24"/>
        </w:rPr>
        <w:t>交银施罗德定期支付双息平衡混合型证券投资</w:t>
      </w:r>
      <w:r>
        <w:rPr>
          <w:rFonts w:ascii="宋体" w:hAnsi="宋体"/>
          <w:kern w:val="0"/>
          <w:sz w:val="24"/>
        </w:rPr>
        <w:t>基金</w:t>
      </w:r>
      <w:r>
        <w:rPr>
          <w:rFonts w:ascii="宋体" w:hAnsi="宋体" w:hint="eastAsia"/>
          <w:kern w:val="0"/>
          <w:sz w:val="24"/>
        </w:rPr>
        <w:t>基金</w:t>
      </w:r>
      <w:r>
        <w:rPr>
          <w:rFonts w:ascii="宋体" w:hAnsi="宋体"/>
          <w:kern w:val="0"/>
          <w:sz w:val="24"/>
        </w:rPr>
        <w:t xml:space="preserve">合同》（以下简称“基金合同”）编写。 </w:t>
      </w:r>
    </w:p>
    <w:p w:rsidR="00783788" w:rsidRDefault="002C6E18">
      <w:pPr>
        <w:widowControl/>
        <w:adjustRightInd w:val="0"/>
        <w:snapToGrid w:val="0"/>
        <w:spacing w:line="360" w:lineRule="auto"/>
        <w:ind w:firstLineChars="200" w:firstLine="480"/>
        <w:rPr>
          <w:rFonts w:ascii="宋体" w:hAnsi="宋体"/>
          <w:kern w:val="0"/>
          <w:sz w:val="24"/>
        </w:rPr>
      </w:pPr>
      <w:r>
        <w:rPr>
          <w:rFonts w:ascii="宋体" w:hAnsi="宋体"/>
          <w:kern w:val="0"/>
          <w:sz w:val="24"/>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r>
        <w:rPr>
          <w:rFonts w:ascii="宋体" w:hAnsi="宋体" w:hint="eastAsia"/>
          <w:kern w:val="0"/>
          <w:sz w:val="24"/>
        </w:rPr>
        <w:t>。</w:t>
      </w:r>
      <w:r>
        <w:rPr>
          <w:rFonts w:ascii="宋体" w:hAnsi="宋体"/>
          <w:kern w:val="0"/>
          <w:sz w:val="24"/>
        </w:rPr>
        <w:t xml:space="preserve"> </w:t>
      </w:r>
    </w:p>
    <w:p w:rsidR="00783788" w:rsidRDefault="002C6E18">
      <w:pPr>
        <w:widowControl/>
        <w:adjustRightInd w:val="0"/>
        <w:snapToGrid w:val="0"/>
        <w:spacing w:line="360" w:lineRule="auto"/>
        <w:ind w:firstLineChars="200" w:firstLine="480"/>
        <w:rPr>
          <w:rFonts w:ascii="宋体" w:hAnsi="宋体"/>
          <w:kern w:val="0"/>
          <w:sz w:val="24"/>
        </w:rPr>
      </w:pPr>
      <w:r>
        <w:rPr>
          <w:rFonts w:ascii="宋体" w:hAnsi="宋体"/>
          <w:kern w:val="0"/>
          <w:sz w:val="24"/>
        </w:rPr>
        <w:t>本招募说明书根据本基金的基金合同编写，并经中国证监会核准。基金合同是约定基金当事人之间权利、义务的法律文件。基金投资人自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r>
        <w:rPr>
          <w:rFonts w:ascii="宋体" w:hAnsi="宋体" w:hint="eastAsia"/>
          <w:kern w:val="0"/>
          <w:sz w:val="24"/>
        </w:rPr>
        <w:t>。</w:t>
      </w:r>
      <w:r>
        <w:rPr>
          <w:rFonts w:ascii="宋体" w:hAnsi="宋体"/>
          <w:kern w:val="0"/>
          <w:sz w:val="24"/>
        </w:rPr>
        <w:t xml:space="preserve"> </w:t>
      </w:r>
    </w:p>
    <w:p w:rsidR="00783788" w:rsidRDefault="00783788">
      <w:pPr>
        <w:widowControl/>
        <w:adjustRightInd w:val="0"/>
        <w:snapToGrid w:val="0"/>
        <w:spacing w:line="360" w:lineRule="auto"/>
        <w:ind w:firstLineChars="200" w:firstLine="482"/>
        <w:rPr>
          <w:rFonts w:ascii="宋体" w:hAnsi="宋体"/>
          <w:b/>
          <w:kern w:val="0"/>
          <w:sz w:val="24"/>
        </w:rPr>
      </w:pPr>
    </w:p>
    <w:p w:rsidR="00783788" w:rsidRDefault="002C6E18">
      <w:pPr>
        <w:widowControl/>
        <w:adjustRightInd w:val="0"/>
        <w:snapToGrid w:val="0"/>
        <w:spacing w:beforeLines="100" w:before="240" w:afterLines="50" w:after="120" w:line="360" w:lineRule="auto"/>
        <w:jc w:val="center"/>
        <w:outlineLvl w:val="0"/>
        <w:rPr>
          <w:rFonts w:ascii="宋体" w:hAnsi="宋体"/>
          <w:b/>
          <w:kern w:val="0"/>
          <w:sz w:val="30"/>
        </w:rPr>
      </w:pPr>
      <w:bookmarkStart w:id="3" w:name="_Toc109537380"/>
      <w:bookmarkStart w:id="4" w:name="_Toc382321313"/>
      <w:r>
        <w:rPr>
          <w:rFonts w:ascii="宋体" w:hAnsi="宋体" w:hint="eastAsia"/>
          <w:b/>
          <w:kern w:val="0"/>
          <w:sz w:val="30"/>
        </w:rPr>
        <w:t>二、释义</w:t>
      </w:r>
      <w:bookmarkEnd w:id="3"/>
      <w:bookmarkEnd w:id="4"/>
    </w:p>
    <w:p w:rsidR="00783788" w:rsidRDefault="002C6E18">
      <w:pPr>
        <w:adjustRightInd w:val="0"/>
        <w:snapToGrid w:val="0"/>
        <w:spacing w:line="360" w:lineRule="auto"/>
        <w:ind w:firstLineChars="200" w:firstLine="480"/>
        <w:rPr>
          <w:spacing w:val="8"/>
          <w:sz w:val="24"/>
          <w:szCs w:val="24"/>
        </w:rPr>
      </w:pPr>
      <w:r>
        <w:rPr>
          <w:rFonts w:hAnsi="宋体"/>
          <w:sz w:val="24"/>
          <w:szCs w:val="24"/>
        </w:rPr>
        <w:t>在本招募说明书中，除非文意另有所指，下列词语或简称具有如下含义：</w:t>
      </w:r>
    </w:p>
    <w:p w:rsidR="00783788" w:rsidRDefault="002C6E18">
      <w:pPr>
        <w:adjustRightInd w:val="0"/>
        <w:snapToGrid w:val="0"/>
        <w:spacing w:line="360" w:lineRule="auto"/>
        <w:ind w:firstLineChars="200" w:firstLine="480"/>
        <w:rPr>
          <w:bCs/>
          <w:sz w:val="24"/>
          <w:szCs w:val="24"/>
        </w:rPr>
      </w:pPr>
      <w:r>
        <w:rPr>
          <w:bCs/>
          <w:sz w:val="24"/>
          <w:szCs w:val="24"/>
        </w:rPr>
        <w:t>1</w:t>
      </w:r>
      <w:r>
        <w:rPr>
          <w:rFonts w:hAnsi="宋体"/>
          <w:bCs/>
          <w:sz w:val="24"/>
          <w:szCs w:val="24"/>
        </w:rPr>
        <w:t>、基金或本基金：指交银施罗德定期支付双息平衡混合型证券投资基金</w:t>
      </w:r>
    </w:p>
    <w:p w:rsidR="00783788" w:rsidRDefault="002C6E18">
      <w:pPr>
        <w:adjustRightInd w:val="0"/>
        <w:snapToGrid w:val="0"/>
        <w:spacing w:line="360" w:lineRule="auto"/>
        <w:ind w:firstLineChars="200" w:firstLine="480"/>
        <w:rPr>
          <w:bCs/>
          <w:sz w:val="24"/>
          <w:szCs w:val="24"/>
        </w:rPr>
      </w:pPr>
      <w:r>
        <w:rPr>
          <w:bCs/>
          <w:sz w:val="24"/>
          <w:szCs w:val="24"/>
        </w:rPr>
        <w:t>2</w:t>
      </w:r>
      <w:r>
        <w:rPr>
          <w:rFonts w:hAnsi="宋体"/>
          <w:bCs/>
          <w:sz w:val="24"/>
          <w:szCs w:val="24"/>
        </w:rPr>
        <w:t>、基金管理人或本基金管理人：指交银施罗德基金管理有限公司</w:t>
      </w:r>
      <w:r>
        <w:rPr>
          <w:bCs/>
          <w:sz w:val="24"/>
          <w:szCs w:val="24"/>
        </w:rPr>
        <w:t xml:space="preserve"> </w:t>
      </w:r>
    </w:p>
    <w:p w:rsidR="00783788" w:rsidRDefault="002C6E18">
      <w:pPr>
        <w:adjustRightInd w:val="0"/>
        <w:snapToGrid w:val="0"/>
        <w:spacing w:line="360" w:lineRule="auto"/>
        <w:ind w:firstLineChars="200" w:firstLine="480"/>
        <w:rPr>
          <w:bCs/>
          <w:sz w:val="24"/>
          <w:szCs w:val="24"/>
        </w:rPr>
      </w:pPr>
      <w:r>
        <w:rPr>
          <w:bCs/>
          <w:sz w:val="24"/>
          <w:szCs w:val="24"/>
        </w:rPr>
        <w:t>3</w:t>
      </w:r>
      <w:r>
        <w:rPr>
          <w:rFonts w:hAnsi="宋体"/>
          <w:bCs/>
          <w:sz w:val="24"/>
          <w:szCs w:val="24"/>
        </w:rPr>
        <w:t>、基金托管人或本基金托管人：指中国农业银行股份有限公司</w:t>
      </w:r>
    </w:p>
    <w:p w:rsidR="00783788" w:rsidRDefault="002C6E18">
      <w:pPr>
        <w:adjustRightInd w:val="0"/>
        <w:snapToGrid w:val="0"/>
        <w:spacing w:line="360" w:lineRule="auto"/>
        <w:ind w:firstLineChars="200" w:firstLine="480"/>
        <w:rPr>
          <w:bCs/>
          <w:sz w:val="24"/>
          <w:szCs w:val="24"/>
        </w:rPr>
      </w:pPr>
      <w:r>
        <w:rPr>
          <w:bCs/>
          <w:sz w:val="24"/>
          <w:szCs w:val="24"/>
        </w:rPr>
        <w:t>4</w:t>
      </w:r>
      <w:r>
        <w:rPr>
          <w:rFonts w:hAnsi="宋体"/>
          <w:bCs/>
          <w:sz w:val="24"/>
          <w:szCs w:val="24"/>
        </w:rPr>
        <w:t>、基金合同：指《交银施罗德定期支付双息平衡混合型证券投资基金基金合同》及对该基金合同的任何有效修订和补充</w:t>
      </w:r>
    </w:p>
    <w:p w:rsidR="00783788" w:rsidRDefault="002C6E18">
      <w:pPr>
        <w:adjustRightInd w:val="0"/>
        <w:snapToGrid w:val="0"/>
        <w:spacing w:line="360" w:lineRule="auto"/>
        <w:ind w:firstLineChars="200" w:firstLine="480"/>
        <w:rPr>
          <w:bCs/>
          <w:sz w:val="24"/>
          <w:szCs w:val="24"/>
        </w:rPr>
      </w:pPr>
      <w:r>
        <w:rPr>
          <w:bCs/>
          <w:sz w:val="24"/>
          <w:szCs w:val="24"/>
        </w:rPr>
        <w:t>5</w:t>
      </w:r>
      <w:r>
        <w:rPr>
          <w:rFonts w:hAnsi="宋体"/>
          <w:bCs/>
          <w:sz w:val="24"/>
          <w:szCs w:val="24"/>
        </w:rPr>
        <w:t>、托管协议：指基金管理人与基金托管人就本基金签订之《交银施罗德定期支付双息平衡混合型证券投资基金托管协议》及对该托管协议的任何有效修订和补充</w:t>
      </w:r>
    </w:p>
    <w:p w:rsidR="00783788" w:rsidRDefault="002C6E18">
      <w:pPr>
        <w:adjustRightInd w:val="0"/>
        <w:snapToGrid w:val="0"/>
        <w:spacing w:line="360" w:lineRule="auto"/>
        <w:ind w:firstLineChars="200" w:firstLine="480"/>
        <w:rPr>
          <w:bCs/>
          <w:sz w:val="24"/>
          <w:szCs w:val="24"/>
        </w:rPr>
      </w:pPr>
      <w:r>
        <w:rPr>
          <w:bCs/>
          <w:sz w:val="24"/>
          <w:szCs w:val="24"/>
        </w:rPr>
        <w:t>6</w:t>
      </w:r>
      <w:r>
        <w:rPr>
          <w:rFonts w:hAnsi="宋体"/>
          <w:bCs/>
          <w:sz w:val="24"/>
          <w:szCs w:val="24"/>
        </w:rPr>
        <w:t>、招募说明书或本招募说明书：指《交银施罗德定期支付双息平衡混合型证券投资基金招募说明书》及其定期的更新</w:t>
      </w:r>
    </w:p>
    <w:p w:rsidR="00783788" w:rsidRDefault="002C6E18">
      <w:pPr>
        <w:adjustRightInd w:val="0"/>
        <w:snapToGrid w:val="0"/>
        <w:spacing w:line="360" w:lineRule="auto"/>
        <w:ind w:firstLineChars="200" w:firstLine="480"/>
        <w:rPr>
          <w:bCs/>
          <w:sz w:val="24"/>
          <w:szCs w:val="24"/>
        </w:rPr>
      </w:pPr>
      <w:r>
        <w:rPr>
          <w:bCs/>
          <w:sz w:val="24"/>
          <w:szCs w:val="24"/>
        </w:rPr>
        <w:t>7</w:t>
      </w:r>
      <w:r>
        <w:rPr>
          <w:rFonts w:hAnsi="宋体"/>
          <w:bCs/>
          <w:sz w:val="24"/>
          <w:szCs w:val="24"/>
        </w:rPr>
        <w:t>、基金份额发售公告：指《交银施罗德定期支付双息平衡混合型证券投资基金基金份额发售公告》</w:t>
      </w:r>
    </w:p>
    <w:p w:rsidR="00783788" w:rsidRDefault="002C6E18">
      <w:pPr>
        <w:adjustRightInd w:val="0"/>
        <w:snapToGrid w:val="0"/>
        <w:spacing w:line="360" w:lineRule="auto"/>
        <w:ind w:firstLineChars="200" w:firstLine="480"/>
        <w:rPr>
          <w:bCs/>
          <w:sz w:val="24"/>
          <w:szCs w:val="24"/>
        </w:rPr>
      </w:pPr>
      <w:r>
        <w:rPr>
          <w:bCs/>
          <w:sz w:val="24"/>
          <w:szCs w:val="24"/>
        </w:rPr>
        <w:t>8</w:t>
      </w:r>
      <w:r>
        <w:rPr>
          <w:rFonts w:hAnsi="宋体"/>
          <w:bCs/>
          <w:sz w:val="24"/>
          <w:szCs w:val="24"/>
        </w:rPr>
        <w:t>、法律法规：指中国现行有效并公布实施的法律、行政法规、规范性文件、司法解释、行政规章以及其他对基金合同当事人有约束力的决定、决议、通知等</w:t>
      </w:r>
    </w:p>
    <w:p w:rsidR="00783788" w:rsidRDefault="002C6E18">
      <w:pPr>
        <w:adjustRightInd w:val="0"/>
        <w:snapToGrid w:val="0"/>
        <w:spacing w:line="360" w:lineRule="auto"/>
        <w:ind w:firstLineChars="200" w:firstLine="480"/>
        <w:rPr>
          <w:bCs/>
          <w:sz w:val="24"/>
          <w:szCs w:val="24"/>
        </w:rPr>
      </w:pPr>
      <w:r>
        <w:rPr>
          <w:bCs/>
          <w:sz w:val="24"/>
          <w:szCs w:val="24"/>
        </w:rPr>
        <w:t>9</w:t>
      </w:r>
      <w:r>
        <w:rPr>
          <w:rFonts w:hAnsi="宋体"/>
          <w:bCs/>
          <w:sz w:val="24"/>
          <w:szCs w:val="24"/>
        </w:rPr>
        <w:t>、中国：指中华人民共和国（仅为基金合同之目的，不包括香港特别行政区、澳门特别行政区及台湾地区）</w:t>
      </w:r>
    </w:p>
    <w:p w:rsidR="00783788" w:rsidRDefault="002C6E18">
      <w:pPr>
        <w:adjustRightInd w:val="0"/>
        <w:snapToGrid w:val="0"/>
        <w:spacing w:line="360" w:lineRule="auto"/>
        <w:ind w:firstLineChars="200" w:firstLine="480"/>
        <w:rPr>
          <w:bCs/>
          <w:sz w:val="24"/>
          <w:szCs w:val="24"/>
        </w:rPr>
      </w:pPr>
      <w:r>
        <w:rPr>
          <w:bCs/>
          <w:sz w:val="24"/>
          <w:szCs w:val="24"/>
        </w:rPr>
        <w:t>10</w:t>
      </w:r>
      <w:r>
        <w:rPr>
          <w:rFonts w:hAnsi="宋体"/>
          <w:bCs/>
          <w:sz w:val="24"/>
          <w:szCs w:val="24"/>
        </w:rPr>
        <w:t>、《基金法》：指</w:t>
      </w:r>
      <w:r>
        <w:rPr>
          <w:bCs/>
          <w:sz w:val="24"/>
          <w:szCs w:val="24"/>
        </w:rPr>
        <w:t>2003</w:t>
      </w:r>
      <w:r>
        <w:rPr>
          <w:rFonts w:hAnsi="宋体"/>
          <w:bCs/>
          <w:sz w:val="24"/>
          <w:szCs w:val="24"/>
        </w:rPr>
        <w:t>年</w:t>
      </w:r>
      <w:r>
        <w:rPr>
          <w:bCs/>
          <w:sz w:val="24"/>
          <w:szCs w:val="24"/>
        </w:rPr>
        <w:t>10</w:t>
      </w:r>
      <w:r>
        <w:rPr>
          <w:rFonts w:hAnsi="宋体"/>
          <w:bCs/>
          <w:sz w:val="24"/>
          <w:szCs w:val="24"/>
        </w:rPr>
        <w:t>月</w:t>
      </w:r>
      <w:r>
        <w:rPr>
          <w:bCs/>
          <w:sz w:val="24"/>
          <w:szCs w:val="24"/>
        </w:rPr>
        <w:t>28</w:t>
      </w:r>
      <w:r>
        <w:rPr>
          <w:rFonts w:hAnsi="宋体"/>
          <w:bCs/>
          <w:sz w:val="24"/>
          <w:szCs w:val="24"/>
        </w:rPr>
        <w:t>日经第十届全国人民代表大会常务委员会第五次会议通过，自</w:t>
      </w:r>
      <w:r>
        <w:rPr>
          <w:bCs/>
          <w:sz w:val="24"/>
          <w:szCs w:val="24"/>
        </w:rPr>
        <w:t>2004</w:t>
      </w:r>
      <w:r>
        <w:rPr>
          <w:rFonts w:hAnsi="宋体"/>
          <w:bCs/>
          <w:sz w:val="24"/>
          <w:szCs w:val="24"/>
        </w:rPr>
        <w:t>年</w:t>
      </w:r>
      <w:r>
        <w:rPr>
          <w:bCs/>
          <w:sz w:val="24"/>
          <w:szCs w:val="24"/>
        </w:rPr>
        <w:t>6</w:t>
      </w:r>
      <w:r>
        <w:rPr>
          <w:rFonts w:hAnsi="宋体"/>
          <w:bCs/>
          <w:sz w:val="24"/>
          <w:szCs w:val="24"/>
        </w:rPr>
        <w:t>月</w:t>
      </w:r>
      <w:r>
        <w:rPr>
          <w:bCs/>
          <w:sz w:val="24"/>
          <w:szCs w:val="24"/>
        </w:rPr>
        <w:t>1</w:t>
      </w:r>
      <w:r>
        <w:rPr>
          <w:rFonts w:hAnsi="宋体"/>
          <w:bCs/>
          <w:sz w:val="24"/>
          <w:szCs w:val="24"/>
        </w:rPr>
        <w:t>日起实施的《中华人民共和国证券投资基金法》及颁布机关对其不时做出的修订</w:t>
      </w:r>
    </w:p>
    <w:p w:rsidR="00783788" w:rsidRDefault="002C6E18">
      <w:pPr>
        <w:adjustRightInd w:val="0"/>
        <w:snapToGrid w:val="0"/>
        <w:spacing w:line="360" w:lineRule="auto"/>
        <w:ind w:firstLineChars="200" w:firstLine="480"/>
        <w:rPr>
          <w:bCs/>
          <w:sz w:val="24"/>
          <w:szCs w:val="24"/>
        </w:rPr>
      </w:pPr>
      <w:r>
        <w:rPr>
          <w:bCs/>
          <w:sz w:val="24"/>
          <w:szCs w:val="24"/>
        </w:rPr>
        <w:t>11</w:t>
      </w:r>
      <w:r>
        <w:rPr>
          <w:rFonts w:hAnsi="宋体"/>
          <w:bCs/>
          <w:sz w:val="24"/>
          <w:szCs w:val="24"/>
        </w:rPr>
        <w:t>、《销售办法》：指中国证监会</w:t>
      </w:r>
      <w:r>
        <w:rPr>
          <w:bCs/>
          <w:sz w:val="24"/>
          <w:szCs w:val="24"/>
        </w:rPr>
        <w:t>20</w:t>
      </w:r>
      <w:r>
        <w:rPr>
          <w:rFonts w:hint="eastAsia"/>
          <w:bCs/>
          <w:sz w:val="24"/>
          <w:szCs w:val="24"/>
        </w:rPr>
        <w:t>13</w:t>
      </w:r>
      <w:r>
        <w:rPr>
          <w:rFonts w:hAnsi="宋体"/>
          <w:bCs/>
          <w:sz w:val="24"/>
          <w:szCs w:val="24"/>
        </w:rPr>
        <w:t>年</w:t>
      </w:r>
      <w:r>
        <w:rPr>
          <w:rFonts w:hint="eastAsia"/>
          <w:bCs/>
          <w:sz w:val="24"/>
          <w:szCs w:val="24"/>
        </w:rPr>
        <w:t>3</w:t>
      </w:r>
      <w:r>
        <w:rPr>
          <w:rFonts w:hAnsi="宋体"/>
          <w:bCs/>
          <w:sz w:val="24"/>
          <w:szCs w:val="24"/>
        </w:rPr>
        <w:t>月</w:t>
      </w:r>
      <w:r>
        <w:rPr>
          <w:rFonts w:hint="eastAsia"/>
          <w:bCs/>
          <w:sz w:val="24"/>
          <w:szCs w:val="24"/>
        </w:rPr>
        <w:t>15</w:t>
      </w:r>
      <w:r>
        <w:rPr>
          <w:rFonts w:hAnsi="宋体"/>
          <w:bCs/>
          <w:sz w:val="24"/>
          <w:szCs w:val="24"/>
        </w:rPr>
        <w:t>日颁布、同年</w:t>
      </w:r>
      <w:r>
        <w:rPr>
          <w:rFonts w:hint="eastAsia"/>
          <w:bCs/>
          <w:sz w:val="24"/>
          <w:szCs w:val="24"/>
        </w:rPr>
        <w:t>6</w:t>
      </w:r>
      <w:r>
        <w:rPr>
          <w:rFonts w:hAnsi="宋体"/>
          <w:bCs/>
          <w:sz w:val="24"/>
          <w:szCs w:val="24"/>
        </w:rPr>
        <w:t>月</w:t>
      </w:r>
      <w:r>
        <w:rPr>
          <w:bCs/>
          <w:sz w:val="24"/>
          <w:szCs w:val="24"/>
        </w:rPr>
        <w:t>1</w:t>
      </w:r>
      <w:r>
        <w:rPr>
          <w:rFonts w:hAnsi="宋体"/>
          <w:bCs/>
          <w:sz w:val="24"/>
          <w:szCs w:val="24"/>
        </w:rPr>
        <w:t>日实施的《证券投资基金销售管理办法》及颁布机关对其不时做出的修订</w:t>
      </w:r>
    </w:p>
    <w:p w:rsidR="00783788" w:rsidRDefault="002C6E18">
      <w:pPr>
        <w:adjustRightInd w:val="0"/>
        <w:snapToGrid w:val="0"/>
        <w:spacing w:line="360" w:lineRule="auto"/>
        <w:ind w:firstLineChars="200" w:firstLine="480"/>
        <w:rPr>
          <w:bCs/>
          <w:sz w:val="24"/>
          <w:szCs w:val="24"/>
        </w:rPr>
      </w:pPr>
      <w:r>
        <w:rPr>
          <w:bCs/>
          <w:sz w:val="24"/>
          <w:szCs w:val="24"/>
        </w:rPr>
        <w:t>12</w:t>
      </w:r>
      <w:r>
        <w:rPr>
          <w:rFonts w:hAnsi="宋体"/>
          <w:bCs/>
          <w:sz w:val="24"/>
          <w:szCs w:val="24"/>
        </w:rPr>
        <w:t>、《信息披露办法》：指中国证监会</w:t>
      </w:r>
      <w:r>
        <w:rPr>
          <w:bCs/>
          <w:sz w:val="24"/>
          <w:szCs w:val="24"/>
        </w:rPr>
        <w:t>2004</w:t>
      </w:r>
      <w:r>
        <w:rPr>
          <w:rFonts w:hAnsi="宋体"/>
          <w:bCs/>
          <w:sz w:val="24"/>
          <w:szCs w:val="24"/>
        </w:rPr>
        <w:t>年</w:t>
      </w:r>
      <w:r>
        <w:rPr>
          <w:bCs/>
          <w:sz w:val="24"/>
          <w:szCs w:val="24"/>
        </w:rPr>
        <w:t>6</w:t>
      </w:r>
      <w:r>
        <w:rPr>
          <w:rFonts w:hAnsi="宋体"/>
          <w:bCs/>
          <w:sz w:val="24"/>
          <w:szCs w:val="24"/>
        </w:rPr>
        <w:t>月</w:t>
      </w:r>
      <w:r>
        <w:rPr>
          <w:bCs/>
          <w:sz w:val="24"/>
          <w:szCs w:val="24"/>
        </w:rPr>
        <w:t>8</w:t>
      </w:r>
      <w:r>
        <w:rPr>
          <w:rFonts w:hAnsi="宋体"/>
          <w:bCs/>
          <w:sz w:val="24"/>
          <w:szCs w:val="24"/>
        </w:rPr>
        <w:t>日颁布、同年</w:t>
      </w:r>
      <w:r>
        <w:rPr>
          <w:bCs/>
          <w:sz w:val="24"/>
          <w:szCs w:val="24"/>
        </w:rPr>
        <w:t>7</w:t>
      </w:r>
      <w:r>
        <w:rPr>
          <w:rFonts w:hAnsi="宋体"/>
          <w:bCs/>
          <w:sz w:val="24"/>
          <w:szCs w:val="24"/>
        </w:rPr>
        <w:t>月</w:t>
      </w:r>
      <w:r>
        <w:rPr>
          <w:bCs/>
          <w:sz w:val="24"/>
          <w:szCs w:val="24"/>
        </w:rPr>
        <w:t>1</w:t>
      </w:r>
      <w:r>
        <w:rPr>
          <w:rFonts w:hAnsi="宋体"/>
          <w:bCs/>
          <w:sz w:val="24"/>
          <w:szCs w:val="24"/>
        </w:rPr>
        <w:t>日实施的《证券投资基金信息披露管理办法》及颁布机关对其不时做出的修订</w:t>
      </w:r>
    </w:p>
    <w:p w:rsidR="00783788" w:rsidRDefault="002C6E18">
      <w:pPr>
        <w:adjustRightInd w:val="0"/>
        <w:snapToGrid w:val="0"/>
        <w:spacing w:line="360" w:lineRule="auto"/>
        <w:ind w:firstLineChars="200" w:firstLine="480"/>
        <w:rPr>
          <w:bCs/>
          <w:sz w:val="24"/>
          <w:szCs w:val="24"/>
        </w:rPr>
      </w:pPr>
      <w:r>
        <w:rPr>
          <w:bCs/>
          <w:sz w:val="24"/>
          <w:szCs w:val="24"/>
        </w:rPr>
        <w:t>13</w:t>
      </w:r>
      <w:r>
        <w:rPr>
          <w:rFonts w:hAnsi="宋体"/>
          <w:bCs/>
          <w:sz w:val="24"/>
          <w:szCs w:val="24"/>
        </w:rPr>
        <w:t>、《运作办法》：指中国证监会</w:t>
      </w:r>
      <w:r>
        <w:rPr>
          <w:bCs/>
          <w:sz w:val="24"/>
          <w:szCs w:val="24"/>
        </w:rPr>
        <w:t>2004</w:t>
      </w:r>
      <w:r>
        <w:rPr>
          <w:rFonts w:hAnsi="宋体"/>
          <w:bCs/>
          <w:sz w:val="24"/>
          <w:szCs w:val="24"/>
        </w:rPr>
        <w:t>年</w:t>
      </w:r>
      <w:r>
        <w:rPr>
          <w:bCs/>
          <w:sz w:val="24"/>
          <w:szCs w:val="24"/>
        </w:rPr>
        <w:t>6</w:t>
      </w:r>
      <w:r>
        <w:rPr>
          <w:rFonts w:hAnsi="宋体"/>
          <w:bCs/>
          <w:sz w:val="24"/>
          <w:szCs w:val="24"/>
        </w:rPr>
        <w:t>月</w:t>
      </w:r>
      <w:r>
        <w:rPr>
          <w:bCs/>
          <w:sz w:val="24"/>
          <w:szCs w:val="24"/>
        </w:rPr>
        <w:t>29</w:t>
      </w:r>
      <w:r>
        <w:rPr>
          <w:rFonts w:hAnsi="宋体"/>
          <w:bCs/>
          <w:sz w:val="24"/>
          <w:szCs w:val="24"/>
        </w:rPr>
        <w:t>日颁布、同年</w:t>
      </w:r>
      <w:r>
        <w:rPr>
          <w:bCs/>
          <w:sz w:val="24"/>
          <w:szCs w:val="24"/>
        </w:rPr>
        <w:t>7</w:t>
      </w:r>
      <w:r>
        <w:rPr>
          <w:rFonts w:hAnsi="宋体"/>
          <w:bCs/>
          <w:sz w:val="24"/>
          <w:szCs w:val="24"/>
        </w:rPr>
        <w:t>月</w:t>
      </w:r>
      <w:r>
        <w:rPr>
          <w:bCs/>
          <w:sz w:val="24"/>
          <w:szCs w:val="24"/>
        </w:rPr>
        <w:t>1</w:t>
      </w:r>
      <w:r>
        <w:rPr>
          <w:rFonts w:hAnsi="宋体"/>
          <w:bCs/>
          <w:sz w:val="24"/>
          <w:szCs w:val="24"/>
        </w:rPr>
        <w:t>日实施的《证券投资基金运作管理办法》及颁布机关对其不时做出的修订</w:t>
      </w:r>
    </w:p>
    <w:p w:rsidR="00783788" w:rsidRDefault="002C6E18">
      <w:pPr>
        <w:adjustRightInd w:val="0"/>
        <w:snapToGrid w:val="0"/>
        <w:spacing w:line="360" w:lineRule="auto"/>
        <w:ind w:firstLineChars="200" w:firstLine="480"/>
        <w:rPr>
          <w:bCs/>
          <w:sz w:val="24"/>
          <w:szCs w:val="24"/>
        </w:rPr>
      </w:pPr>
      <w:r>
        <w:rPr>
          <w:bCs/>
          <w:sz w:val="24"/>
          <w:szCs w:val="24"/>
        </w:rPr>
        <w:t>14</w:t>
      </w:r>
      <w:r>
        <w:rPr>
          <w:rFonts w:hAnsi="宋体"/>
          <w:bCs/>
          <w:sz w:val="24"/>
          <w:szCs w:val="24"/>
        </w:rPr>
        <w:t>、中国证监会：指中国证券监督管理委员会</w:t>
      </w:r>
    </w:p>
    <w:p w:rsidR="00783788" w:rsidRDefault="002C6E18">
      <w:pPr>
        <w:adjustRightInd w:val="0"/>
        <w:snapToGrid w:val="0"/>
        <w:spacing w:line="360" w:lineRule="auto"/>
        <w:ind w:firstLineChars="200" w:firstLine="480"/>
        <w:rPr>
          <w:bCs/>
          <w:sz w:val="24"/>
          <w:szCs w:val="24"/>
        </w:rPr>
      </w:pPr>
      <w:r>
        <w:rPr>
          <w:bCs/>
          <w:sz w:val="24"/>
          <w:szCs w:val="24"/>
        </w:rPr>
        <w:t>15</w:t>
      </w:r>
      <w:r>
        <w:rPr>
          <w:rFonts w:hAnsi="宋体"/>
          <w:bCs/>
          <w:sz w:val="24"/>
          <w:szCs w:val="24"/>
        </w:rPr>
        <w:t>、银行业监督管理机构：指中国人民银行和</w:t>
      </w:r>
      <w:r>
        <w:rPr>
          <w:bCs/>
          <w:sz w:val="24"/>
          <w:szCs w:val="24"/>
        </w:rPr>
        <w:t>/</w:t>
      </w:r>
      <w:r>
        <w:rPr>
          <w:rFonts w:hAnsi="宋体"/>
          <w:bCs/>
          <w:sz w:val="24"/>
          <w:szCs w:val="24"/>
        </w:rPr>
        <w:t>或中国银行业监督管理委员会</w:t>
      </w:r>
    </w:p>
    <w:p w:rsidR="00783788" w:rsidRDefault="002C6E18">
      <w:pPr>
        <w:adjustRightInd w:val="0"/>
        <w:snapToGrid w:val="0"/>
        <w:spacing w:line="360" w:lineRule="auto"/>
        <w:ind w:firstLineChars="200" w:firstLine="480"/>
        <w:rPr>
          <w:bCs/>
          <w:sz w:val="24"/>
          <w:szCs w:val="24"/>
        </w:rPr>
      </w:pPr>
      <w:r>
        <w:rPr>
          <w:bCs/>
          <w:sz w:val="24"/>
          <w:szCs w:val="24"/>
        </w:rPr>
        <w:t>16</w:t>
      </w:r>
      <w:r>
        <w:rPr>
          <w:rFonts w:hAnsi="宋体"/>
          <w:bCs/>
          <w:sz w:val="24"/>
          <w:szCs w:val="24"/>
        </w:rPr>
        <w:t>、基金合同当事人：指受基金合同约束，根据基金合同享有权利并承担义务的法律主体，包括基金管理人、基金托管人和基金份额持有人</w:t>
      </w:r>
    </w:p>
    <w:p w:rsidR="00783788" w:rsidRDefault="002C6E18">
      <w:pPr>
        <w:adjustRightInd w:val="0"/>
        <w:snapToGrid w:val="0"/>
        <w:spacing w:line="360" w:lineRule="auto"/>
        <w:ind w:firstLineChars="200" w:firstLine="480"/>
        <w:rPr>
          <w:bCs/>
          <w:sz w:val="24"/>
          <w:szCs w:val="24"/>
        </w:rPr>
      </w:pPr>
      <w:r>
        <w:rPr>
          <w:bCs/>
          <w:sz w:val="24"/>
          <w:szCs w:val="24"/>
        </w:rPr>
        <w:t>17</w:t>
      </w:r>
      <w:r>
        <w:rPr>
          <w:rFonts w:hAnsi="宋体"/>
          <w:bCs/>
          <w:sz w:val="24"/>
          <w:szCs w:val="24"/>
        </w:rPr>
        <w:t>、个人投资者：指依据有关法律法规规定可投资于证券投资基金的自然人</w:t>
      </w:r>
    </w:p>
    <w:p w:rsidR="00783788" w:rsidRDefault="002C6E18">
      <w:pPr>
        <w:adjustRightInd w:val="0"/>
        <w:snapToGrid w:val="0"/>
        <w:spacing w:line="360" w:lineRule="auto"/>
        <w:ind w:firstLineChars="200" w:firstLine="480"/>
        <w:rPr>
          <w:bCs/>
          <w:sz w:val="24"/>
          <w:szCs w:val="24"/>
        </w:rPr>
      </w:pPr>
      <w:r>
        <w:rPr>
          <w:bCs/>
          <w:sz w:val="24"/>
          <w:szCs w:val="24"/>
        </w:rPr>
        <w:t>18</w:t>
      </w:r>
      <w:r>
        <w:rPr>
          <w:rFonts w:hAnsi="宋体"/>
          <w:bCs/>
          <w:sz w:val="24"/>
          <w:szCs w:val="24"/>
        </w:rPr>
        <w:t>、机构投资者：指依法可以投资证券投资基金的、在中国境内合法登记并存续或经有关政府部门批准设立并存续的企业法人、事业法人、社会团体或其他组织</w:t>
      </w:r>
    </w:p>
    <w:p w:rsidR="00783788" w:rsidRDefault="002C6E18">
      <w:pPr>
        <w:adjustRightInd w:val="0"/>
        <w:snapToGrid w:val="0"/>
        <w:spacing w:line="360" w:lineRule="auto"/>
        <w:ind w:firstLineChars="200" w:firstLine="480"/>
        <w:rPr>
          <w:bCs/>
          <w:sz w:val="24"/>
          <w:szCs w:val="24"/>
        </w:rPr>
      </w:pPr>
      <w:r>
        <w:rPr>
          <w:bCs/>
          <w:sz w:val="24"/>
          <w:szCs w:val="24"/>
        </w:rPr>
        <w:t>19</w:t>
      </w:r>
      <w:r>
        <w:rPr>
          <w:rFonts w:hAnsi="宋体"/>
          <w:bCs/>
          <w:sz w:val="24"/>
          <w:szCs w:val="24"/>
        </w:rPr>
        <w:t>、合格境外机构投资者：指符合《合格境外机构投资者境内证券投资管理办法》及相关法律法规规定可以投资于在中国境内依法募集的证券投资基金的中国境外的机构投资者</w:t>
      </w:r>
    </w:p>
    <w:p w:rsidR="00783788" w:rsidRDefault="002C6E18">
      <w:pPr>
        <w:adjustRightInd w:val="0"/>
        <w:snapToGrid w:val="0"/>
        <w:spacing w:line="360" w:lineRule="auto"/>
        <w:ind w:firstLineChars="200" w:firstLine="480"/>
        <w:rPr>
          <w:bCs/>
          <w:sz w:val="24"/>
          <w:szCs w:val="24"/>
        </w:rPr>
      </w:pPr>
      <w:r>
        <w:rPr>
          <w:bCs/>
          <w:sz w:val="24"/>
          <w:szCs w:val="24"/>
        </w:rPr>
        <w:t>20</w:t>
      </w:r>
      <w:r>
        <w:rPr>
          <w:rFonts w:hAnsi="宋体"/>
          <w:bCs/>
          <w:sz w:val="24"/>
          <w:szCs w:val="24"/>
        </w:rPr>
        <w:t>、投资人或投资者：指个人投资者、机构投资者和合格境外机构投资者以及法律法规或中国证监会允许购买证券投资基金的其他投资人的合称</w:t>
      </w:r>
    </w:p>
    <w:p w:rsidR="00783788" w:rsidRDefault="002C6E18">
      <w:pPr>
        <w:adjustRightInd w:val="0"/>
        <w:snapToGrid w:val="0"/>
        <w:spacing w:line="360" w:lineRule="auto"/>
        <w:ind w:firstLineChars="200" w:firstLine="480"/>
        <w:rPr>
          <w:bCs/>
          <w:sz w:val="24"/>
          <w:szCs w:val="24"/>
        </w:rPr>
      </w:pPr>
      <w:r>
        <w:rPr>
          <w:bCs/>
          <w:sz w:val="24"/>
          <w:szCs w:val="24"/>
        </w:rPr>
        <w:t>21</w:t>
      </w:r>
      <w:r>
        <w:rPr>
          <w:rFonts w:hAnsi="宋体"/>
          <w:bCs/>
          <w:sz w:val="24"/>
          <w:szCs w:val="24"/>
        </w:rPr>
        <w:t>、基金份额持有人：指依基金合同和招募说明书合法取得基金份额的投资人</w:t>
      </w:r>
    </w:p>
    <w:p w:rsidR="00783788" w:rsidRDefault="002C6E18">
      <w:pPr>
        <w:adjustRightInd w:val="0"/>
        <w:snapToGrid w:val="0"/>
        <w:spacing w:line="360" w:lineRule="auto"/>
        <w:ind w:firstLineChars="200" w:firstLine="480"/>
        <w:rPr>
          <w:bCs/>
          <w:sz w:val="24"/>
          <w:szCs w:val="24"/>
        </w:rPr>
      </w:pPr>
      <w:r>
        <w:rPr>
          <w:bCs/>
          <w:sz w:val="24"/>
          <w:szCs w:val="24"/>
        </w:rPr>
        <w:t>22</w:t>
      </w:r>
      <w:r>
        <w:rPr>
          <w:rFonts w:hAnsi="宋体"/>
          <w:bCs/>
          <w:sz w:val="24"/>
          <w:szCs w:val="24"/>
        </w:rPr>
        <w:t>、基金销售业务：指基金管理人或销售机构宣传推介基金，发售基金份额，办理基金份额的申购、赎回、转换、转托管及定期定额投资等业务</w:t>
      </w:r>
    </w:p>
    <w:p w:rsidR="00783788" w:rsidRDefault="002C6E18">
      <w:pPr>
        <w:adjustRightInd w:val="0"/>
        <w:snapToGrid w:val="0"/>
        <w:spacing w:line="360" w:lineRule="auto"/>
        <w:ind w:firstLineChars="200" w:firstLine="480"/>
        <w:rPr>
          <w:bCs/>
          <w:sz w:val="24"/>
          <w:szCs w:val="24"/>
        </w:rPr>
      </w:pPr>
      <w:r>
        <w:rPr>
          <w:bCs/>
          <w:sz w:val="24"/>
          <w:szCs w:val="24"/>
        </w:rPr>
        <w:t>23</w:t>
      </w:r>
      <w:r>
        <w:rPr>
          <w:rFonts w:hAnsi="宋体"/>
          <w:bCs/>
          <w:sz w:val="24"/>
          <w:szCs w:val="24"/>
        </w:rPr>
        <w:t>、直销机构：指交银施罗德基金管理有限公司</w:t>
      </w:r>
    </w:p>
    <w:p w:rsidR="00783788" w:rsidRDefault="002C6E18">
      <w:pPr>
        <w:adjustRightInd w:val="0"/>
        <w:snapToGrid w:val="0"/>
        <w:spacing w:line="360" w:lineRule="auto"/>
        <w:ind w:firstLineChars="200" w:firstLine="480"/>
        <w:rPr>
          <w:bCs/>
          <w:sz w:val="24"/>
          <w:szCs w:val="24"/>
        </w:rPr>
      </w:pPr>
      <w:r>
        <w:rPr>
          <w:bCs/>
          <w:sz w:val="24"/>
          <w:szCs w:val="24"/>
        </w:rPr>
        <w:t>24</w:t>
      </w:r>
      <w:r>
        <w:rPr>
          <w:rFonts w:hAnsi="宋体"/>
          <w:bCs/>
          <w:sz w:val="24"/>
          <w:szCs w:val="24"/>
        </w:rPr>
        <w:t>、代销机构：指符合《销售办法》和中国证监会规定的其他条件，取得基金销售业务资格并与基金管理人签订了基金销售服务代理协议，代为办理基金销售业务的机构</w:t>
      </w:r>
    </w:p>
    <w:p w:rsidR="00783788" w:rsidRDefault="002C6E18">
      <w:pPr>
        <w:adjustRightInd w:val="0"/>
        <w:snapToGrid w:val="0"/>
        <w:spacing w:line="360" w:lineRule="auto"/>
        <w:ind w:firstLineChars="200" w:firstLine="480"/>
        <w:rPr>
          <w:bCs/>
          <w:sz w:val="24"/>
          <w:szCs w:val="24"/>
        </w:rPr>
      </w:pPr>
      <w:r>
        <w:rPr>
          <w:bCs/>
          <w:sz w:val="24"/>
          <w:szCs w:val="24"/>
        </w:rPr>
        <w:t>25</w:t>
      </w:r>
      <w:r>
        <w:rPr>
          <w:rFonts w:hAnsi="宋体"/>
          <w:bCs/>
          <w:sz w:val="24"/>
          <w:szCs w:val="24"/>
        </w:rPr>
        <w:t>、销售机构：指直销机构和代销机构</w:t>
      </w:r>
    </w:p>
    <w:p w:rsidR="00783788" w:rsidRDefault="002C6E18">
      <w:pPr>
        <w:adjustRightInd w:val="0"/>
        <w:snapToGrid w:val="0"/>
        <w:spacing w:line="360" w:lineRule="auto"/>
        <w:ind w:firstLineChars="200" w:firstLine="480"/>
        <w:rPr>
          <w:bCs/>
          <w:sz w:val="24"/>
          <w:szCs w:val="24"/>
        </w:rPr>
      </w:pPr>
      <w:r>
        <w:rPr>
          <w:bCs/>
          <w:sz w:val="24"/>
          <w:szCs w:val="24"/>
        </w:rPr>
        <w:t>26</w:t>
      </w:r>
      <w:r>
        <w:rPr>
          <w:rFonts w:hAnsi="宋体"/>
          <w:bCs/>
          <w:sz w:val="24"/>
          <w:szCs w:val="24"/>
        </w:rPr>
        <w:t>、登记业务：指基金登记、存管、过户、清算和结算业务，具体内容包括投资人基金账户的建立和管理、基金份额登记、基金销售业务的确认、清算和结算、代理发放红利、建立并保管基金份额持有人名册和办理非交易过户等</w:t>
      </w:r>
    </w:p>
    <w:p w:rsidR="00783788" w:rsidRDefault="002C6E18">
      <w:pPr>
        <w:adjustRightInd w:val="0"/>
        <w:snapToGrid w:val="0"/>
        <w:spacing w:line="360" w:lineRule="auto"/>
        <w:ind w:firstLineChars="200" w:firstLine="480"/>
        <w:rPr>
          <w:bCs/>
          <w:sz w:val="24"/>
          <w:szCs w:val="24"/>
        </w:rPr>
      </w:pPr>
      <w:r>
        <w:rPr>
          <w:bCs/>
          <w:sz w:val="24"/>
          <w:szCs w:val="24"/>
        </w:rPr>
        <w:t>27</w:t>
      </w:r>
      <w:r>
        <w:rPr>
          <w:rFonts w:hAnsi="宋体"/>
          <w:bCs/>
          <w:sz w:val="24"/>
          <w:szCs w:val="24"/>
        </w:rPr>
        <w:t>、登记机构：指办理登记业务的机构。基金的登记机构为交银施罗德基金管理有限公司或接受交银施罗德基金管理有限公司委托代为办理登记业务的机构</w:t>
      </w:r>
    </w:p>
    <w:p w:rsidR="00783788" w:rsidRDefault="002C6E18">
      <w:pPr>
        <w:adjustRightInd w:val="0"/>
        <w:snapToGrid w:val="0"/>
        <w:spacing w:line="360" w:lineRule="auto"/>
        <w:ind w:firstLineChars="200" w:firstLine="480"/>
        <w:rPr>
          <w:bCs/>
          <w:sz w:val="24"/>
          <w:szCs w:val="24"/>
        </w:rPr>
      </w:pPr>
      <w:r>
        <w:rPr>
          <w:bCs/>
          <w:sz w:val="24"/>
          <w:szCs w:val="24"/>
        </w:rPr>
        <w:t>28</w:t>
      </w:r>
      <w:r>
        <w:rPr>
          <w:rFonts w:hAnsi="宋体"/>
          <w:bCs/>
          <w:sz w:val="24"/>
          <w:szCs w:val="24"/>
        </w:rPr>
        <w:t>、基金账户：指登记机构为投资人开立的、记录其持有的、基金管理人所管理的基金份额余额及其变动情况的账户</w:t>
      </w:r>
    </w:p>
    <w:p w:rsidR="00783788" w:rsidRDefault="002C6E18">
      <w:pPr>
        <w:adjustRightInd w:val="0"/>
        <w:snapToGrid w:val="0"/>
        <w:spacing w:line="360" w:lineRule="auto"/>
        <w:ind w:firstLineChars="200" w:firstLine="480"/>
        <w:rPr>
          <w:bCs/>
          <w:sz w:val="24"/>
          <w:szCs w:val="24"/>
        </w:rPr>
      </w:pPr>
      <w:r>
        <w:rPr>
          <w:bCs/>
          <w:sz w:val="24"/>
          <w:szCs w:val="24"/>
        </w:rPr>
        <w:t>29</w:t>
      </w:r>
      <w:r>
        <w:rPr>
          <w:rFonts w:hAnsi="宋体"/>
          <w:bCs/>
          <w:sz w:val="24"/>
          <w:szCs w:val="24"/>
        </w:rPr>
        <w:t>、基金交易账户：指销售机构为投资人开立的、记录投资人通过该销售机构</w:t>
      </w:r>
      <w:r>
        <w:rPr>
          <w:rFonts w:hAnsi="宋体"/>
          <w:sz w:val="24"/>
          <w:szCs w:val="24"/>
        </w:rPr>
        <w:t>办理认购、申购、赎回、转换及转托管等业务而引起</w:t>
      </w:r>
      <w:r>
        <w:rPr>
          <w:rFonts w:hAnsi="宋体"/>
          <w:bCs/>
          <w:sz w:val="24"/>
          <w:szCs w:val="24"/>
        </w:rPr>
        <w:t>的基金份额变动及结余情况的账户</w:t>
      </w:r>
    </w:p>
    <w:p w:rsidR="00783788" w:rsidRDefault="002C6E18">
      <w:pPr>
        <w:adjustRightInd w:val="0"/>
        <w:snapToGrid w:val="0"/>
        <w:spacing w:line="360" w:lineRule="auto"/>
        <w:ind w:firstLineChars="200" w:firstLine="480"/>
        <w:rPr>
          <w:bCs/>
          <w:sz w:val="24"/>
          <w:szCs w:val="24"/>
        </w:rPr>
      </w:pPr>
      <w:r>
        <w:rPr>
          <w:bCs/>
          <w:sz w:val="24"/>
          <w:szCs w:val="24"/>
        </w:rPr>
        <w:t>30</w:t>
      </w:r>
      <w:r>
        <w:rPr>
          <w:rFonts w:hAnsi="宋体"/>
          <w:bCs/>
          <w:sz w:val="24"/>
          <w:szCs w:val="24"/>
        </w:rPr>
        <w:t>、基金合同生效日：指基金募集达到法律法规规定及基金合同规定的条件，基金管理人向中国证监会办理基金备案手续完毕，并获得中国证监会书面确认的日期</w:t>
      </w:r>
    </w:p>
    <w:p w:rsidR="00783788" w:rsidRDefault="002C6E18">
      <w:pPr>
        <w:adjustRightInd w:val="0"/>
        <w:snapToGrid w:val="0"/>
        <w:spacing w:line="360" w:lineRule="auto"/>
        <w:ind w:firstLineChars="200" w:firstLine="480"/>
        <w:rPr>
          <w:bCs/>
          <w:sz w:val="24"/>
          <w:szCs w:val="24"/>
        </w:rPr>
      </w:pPr>
      <w:r>
        <w:rPr>
          <w:bCs/>
          <w:sz w:val="24"/>
          <w:szCs w:val="24"/>
        </w:rPr>
        <w:t>31</w:t>
      </w:r>
      <w:r>
        <w:rPr>
          <w:rFonts w:hAnsi="宋体"/>
          <w:bCs/>
          <w:sz w:val="24"/>
          <w:szCs w:val="24"/>
        </w:rPr>
        <w:t>、基金合同终止日：指基金合同规定的基金合同终止事由出现后，基金财产清算完毕，清算结果报中国证监会备案并予以公告的日期</w:t>
      </w:r>
    </w:p>
    <w:p w:rsidR="00783788" w:rsidRDefault="002C6E18">
      <w:pPr>
        <w:adjustRightInd w:val="0"/>
        <w:snapToGrid w:val="0"/>
        <w:spacing w:line="360" w:lineRule="auto"/>
        <w:ind w:firstLineChars="200" w:firstLine="480"/>
        <w:rPr>
          <w:bCs/>
          <w:sz w:val="24"/>
          <w:szCs w:val="24"/>
        </w:rPr>
      </w:pPr>
      <w:r>
        <w:rPr>
          <w:bCs/>
          <w:sz w:val="24"/>
          <w:szCs w:val="24"/>
        </w:rPr>
        <w:t>32</w:t>
      </w:r>
      <w:r>
        <w:rPr>
          <w:rFonts w:hAnsi="宋体"/>
          <w:bCs/>
          <w:sz w:val="24"/>
          <w:szCs w:val="24"/>
        </w:rPr>
        <w:t>、基金募集期：指自基金份额发售之日起至发售结束之日止的期间，最长不得超过</w:t>
      </w:r>
      <w:r>
        <w:rPr>
          <w:bCs/>
          <w:sz w:val="24"/>
          <w:szCs w:val="24"/>
        </w:rPr>
        <w:t>3</w:t>
      </w:r>
      <w:r>
        <w:rPr>
          <w:rFonts w:hAnsi="宋体"/>
          <w:bCs/>
          <w:sz w:val="24"/>
          <w:szCs w:val="24"/>
        </w:rPr>
        <w:t>个月</w:t>
      </w:r>
    </w:p>
    <w:p w:rsidR="00783788" w:rsidRDefault="002C6E18">
      <w:pPr>
        <w:adjustRightInd w:val="0"/>
        <w:snapToGrid w:val="0"/>
        <w:spacing w:line="360" w:lineRule="auto"/>
        <w:ind w:firstLineChars="200" w:firstLine="480"/>
        <w:rPr>
          <w:bCs/>
          <w:sz w:val="24"/>
          <w:szCs w:val="24"/>
        </w:rPr>
      </w:pPr>
      <w:r>
        <w:rPr>
          <w:bCs/>
          <w:sz w:val="24"/>
          <w:szCs w:val="24"/>
        </w:rPr>
        <w:t>33</w:t>
      </w:r>
      <w:r>
        <w:rPr>
          <w:rFonts w:hAnsi="宋体"/>
          <w:bCs/>
          <w:sz w:val="24"/>
          <w:szCs w:val="24"/>
        </w:rPr>
        <w:t>、存续期：指基金合同生效至终止之间的不定期期限</w:t>
      </w:r>
    </w:p>
    <w:p w:rsidR="00783788" w:rsidRDefault="002C6E18">
      <w:pPr>
        <w:adjustRightInd w:val="0"/>
        <w:snapToGrid w:val="0"/>
        <w:spacing w:line="360" w:lineRule="auto"/>
        <w:ind w:firstLineChars="200" w:firstLine="480"/>
        <w:rPr>
          <w:bCs/>
          <w:sz w:val="24"/>
          <w:szCs w:val="24"/>
        </w:rPr>
      </w:pPr>
      <w:r>
        <w:rPr>
          <w:bCs/>
          <w:sz w:val="24"/>
          <w:szCs w:val="24"/>
        </w:rPr>
        <w:t>34</w:t>
      </w:r>
      <w:r>
        <w:rPr>
          <w:rFonts w:hAnsi="宋体"/>
          <w:bCs/>
          <w:sz w:val="24"/>
          <w:szCs w:val="24"/>
        </w:rPr>
        <w:t>、工作日：指上海证券交易所、深圳证券交易所的正常交易日</w:t>
      </w:r>
    </w:p>
    <w:p w:rsidR="00783788" w:rsidRDefault="002C6E18">
      <w:pPr>
        <w:adjustRightInd w:val="0"/>
        <w:snapToGrid w:val="0"/>
        <w:spacing w:line="360" w:lineRule="auto"/>
        <w:ind w:firstLineChars="200" w:firstLine="480"/>
        <w:rPr>
          <w:bCs/>
          <w:sz w:val="24"/>
          <w:szCs w:val="24"/>
        </w:rPr>
      </w:pPr>
      <w:r>
        <w:rPr>
          <w:bCs/>
          <w:sz w:val="24"/>
          <w:szCs w:val="24"/>
        </w:rPr>
        <w:t>35</w:t>
      </w:r>
      <w:r>
        <w:rPr>
          <w:rFonts w:hAnsi="宋体"/>
          <w:bCs/>
          <w:sz w:val="24"/>
          <w:szCs w:val="24"/>
        </w:rPr>
        <w:t>、</w:t>
      </w:r>
      <w:r>
        <w:rPr>
          <w:bCs/>
          <w:sz w:val="24"/>
          <w:szCs w:val="24"/>
        </w:rPr>
        <w:t>T</w:t>
      </w:r>
      <w:r>
        <w:rPr>
          <w:rFonts w:hAnsi="宋体"/>
          <w:bCs/>
          <w:sz w:val="24"/>
          <w:szCs w:val="24"/>
        </w:rPr>
        <w:t>日：指销售机构在规定时间受理投资人申购、赎回或其他业务申请的开放日</w:t>
      </w:r>
    </w:p>
    <w:p w:rsidR="00783788" w:rsidRDefault="002C6E18">
      <w:pPr>
        <w:adjustRightInd w:val="0"/>
        <w:snapToGrid w:val="0"/>
        <w:spacing w:line="360" w:lineRule="auto"/>
        <w:ind w:firstLineChars="200" w:firstLine="480"/>
        <w:rPr>
          <w:bCs/>
          <w:sz w:val="24"/>
          <w:szCs w:val="24"/>
        </w:rPr>
      </w:pPr>
      <w:r>
        <w:rPr>
          <w:bCs/>
          <w:sz w:val="24"/>
          <w:szCs w:val="24"/>
        </w:rPr>
        <w:t>36</w:t>
      </w:r>
      <w:r>
        <w:rPr>
          <w:rFonts w:hAnsi="宋体"/>
          <w:bCs/>
          <w:sz w:val="24"/>
          <w:szCs w:val="24"/>
        </w:rPr>
        <w:t>、</w:t>
      </w:r>
      <w:r>
        <w:rPr>
          <w:bCs/>
          <w:sz w:val="24"/>
          <w:szCs w:val="24"/>
        </w:rPr>
        <w:t>T+n</w:t>
      </w:r>
      <w:r>
        <w:rPr>
          <w:rFonts w:hAnsi="宋体"/>
          <w:bCs/>
          <w:sz w:val="24"/>
          <w:szCs w:val="24"/>
        </w:rPr>
        <w:t>日：指自</w:t>
      </w:r>
      <w:r>
        <w:rPr>
          <w:bCs/>
          <w:sz w:val="24"/>
          <w:szCs w:val="24"/>
        </w:rPr>
        <w:t>T</w:t>
      </w:r>
      <w:r>
        <w:rPr>
          <w:rFonts w:hAnsi="宋体"/>
          <w:bCs/>
          <w:sz w:val="24"/>
          <w:szCs w:val="24"/>
        </w:rPr>
        <w:t>日起第</w:t>
      </w:r>
      <w:r>
        <w:rPr>
          <w:bCs/>
          <w:sz w:val="24"/>
          <w:szCs w:val="24"/>
        </w:rPr>
        <w:t>n</w:t>
      </w:r>
      <w:r>
        <w:rPr>
          <w:rFonts w:hAnsi="宋体"/>
          <w:bCs/>
          <w:sz w:val="24"/>
          <w:szCs w:val="24"/>
        </w:rPr>
        <w:t>个工作日</w:t>
      </w:r>
      <w:r>
        <w:rPr>
          <w:bCs/>
          <w:sz w:val="24"/>
          <w:szCs w:val="24"/>
        </w:rPr>
        <w:t>(</w:t>
      </w:r>
      <w:r>
        <w:rPr>
          <w:rFonts w:hAnsi="宋体"/>
          <w:bCs/>
          <w:sz w:val="24"/>
          <w:szCs w:val="24"/>
        </w:rPr>
        <w:t>不包含</w:t>
      </w:r>
      <w:r>
        <w:rPr>
          <w:bCs/>
          <w:sz w:val="24"/>
          <w:szCs w:val="24"/>
        </w:rPr>
        <w:t>T</w:t>
      </w:r>
      <w:r>
        <w:rPr>
          <w:rFonts w:hAnsi="宋体"/>
          <w:bCs/>
          <w:sz w:val="24"/>
          <w:szCs w:val="24"/>
        </w:rPr>
        <w:t>日</w:t>
      </w:r>
      <w:r>
        <w:rPr>
          <w:bCs/>
          <w:sz w:val="24"/>
          <w:szCs w:val="24"/>
        </w:rPr>
        <w:t>)</w:t>
      </w:r>
    </w:p>
    <w:p w:rsidR="00783788" w:rsidRDefault="002C6E18">
      <w:pPr>
        <w:adjustRightInd w:val="0"/>
        <w:snapToGrid w:val="0"/>
        <w:spacing w:line="360" w:lineRule="auto"/>
        <w:ind w:firstLineChars="200" w:firstLine="480"/>
        <w:rPr>
          <w:bCs/>
          <w:sz w:val="24"/>
          <w:szCs w:val="24"/>
        </w:rPr>
      </w:pPr>
      <w:r>
        <w:rPr>
          <w:bCs/>
          <w:sz w:val="24"/>
          <w:szCs w:val="24"/>
        </w:rPr>
        <w:t>37</w:t>
      </w:r>
      <w:r>
        <w:rPr>
          <w:rFonts w:hAnsi="宋体"/>
          <w:bCs/>
          <w:sz w:val="24"/>
          <w:szCs w:val="24"/>
        </w:rPr>
        <w:t>、开放日：指为投资人办理基金份额申购、赎回或其他业务的工作日</w:t>
      </w:r>
    </w:p>
    <w:p w:rsidR="00783788" w:rsidRDefault="002C6E18">
      <w:pPr>
        <w:adjustRightInd w:val="0"/>
        <w:snapToGrid w:val="0"/>
        <w:spacing w:line="360" w:lineRule="auto"/>
        <w:ind w:firstLineChars="200" w:firstLine="480"/>
        <w:rPr>
          <w:bCs/>
          <w:sz w:val="24"/>
          <w:szCs w:val="24"/>
        </w:rPr>
      </w:pPr>
      <w:r>
        <w:rPr>
          <w:bCs/>
          <w:sz w:val="24"/>
          <w:szCs w:val="24"/>
        </w:rPr>
        <w:t>38</w:t>
      </w:r>
      <w:r>
        <w:rPr>
          <w:rFonts w:hAnsi="宋体"/>
          <w:bCs/>
          <w:sz w:val="24"/>
          <w:szCs w:val="24"/>
        </w:rPr>
        <w:t>、开放时间：指开放日基金接受申购、赎回或其他交易的时间段</w:t>
      </w:r>
    </w:p>
    <w:p w:rsidR="00783788" w:rsidRDefault="002C6E18">
      <w:pPr>
        <w:adjustRightInd w:val="0"/>
        <w:snapToGrid w:val="0"/>
        <w:spacing w:line="360" w:lineRule="auto"/>
        <w:ind w:firstLineChars="200" w:firstLine="480"/>
        <w:rPr>
          <w:bCs/>
          <w:sz w:val="24"/>
          <w:szCs w:val="24"/>
        </w:rPr>
      </w:pPr>
      <w:r>
        <w:rPr>
          <w:bCs/>
          <w:sz w:val="24"/>
          <w:szCs w:val="24"/>
        </w:rPr>
        <w:t>39</w:t>
      </w:r>
      <w:r>
        <w:rPr>
          <w:rFonts w:hAnsi="宋体"/>
          <w:bCs/>
          <w:sz w:val="24"/>
          <w:szCs w:val="24"/>
        </w:rPr>
        <w:t>、《业务规则》：指《交银施罗德基金管理有限公司开放式基金业务规则》，是规范基金管理人所管理的开放式证券投资基金登记方面的业务规则，由基金管理人和投资人共同遵守</w:t>
      </w:r>
    </w:p>
    <w:p w:rsidR="00783788" w:rsidRDefault="002C6E18">
      <w:pPr>
        <w:adjustRightInd w:val="0"/>
        <w:snapToGrid w:val="0"/>
        <w:spacing w:line="360" w:lineRule="auto"/>
        <w:ind w:firstLineChars="200" w:firstLine="480"/>
        <w:rPr>
          <w:bCs/>
          <w:sz w:val="24"/>
          <w:szCs w:val="24"/>
        </w:rPr>
      </w:pPr>
      <w:r>
        <w:rPr>
          <w:bCs/>
          <w:sz w:val="24"/>
          <w:szCs w:val="24"/>
        </w:rPr>
        <w:t>40</w:t>
      </w:r>
      <w:r>
        <w:rPr>
          <w:rFonts w:hAnsi="宋体"/>
          <w:bCs/>
          <w:sz w:val="24"/>
          <w:szCs w:val="24"/>
        </w:rPr>
        <w:t>、认购：指在基金募集期内，投资人根据基金合同和招募说明书的规定申请购买基金份额的行为</w:t>
      </w:r>
    </w:p>
    <w:p w:rsidR="00783788" w:rsidRDefault="002C6E18">
      <w:pPr>
        <w:adjustRightInd w:val="0"/>
        <w:snapToGrid w:val="0"/>
        <w:spacing w:line="360" w:lineRule="auto"/>
        <w:ind w:firstLineChars="200" w:firstLine="480"/>
        <w:rPr>
          <w:bCs/>
          <w:sz w:val="24"/>
          <w:szCs w:val="24"/>
        </w:rPr>
      </w:pPr>
      <w:r>
        <w:rPr>
          <w:bCs/>
          <w:sz w:val="24"/>
          <w:szCs w:val="24"/>
        </w:rPr>
        <w:t>41</w:t>
      </w:r>
      <w:r>
        <w:rPr>
          <w:rFonts w:hAnsi="宋体"/>
          <w:bCs/>
          <w:sz w:val="24"/>
          <w:szCs w:val="24"/>
        </w:rPr>
        <w:t>、申购：指基金合同生效后，投资人根据基金合同和招募说明书的规定申请购买基金份额的行为</w:t>
      </w:r>
    </w:p>
    <w:p w:rsidR="00783788" w:rsidRDefault="002C6E18">
      <w:pPr>
        <w:adjustRightInd w:val="0"/>
        <w:snapToGrid w:val="0"/>
        <w:spacing w:line="360" w:lineRule="auto"/>
        <w:ind w:firstLineChars="200" w:firstLine="480"/>
        <w:rPr>
          <w:bCs/>
          <w:sz w:val="24"/>
          <w:szCs w:val="24"/>
        </w:rPr>
      </w:pPr>
      <w:r>
        <w:rPr>
          <w:bCs/>
          <w:sz w:val="24"/>
          <w:szCs w:val="24"/>
        </w:rPr>
        <w:t>42</w:t>
      </w:r>
      <w:r>
        <w:rPr>
          <w:rFonts w:hAnsi="宋体"/>
          <w:bCs/>
          <w:sz w:val="24"/>
          <w:szCs w:val="24"/>
        </w:rPr>
        <w:t>、赎回：指基金合同生效后，基金份额持有人按基金合同和招募说明书规定的条件要求将基金份额兑换为现金的行为</w:t>
      </w:r>
    </w:p>
    <w:p w:rsidR="00783788" w:rsidRDefault="002C6E18">
      <w:pPr>
        <w:adjustRightInd w:val="0"/>
        <w:snapToGrid w:val="0"/>
        <w:spacing w:line="360" w:lineRule="auto"/>
        <w:ind w:firstLineChars="200" w:firstLine="480"/>
        <w:rPr>
          <w:bCs/>
          <w:sz w:val="24"/>
          <w:szCs w:val="24"/>
        </w:rPr>
      </w:pPr>
      <w:r>
        <w:rPr>
          <w:bCs/>
          <w:sz w:val="24"/>
          <w:szCs w:val="24"/>
        </w:rPr>
        <w:t>43</w:t>
      </w:r>
      <w:r>
        <w:rPr>
          <w:rFonts w:hAnsi="宋体"/>
          <w:bCs/>
          <w:sz w:val="24"/>
          <w:szCs w:val="24"/>
        </w:rPr>
        <w:t>、基金转换：指基金份额持有人按照本基金合同和基金管理人届时有效公告规定的条件，申请将其持有基金管理人管理的、某一基金的基金份额转换为基金管理人管理的其他基金基金份额的行为</w:t>
      </w:r>
    </w:p>
    <w:p w:rsidR="00783788" w:rsidRDefault="002C6E18">
      <w:pPr>
        <w:adjustRightInd w:val="0"/>
        <w:snapToGrid w:val="0"/>
        <w:spacing w:line="360" w:lineRule="auto"/>
        <w:ind w:firstLineChars="200" w:firstLine="480"/>
        <w:rPr>
          <w:bCs/>
          <w:sz w:val="24"/>
          <w:szCs w:val="24"/>
        </w:rPr>
      </w:pPr>
      <w:r>
        <w:rPr>
          <w:bCs/>
          <w:sz w:val="24"/>
          <w:szCs w:val="24"/>
        </w:rPr>
        <w:t>44</w:t>
      </w:r>
      <w:r>
        <w:rPr>
          <w:rFonts w:hAnsi="宋体"/>
          <w:bCs/>
          <w:sz w:val="24"/>
          <w:szCs w:val="24"/>
        </w:rPr>
        <w:t>、转托管：指基金份额持有人在本基金的不同销售机构之间实施的变更所持基金份额销售机构的操作</w:t>
      </w:r>
    </w:p>
    <w:p w:rsidR="00783788" w:rsidRDefault="002C6E18">
      <w:pPr>
        <w:adjustRightInd w:val="0"/>
        <w:snapToGrid w:val="0"/>
        <w:spacing w:line="360" w:lineRule="auto"/>
        <w:ind w:firstLineChars="200" w:firstLine="480"/>
        <w:rPr>
          <w:bCs/>
          <w:sz w:val="24"/>
          <w:szCs w:val="24"/>
        </w:rPr>
      </w:pPr>
      <w:r>
        <w:rPr>
          <w:bCs/>
          <w:sz w:val="24"/>
          <w:szCs w:val="24"/>
        </w:rPr>
        <w:t>45</w:t>
      </w:r>
      <w:r>
        <w:rPr>
          <w:rFonts w:hAnsi="宋体"/>
          <w:bCs/>
          <w:sz w:val="24"/>
          <w:szCs w:val="24"/>
        </w:rPr>
        <w:t>、定期定额投资计划：指投资人通过有关销售机构提出申请，约定每期申购日、扣款金额及扣款方式，由销售机构在投资人指定银行账户内自动完成扣款并于每期约定的申购日提交基金申购申请的一种投资方式</w:t>
      </w:r>
    </w:p>
    <w:p w:rsidR="00783788" w:rsidRDefault="002C6E18">
      <w:pPr>
        <w:adjustRightInd w:val="0"/>
        <w:snapToGrid w:val="0"/>
        <w:spacing w:line="360" w:lineRule="auto"/>
        <w:ind w:firstLineChars="200" w:firstLine="480"/>
        <w:rPr>
          <w:bCs/>
          <w:sz w:val="24"/>
          <w:szCs w:val="24"/>
        </w:rPr>
      </w:pPr>
      <w:r>
        <w:rPr>
          <w:bCs/>
          <w:sz w:val="24"/>
          <w:szCs w:val="24"/>
        </w:rPr>
        <w:t>46</w:t>
      </w:r>
      <w:r>
        <w:rPr>
          <w:rFonts w:hAnsi="宋体"/>
          <w:bCs/>
          <w:sz w:val="24"/>
          <w:szCs w:val="24"/>
        </w:rPr>
        <w:t>、巨额赎回：指本基金单个开放日，基金净赎回申请（赎回申请份额总数加上基金转换中转出申请份额总数后扣除申购申请份额总数及基金转换中转入申请份额总数后的余额，定期支付时的自动赎回份额不纳入以上赎回份额计算）超过上一开放日基金总份额的</w:t>
      </w:r>
      <w:r>
        <w:rPr>
          <w:bCs/>
          <w:sz w:val="24"/>
          <w:szCs w:val="24"/>
        </w:rPr>
        <w:t>10%</w:t>
      </w:r>
    </w:p>
    <w:p w:rsidR="00783788" w:rsidRDefault="002C6E18">
      <w:pPr>
        <w:adjustRightInd w:val="0"/>
        <w:snapToGrid w:val="0"/>
        <w:spacing w:line="360" w:lineRule="auto"/>
        <w:ind w:firstLineChars="200" w:firstLine="480"/>
        <w:rPr>
          <w:bCs/>
          <w:sz w:val="24"/>
          <w:szCs w:val="24"/>
        </w:rPr>
      </w:pPr>
      <w:r>
        <w:rPr>
          <w:bCs/>
          <w:sz w:val="24"/>
          <w:szCs w:val="24"/>
        </w:rPr>
        <w:t>47</w:t>
      </w:r>
      <w:r>
        <w:rPr>
          <w:rFonts w:hAnsi="宋体"/>
          <w:bCs/>
          <w:sz w:val="24"/>
          <w:szCs w:val="24"/>
        </w:rPr>
        <w:t>、元：指人民币元</w:t>
      </w:r>
    </w:p>
    <w:p w:rsidR="00783788" w:rsidRDefault="002C6E18">
      <w:pPr>
        <w:adjustRightInd w:val="0"/>
        <w:snapToGrid w:val="0"/>
        <w:spacing w:line="360" w:lineRule="auto"/>
        <w:ind w:firstLineChars="200" w:firstLine="480"/>
        <w:rPr>
          <w:bCs/>
          <w:sz w:val="24"/>
          <w:szCs w:val="24"/>
        </w:rPr>
      </w:pPr>
      <w:r>
        <w:rPr>
          <w:bCs/>
          <w:sz w:val="24"/>
          <w:szCs w:val="24"/>
        </w:rPr>
        <w:t>48</w:t>
      </w:r>
      <w:r>
        <w:rPr>
          <w:rFonts w:hAnsi="宋体"/>
          <w:bCs/>
          <w:sz w:val="24"/>
          <w:szCs w:val="24"/>
        </w:rPr>
        <w:t>、基金收益：指基金投资所得红利、股息、债券利息、买卖证券价差、银行存款利息、已实现的其他合法收入及因运用基金财产带来的成本和费用的节约</w:t>
      </w:r>
    </w:p>
    <w:p w:rsidR="00783788" w:rsidRDefault="002C6E18">
      <w:pPr>
        <w:adjustRightInd w:val="0"/>
        <w:snapToGrid w:val="0"/>
        <w:spacing w:line="360" w:lineRule="auto"/>
        <w:ind w:firstLineChars="200" w:firstLine="480"/>
        <w:rPr>
          <w:bCs/>
          <w:sz w:val="24"/>
          <w:szCs w:val="24"/>
        </w:rPr>
      </w:pPr>
      <w:r>
        <w:rPr>
          <w:bCs/>
          <w:sz w:val="24"/>
          <w:szCs w:val="24"/>
        </w:rPr>
        <w:t>49</w:t>
      </w:r>
      <w:r>
        <w:rPr>
          <w:rFonts w:hAnsi="宋体"/>
          <w:bCs/>
          <w:sz w:val="24"/>
          <w:szCs w:val="24"/>
        </w:rPr>
        <w:t>、基金资产总值：指基金拥有的各类有价证券、银行存款本息、基金应收申购款及其他资产的价值总和</w:t>
      </w:r>
    </w:p>
    <w:p w:rsidR="00783788" w:rsidRDefault="002C6E18">
      <w:pPr>
        <w:adjustRightInd w:val="0"/>
        <w:snapToGrid w:val="0"/>
        <w:spacing w:line="360" w:lineRule="auto"/>
        <w:ind w:firstLineChars="200" w:firstLine="480"/>
        <w:rPr>
          <w:bCs/>
          <w:sz w:val="24"/>
          <w:szCs w:val="24"/>
        </w:rPr>
      </w:pPr>
      <w:r>
        <w:rPr>
          <w:bCs/>
          <w:sz w:val="24"/>
          <w:szCs w:val="24"/>
        </w:rPr>
        <w:t>50</w:t>
      </w:r>
      <w:r>
        <w:rPr>
          <w:rFonts w:hAnsi="宋体"/>
          <w:bCs/>
          <w:sz w:val="24"/>
          <w:szCs w:val="24"/>
        </w:rPr>
        <w:t>、基金资产净值：指基金资产总值减去基金负债后的价值</w:t>
      </w:r>
    </w:p>
    <w:p w:rsidR="00783788" w:rsidRDefault="002C6E18">
      <w:pPr>
        <w:adjustRightInd w:val="0"/>
        <w:snapToGrid w:val="0"/>
        <w:spacing w:line="360" w:lineRule="auto"/>
        <w:ind w:firstLineChars="200" w:firstLine="480"/>
        <w:rPr>
          <w:bCs/>
          <w:sz w:val="24"/>
          <w:szCs w:val="24"/>
        </w:rPr>
      </w:pPr>
      <w:r>
        <w:rPr>
          <w:bCs/>
          <w:sz w:val="24"/>
          <w:szCs w:val="24"/>
        </w:rPr>
        <w:t>51</w:t>
      </w:r>
      <w:r>
        <w:rPr>
          <w:rFonts w:hAnsi="宋体"/>
          <w:bCs/>
          <w:sz w:val="24"/>
          <w:szCs w:val="24"/>
        </w:rPr>
        <w:t>、基金份额净值：指计算日基金资产净值除以计算日基金份额总数</w:t>
      </w:r>
    </w:p>
    <w:p w:rsidR="00783788" w:rsidRDefault="002C6E18">
      <w:pPr>
        <w:adjustRightInd w:val="0"/>
        <w:snapToGrid w:val="0"/>
        <w:spacing w:line="360" w:lineRule="auto"/>
        <w:ind w:firstLineChars="200" w:firstLine="480"/>
        <w:rPr>
          <w:bCs/>
          <w:sz w:val="24"/>
          <w:szCs w:val="24"/>
        </w:rPr>
      </w:pPr>
      <w:r>
        <w:rPr>
          <w:bCs/>
          <w:sz w:val="24"/>
          <w:szCs w:val="24"/>
        </w:rPr>
        <w:t>52</w:t>
      </w:r>
      <w:r>
        <w:rPr>
          <w:rFonts w:hAnsi="宋体"/>
          <w:bCs/>
          <w:sz w:val="24"/>
          <w:szCs w:val="24"/>
        </w:rPr>
        <w:t>、基金资产估值：指计算评估基金资产和负债的价值，以确定基金资产净值和基金份额净值的过程</w:t>
      </w:r>
    </w:p>
    <w:p w:rsidR="00783788" w:rsidRDefault="002C6E18">
      <w:pPr>
        <w:adjustRightInd w:val="0"/>
        <w:snapToGrid w:val="0"/>
        <w:spacing w:line="360" w:lineRule="auto"/>
        <w:ind w:firstLineChars="200" w:firstLine="480"/>
        <w:rPr>
          <w:bCs/>
          <w:sz w:val="24"/>
          <w:szCs w:val="24"/>
        </w:rPr>
      </w:pPr>
      <w:r>
        <w:rPr>
          <w:bCs/>
          <w:sz w:val="24"/>
          <w:szCs w:val="24"/>
        </w:rPr>
        <w:t>53</w:t>
      </w:r>
      <w:r>
        <w:rPr>
          <w:rFonts w:hAnsi="宋体"/>
          <w:bCs/>
          <w:sz w:val="24"/>
          <w:szCs w:val="24"/>
        </w:rPr>
        <w:t>、定期支付：指本基金按照基金合同的约定，每月定期向基金份额持有人支付一定现金的业务</w:t>
      </w:r>
    </w:p>
    <w:p w:rsidR="00783788" w:rsidRDefault="002C6E18">
      <w:pPr>
        <w:adjustRightInd w:val="0"/>
        <w:snapToGrid w:val="0"/>
        <w:spacing w:line="360" w:lineRule="auto"/>
        <w:ind w:firstLineChars="200" w:firstLine="480"/>
        <w:rPr>
          <w:bCs/>
          <w:sz w:val="24"/>
          <w:szCs w:val="24"/>
        </w:rPr>
      </w:pPr>
      <w:r>
        <w:rPr>
          <w:bCs/>
          <w:sz w:val="24"/>
          <w:szCs w:val="24"/>
        </w:rPr>
        <w:t>54</w:t>
      </w:r>
      <w:r>
        <w:rPr>
          <w:rFonts w:hAnsi="宋体"/>
          <w:bCs/>
          <w:sz w:val="24"/>
          <w:szCs w:val="24"/>
        </w:rPr>
        <w:t>、指定媒体：指中国证监会指定的用以进行信息披露的报刊、互联网网站及其他媒体</w:t>
      </w:r>
    </w:p>
    <w:p w:rsidR="00783788" w:rsidRDefault="002C6E18">
      <w:pPr>
        <w:adjustRightInd w:val="0"/>
        <w:snapToGrid w:val="0"/>
        <w:spacing w:line="360" w:lineRule="auto"/>
        <w:ind w:firstLineChars="200" w:firstLine="480"/>
        <w:rPr>
          <w:sz w:val="24"/>
          <w:szCs w:val="24"/>
        </w:rPr>
      </w:pPr>
      <w:r>
        <w:rPr>
          <w:bCs/>
          <w:sz w:val="24"/>
          <w:szCs w:val="24"/>
        </w:rPr>
        <w:t>55</w:t>
      </w:r>
      <w:r>
        <w:rPr>
          <w:rFonts w:hAnsi="宋体"/>
          <w:bCs/>
          <w:sz w:val="24"/>
          <w:szCs w:val="24"/>
        </w:rPr>
        <w:t>、不可抗力：指本基金合同当事人不能预见、不能避免且不能克服的客观事件。</w:t>
      </w:r>
    </w:p>
    <w:p w:rsidR="00783788" w:rsidRDefault="00783788">
      <w:pPr>
        <w:adjustRightInd w:val="0"/>
        <w:snapToGrid w:val="0"/>
        <w:spacing w:line="360" w:lineRule="auto"/>
        <w:ind w:firstLineChars="200" w:firstLine="480"/>
        <w:rPr>
          <w:sz w:val="24"/>
          <w:szCs w:val="24"/>
        </w:rPr>
      </w:pPr>
    </w:p>
    <w:p w:rsidR="00783788" w:rsidRDefault="002C6E18">
      <w:pPr>
        <w:widowControl/>
        <w:adjustRightInd w:val="0"/>
        <w:snapToGrid w:val="0"/>
        <w:spacing w:beforeLines="100" w:before="240" w:afterLines="50" w:after="120" w:line="360" w:lineRule="auto"/>
        <w:jc w:val="center"/>
        <w:outlineLvl w:val="0"/>
        <w:rPr>
          <w:rFonts w:ascii="宋体" w:hAnsi="宋体"/>
          <w:b/>
          <w:kern w:val="0"/>
          <w:sz w:val="30"/>
        </w:rPr>
      </w:pPr>
      <w:bookmarkStart w:id="5" w:name="_Hlt80961854"/>
      <w:bookmarkStart w:id="6" w:name="_Hlt81034163"/>
      <w:bookmarkStart w:id="7" w:name="_Toc109537381"/>
      <w:bookmarkStart w:id="8" w:name="_Toc382321314"/>
      <w:bookmarkEnd w:id="5"/>
      <w:bookmarkEnd w:id="6"/>
      <w:r>
        <w:rPr>
          <w:rFonts w:ascii="宋体" w:hAnsi="宋体" w:hint="eastAsia"/>
          <w:b/>
          <w:kern w:val="0"/>
          <w:sz w:val="30"/>
        </w:rPr>
        <w:t>三、基金管理人</w:t>
      </w:r>
      <w:bookmarkEnd w:id="7"/>
      <w:bookmarkEnd w:id="8"/>
    </w:p>
    <w:p w:rsidR="00783788" w:rsidRDefault="002C6E18">
      <w:pPr>
        <w:widowControl/>
        <w:adjustRightInd w:val="0"/>
        <w:snapToGrid w:val="0"/>
        <w:spacing w:line="360" w:lineRule="auto"/>
        <w:ind w:firstLineChars="200" w:firstLine="482"/>
        <w:outlineLvl w:val="1"/>
        <w:rPr>
          <w:b/>
          <w:kern w:val="0"/>
          <w:sz w:val="24"/>
        </w:rPr>
      </w:pPr>
      <w:r>
        <w:rPr>
          <w:rFonts w:hAnsi="宋体"/>
          <w:b/>
          <w:kern w:val="0"/>
          <w:sz w:val="24"/>
        </w:rPr>
        <w:t>（一）基金管理人概况</w:t>
      </w:r>
      <w:r>
        <w:rPr>
          <w:b/>
          <w:kern w:val="0"/>
          <w:sz w:val="24"/>
        </w:rPr>
        <w:t xml:space="preserve"> </w:t>
      </w:r>
    </w:p>
    <w:p w:rsidR="00783788" w:rsidRDefault="002C6E18">
      <w:pPr>
        <w:widowControl/>
        <w:adjustRightInd w:val="0"/>
        <w:snapToGrid w:val="0"/>
        <w:spacing w:line="360" w:lineRule="auto"/>
        <w:ind w:firstLineChars="200" w:firstLine="480"/>
        <w:rPr>
          <w:kern w:val="0"/>
          <w:sz w:val="24"/>
        </w:rPr>
      </w:pPr>
      <w:r>
        <w:rPr>
          <w:rFonts w:hAnsi="宋体"/>
          <w:kern w:val="0"/>
          <w:sz w:val="24"/>
        </w:rPr>
        <w:t>名称：交银施罗德基金管理有限公司</w:t>
      </w:r>
    </w:p>
    <w:p w:rsidR="00783788" w:rsidRDefault="002C6E18">
      <w:pPr>
        <w:widowControl/>
        <w:adjustRightInd w:val="0"/>
        <w:snapToGrid w:val="0"/>
        <w:spacing w:line="360" w:lineRule="auto"/>
        <w:ind w:firstLineChars="200" w:firstLine="480"/>
        <w:rPr>
          <w:kern w:val="0"/>
          <w:sz w:val="24"/>
        </w:rPr>
      </w:pPr>
      <w:r>
        <w:rPr>
          <w:rFonts w:hAnsi="宋体"/>
          <w:kern w:val="0"/>
          <w:sz w:val="24"/>
        </w:rPr>
        <w:t>住所：上海市浦东新区银城中路</w:t>
      </w:r>
      <w:r>
        <w:rPr>
          <w:kern w:val="0"/>
          <w:sz w:val="24"/>
        </w:rPr>
        <w:t>188</w:t>
      </w:r>
      <w:r>
        <w:rPr>
          <w:rFonts w:hAnsi="宋体"/>
          <w:kern w:val="0"/>
          <w:sz w:val="24"/>
        </w:rPr>
        <w:t>号交通银行大楼二层（裙）</w:t>
      </w:r>
    </w:p>
    <w:p w:rsidR="00783788" w:rsidRDefault="002C6E18">
      <w:pPr>
        <w:widowControl/>
        <w:adjustRightInd w:val="0"/>
        <w:snapToGrid w:val="0"/>
        <w:spacing w:line="360" w:lineRule="auto"/>
        <w:ind w:firstLineChars="200" w:firstLine="480"/>
        <w:rPr>
          <w:kern w:val="0"/>
          <w:sz w:val="24"/>
        </w:rPr>
      </w:pPr>
      <w:r>
        <w:rPr>
          <w:rFonts w:hAnsi="宋体"/>
          <w:kern w:val="0"/>
          <w:sz w:val="24"/>
        </w:rPr>
        <w:t>办公地址：</w:t>
      </w:r>
      <w:r>
        <w:rPr>
          <w:rFonts w:ascii="宋体" w:hAnsi="宋体" w:cs="宋体" w:hint="eastAsia"/>
          <w:kern w:val="0"/>
          <w:sz w:val="24"/>
        </w:rPr>
        <w:t>上海浦东新区世纪大道8号国金中心二期21-22楼</w:t>
      </w:r>
    </w:p>
    <w:p w:rsidR="00783788" w:rsidRDefault="002C6E18">
      <w:pPr>
        <w:widowControl/>
        <w:adjustRightInd w:val="0"/>
        <w:snapToGrid w:val="0"/>
        <w:spacing w:line="360" w:lineRule="auto"/>
        <w:ind w:firstLineChars="200" w:firstLine="480"/>
        <w:rPr>
          <w:kern w:val="0"/>
          <w:sz w:val="24"/>
        </w:rPr>
      </w:pPr>
      <w:r>
        <w:rPr>
          <w:rFonts w:hAnsi="宋体"/>
          <w:sz w:val="24"/>
        </w:rPr>
        <w:t>邮政编码：</w:t>
      </w:r>
      <w:r>
        <w:rPr>
          <w:sz w:val="24"/>
        </w:rPr>
        <w:t>200120</w:t>
      </w:r>
    </w:p>
    <w:p w:rsidR="00783788" w:rsidRDefault="002C6E18">
      <w:pPr>
        <w:widowControl/>
        <w:adjustRightInd w:val="0"/>
        <w:snapToGrid w:val="0"/>
        <w:spacing w:line="360" w:lineRule="auto"/>
        <w:ind w:firstLineChars="200" w:firstLine="480"/>
        <w:rPr>
          <w:kern w:val="0"/>
          <w:sz w:val="24"/>
        </w:rPr>
      </w:pPr>
      <w:r>
        <w:rPr>
          <w:rFonts w:hAnsi="宋体"/>
          <w:kern w:val="0"/>
          <w:sz w:val="24"/>
        </w:rPr>
        <w:t>法定代表人：</w:t>
      </w:r>
      <w:r>
        <w:rPr>
          <w:rFonts w:hAnsi="宋体" w:hint="eastAsia"/>
          <w:kern w:val="0"/>
          <w:sz w:val="24"/>
        </w:rPr>
        <w:t>苏奋（代任）</w:t>
      </w:r>
    </w:p>
    <w:p w:rsidR="00783788" w:rsidRDefault="002C6E18">
      <w:pPr>
        <w:widowControl/>
        <w:adjustRightInd w:val="0"/>
        <w:snapToGrid w:val="0"/>
        <w:spacing w:line="360" w:lineRule="auto"/>
        <w:ind w:firstLineChars="200" w:firstLine="480"/>
        <w:rPr>
          <w:kern w:val="0"/>
          <w:sz w:val="24"/>
        </w:rPr>
      </w:pPr>
      <w:r>
        <w:rPr>
          <w:rFonts w:hAnsi="宋体"/>
          <w:kern w:val="0"/>
          <w:sz w:val="24"/>
        </w:rPr>
        <w:t>成立时间：</w:t>
      </w:r>
      <w:r>
        <w:rPr>
          <w:kern w:val="0"/>
          <w:sz w:val="24"/>
        </w:rPr>
        <w:t>2005</w:t>
      </w:r>
      <w:r>
        <w:rPr>
          <w:rFonts w:hAnsi="宋体"/>
          <w:kern w:val="0"/>
          <w:sz w:val="24"/>
        </w:rPr>
        <w:t>年</w:t>
      </w:r>
      <w:r>
        <w:rPr>
          <w:kern w:val="0"/>
          <w:sz w:val="24"/>
        </w:rPr>
        <w:t>8</w:t>
      </w:r>
      <w:r>
        <w:rPr>
          <w:rFonts w:hAnsi="宋体"/>
          <w:kern w:val="0"/>
          <w:sz w:val="24"/>
        </w:rPr>
        <w:t>月</w:t>
      </w:r>
      <w:r>
        <w:rPr>
          <w:kern w:val="0"/>
          <w:sz w:val="24"/>
        </w:rPr>
        <w:t>4</w:t>
      </w:r>
      <w:r>
        <w:rPr>
          <w:rFonts w:hAnsi="宋体"/>
          <w:kern w:val="0"/>
          <w:sz w:val="24"/>
        </w:rPr>
        <w:t>日</w:t>
      </w:r>
    </w:p>
    <w:p w:rsidR="00783788" w:rsidRDefault="002C6E18">
      <w:pPr>
        <w:widowControl/>
        <w:adjustRightInd w:val="0"/>
        <w:snapToGrid w:val="0"/>
        <w:spacing w:line="360" w:lineRule="auto"/>
        <w:ind w:firstLineChars="200" w:firstLine="480"/>
        <w:rPr>
          <w:kern w:val="0"/>
          <w:sz w:val="24"/>
        </w:rPr>
      </w:pPr>
      <w:r>
        <w:rPr>
          <w:rFonts w:hAnsi="宋体"/>
          <w:kern w:val="0"/>
          <w:sz w:val="24"/>
        </w:rPr>
        <w:t>注册资本：</w:t>
      </w:r>
      <w:r>
        <w:rPr>
          <w:kern w:val="0"/>
          <w:sz w:val="24"/>
        </w:rPr>
        <w:t>2</w:t>
      </w:r>
      <w:r>
        <w:rPr>
          <w:rFonts w:hAnsi="宋体"/>
          <w:kern w:val="0"/>
          <w:sz w:val="24"/>
        </w:rPr>
        <w:t>亿元人民币</w:t>
      </w:r>
    </w:p>
    <w:p w:rsidR="00783788" w:rsidRDefault="002C6E18">
      <w:pPr>
        <w:widowControl/>
        <w:adjustRightInd w:val="0"/>
        <w:snapToGrid w:val="0"/>
        <w:spacing w:line="360" w:lineRule="auto"/>
        <w:ind w:firstLineChars="200" w:firstLine="480"/>
        <w:rPr>
          <w:kern w:val="0"/>
          <w:sz w:val="24"/>
        </w:rPr>
      </w:pPr>
      <w:r>
        <w:rPr>
          <w:rFonts w:hAnsi="宋体"/>
          <w:kern w:val="0"/>
          <w:sz w:val="24"/>
        </w:rPr>
        <w:t>存续期间：持续经营</w:t>
      </w:r>
    </w:p>
    <w:p w:rsidR="00783788" w:rsidRDefault="002C6E18">
      <w:pPr>
        <w:widowControl/>
        <w:adjustRightInd w:val="0"/>
        <w:snapToGrid w:val="0"/>
        <w:spacing w:line="360" w:lineRule="auto"/>
        <w:ind w:firstLineChars="200" w:firstLine="480"/>
        <w:rPr>
          <w:kern w:val="0"/>
          <w:sz w:val="24"/>
        </w:rPr>
      </w:pPr>
      <w:r>
        <w:rPr>
          <w:rFonts w:hAnsi="宋体"/>
          <w:kern w:val="0"/>
          <w:sz w:val="24"/>
        </w:rPr>
        <w:t>联系人：陈超</w:t>
      </w:r>
    </w:p>
    <w:p w:rsidR="00783788" w:rsidRDefault="002C6E18">
      <w:pPr>
        <w:widowControl/>
        <w:adjustRightInd w:val="0"/>
        <w:snapToGrid w:val="0"/>
        <w:spacing w:line="360" w:lineRule="auto"/>
        <w:ind w:firstLineChars="200" w:firstLine="480"/>
        <w:rPr>
          <w:kern w:val="0"/>
          <w:sz w:val="24"/>
        </w:rPr>
      </w:pPr>
      <w:r>
        <w:rPr>
          <w:rFonts w:hAnsi="宋体"/>
          <w:kern w:val="0"/>
          <w:sz w:val="24"/>
        </w:rPr>
        <w:t>电话：</w:t>
      </w:r>
      <w:r>
        <w:rPr>
          <w:rFonts w:hAnsi="宋体" w:hint="eastAsia"/>
          <w:kern w:val="0"/>
          <w:sz w:val="24"/>
        </w:rPr>
        <w:t>（</w:t>
      </w:r>
      <w:r>
        <w:rPr>
          <w:kern w:val="0"/>
          <w:sz w:val="24"/>
        </w:rPr>
        <w:t>021</w:t>
      </w:r>
      <w:r>
        <w:rPr>
          <w:rFonts w:hint="eastAsia"/>
          <w:kern w:val="0"/>
          <w:sz w:val="24"/>
        </w:rPr>
        <w:t>）</w:t>
      </w:r>
      <w:r>
        <w:rPr>
          <w:kern w:val="0"/>
          <w:sz w:val="24"/>
        </w:rPr>
        <w:t>61055050</w:t>
      </w:r>
    </w:p>
    <w:p w:rsidR="00783788" w:rsidRDefault="002C6E18">
      <w:pPr>
        <w:widowControl/>
        <w:adjustRightInd w:val="0"/>
        <w:snapToGrid w:val="0"/>
        <w:spacing w:line="360" w:lineRule="auto"/>
        <w:ind w:firstLineChars="200" w:firstLine="480"/>
        <w:rPr>
          <w:kern w:val="0"/>
          <w:sz w:val="24"/>
        </w:rPr>
      </w:pPr>
      <w:r>
        <w:rPr>
          <w:rFonts w:hAnsi="宋体"/>
          <w:kern w:val="0"/>
          <w:sz w:val="24"/>
        </w:rPr>
        <w:t>传真：</w:t>
      </w:r>
      <w:r>
        <w:rPr>
          <w:rFonts w:hAnsi="宋体" w:hint="eastAsia"/>
          <w:kern w:val="0"/>
          <w:sz w:val="24"/>
        </w:rPr>
        <w:t>（</w:t>
      </w:r>
      <w:r>
        <w:rPr>
          <w:kern w:val="0"/>
          <w:sz w:val="24"/>
        </w:rPr>
        <w:t>021</w:t>
      </w:r>
      <w:r>
        <w:rPr>
          <w:rFonts w:hint="eastAsia"/>
          <w:kern w:val="0"/>
          <w:sz w:val="24"/>
        </w:rPr>
        <w:t>）</w:t>
      </w:r>
      <w:r>
        <w:rPr>
          <w:kern w:val="0"/>
          <w:sz w:val="24"/>
        </w:rPr>
        <w:t>61055034</w:t>
      </w:r>
    </w:p>
    <w:p w:rsidR="00783788" w:rsidRDefault="002C6E18">
      <w:pPr>
        <w:widowControl/>
        <w:adjustRightInd w:val="0"/>
        <w:snapToGrid w:val="0"/>
        <w:spacing w:line="360" w:lineRule="auto"/>
        <w:ind w:firstLineChars="200" w:firstLine="480"/>
        <w:rPr>
          <w:kern w:val="0"/>
          <w:sz w:val="24"/>
        </w:rPr>
      </w:pPr>
      <w:r>
        <w:rPr>
          <w:rFonts w:hAnsi="宋体"/>
          <w:kern w:val="0"/>
          <w:sz w:val="24"/>
        </w:rPr>
        <w:t>交银施罗德基金管理有限公司（以下简称</w:t>
      </w:r>
      <w:r>
        <w:rPr>
          <w:rFonts w:hint="eastAsia"/>
          <w:kern w:val="0"/>
          <w:sz w:val="24"/>
        </w:rPr>
        <w:t>“</w:t>
      </w:r>
      <w:r>
        <w:rPr>
          <w:rFonts w:hAnsi="宋体"/>
          <w:kern w:val="0"/>
          <w:sz w:val="24"/>
        </w:rPr>
        <w:t>公司</w:t>
      </w:r>
      <w:r>
        <w:rPr>
          <w:rFonts w:hint="eastAsia"/>
          <w:kern w:val="0"/>
          <w:sz w:val="24"/>
        </w:rPr>
        <w:t>”</w:t>
      </w:r>
      <w:r>
        <w:rPr>
          <w:rFonts w:hAnsi="宋体"/>
          <w:kern w:val="0"/>
          <w:sz w:val="24"/>
        </w:rPr>
        <w:t>）经中国证监会证监基金字</w:t>
      </w:r>
      <w:r>
        <w:rPr>
          <w:kern w:val="0"/>
          <w:sz w:val="24"/>
        </w:rPr>
        <w:t>[2005]128</w:t>
      </w:r>
      <w:r>
        <w:rPr>
          <w:rFonts w:hAnsi="宋体"/>
          <w:kern w:val="0"/>
          <w:sz w:val="24"/>
        </w:rPr>
        <w:t>号文批准设立。公司股权结构如下：</w:t>
      </w: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0"/>
        <w:gridCol w:w="3060"/>
      </w:tblGrid>
      <w:tr w:rsidR="00783788">
        <w:tc>
          <w:tcPr>
            <w:tcW w:w="5400" w:type="dxa"/>
          </w:tcPr>
          <w:p w:rsidR="00783788" w:rsidRDefault="002C6E18">
            <w:pPr>
              <w:widowControl/>
              <w:jc w:val="center"/>
              <w:rPr>
                <w:kern w:val="0"/>
                <w:sz w:val="24"/>
              </w:rPr>
            </w:pPr>
            <w:r>
              <w:rPr>
                <w:rFonts w:hAnsi="宋体"/>
                <w:kern w:val="0"/>
                <w:sz w:val="24"/>
              </w:rPr>
              <w:t>股东名称</w:t>
            </w:r>
          </w:p>
        </w:tc>
        <w:tc>
          <w:tcPr>
            <w:tcW w:w="3060" w:type="dxa"/>
          </w:tcPr>
          <w:p w:rsidR="00783788" w:rsidRDefault="002C6E18">
            <w:pPr>
              <w:widowControl/>
              <w:jc w:val="center"/>
              <w:rPr>
                <w:kern w:val="0"/>
                <w:sz w:val="24"/>
              </w:rPr>
            </w:pPr>
            <w:r>
              <w:rPr>
                <w:rFonts w:hAnsi="宋体"/>
                <w:kern w:val="0"/>
                <w:sz w:val="24"/>
              </w:rPr>
              <w:t>股权比例</w:t>
            </w:r>
          </w:p>
        </w:tc>
      </w:tr>
      <w:tr w:rsidR="00783788">
        <w:tc>
          <w:tcPr>
            <w:tcW w:w="5400" w:type="dxa"/>
          </w:tcPr>
          <w:p w:rsidR="00783788" w:rsidRDefault="002C6E18">
            <w:pPr>
              <w:widowControl/>
              <w:rPr>
                <w:kern w:val="0"/>
                <w:sz w:val="24"/>
              </w:rPr>
            </w:pPr>
            <w:r>
              <w:rPr>
                <w:rFonts w:hAnsi="宋体"/>
                <w:kern w:val="0"/>
                <w:sz w:val="24"/>
              </w:rPr>
              <w:t>交通银行股份有限公司（以下使用全称或其简称</w:t>
            </w:r>
            <w:r>
              <w:rPr>
                <w:kern w:val="0"/>
                <w:sz w:val="24"/>
              </w:rPr>
              <w:t>“</w:t>
            </w:r>
            <w:r>
              <w:rPr>
                <w:rFonts w:hAnsi="宋体"/>
                <w:kern w:val="0"/>
                <w:sz w:val="24"/>
              </w:rPr>
              <w:t>交通银行</w:t>
            </w:r>
            <w:r>
              <w:rPr>
                <w:kern w:val="0"/>
                <w:sz w:val="24"/>
              </w:rPr>
              <w:t>”</w:t>
            </w:r>
            <w:r>
              <w:rPr>
                <w:rFonts w:hAnsi="宋体"/>
                <w:kern w:val="0"/>
                <w:sz w:val="24"/>
              </w:rPr>
              <w:t>）</w:t>
            </w:r>
          </w:p>
        </w:tc>
        <w:tc>
          <w:tcPr>
            <w:tcW w:w="3060" w:type="dxa"/>
            <w:vAlign w:val="center"/>
          </w:tcPr>
          <w:p w:rsidR="00783788" w:rsidRDefault="002C6E18">
            <w:pPr>
              <w:widowControl/>
              <w:jc w:val="center"/>
              <w:rPr>
                <w:kern w:val="0"/>
                <w:sz w:val="24"/>
              </w:rPr>
            </w:pPr>
            <w:r>
              <w:rPr>
                <w:kern w:val="0"/>
                <w:sz w:val="24"/>
              </w:rPr>
              <w:t>65%</w:t>
            </w:r>
          </w:p>
        </w:tc>
      </w:tr>
      <w:tr w:rsidR="00783788">
        <w:tc>
          <w:tcPr>
            <w:tcW w:w="5400" w:type="dxa"/>
          </w:tcPr>
          <w:p w:rsidR="00783788" w:rsidRDefault="002C6E18">
            <w:pPr>
              <w:widowControl/>
              <w:rPr>
                <w:kern w:val="0"/>
                <w:sz w:val="24"/>
              </w:rPr>
            </w:pPr>
            <w:r>
              <w:rPr>
                <w:rFonts w:hAnsi="宋体"/>
                <w:kern w:val="0"/>
                <w:sz w:val="24"/>
              </w:rPr>
              <w:t>施罗德投资管理有限公司</w:t>
            </w:r>
          </w:p>
        </w:tc>
        <w:tc>
          <w:tcPr>
            <w:tcW w:w="3060" w:type="dxa"/>
            <w:vAlign w:val="center"/>
          </w:tcPr>
          <w:p w:rsidR="00783788" w:rsidRDefault="002C6E18">
            <w:pPr>
              <w:widowControl/>
              <w:jc w:val="center"/>
              <w:rPr>
                <w:kern w:val="0"/>
                <w:sz w:val="24"/>
              </w:rPr>
            </w:pPr>
            <w:r>
              <w:rPr>
                <w:kern w:val="0"/>
                <w:sz w:val="24"/>
              </w:rPr>
              <w:t>30%</w:t>
            </w:r>
          </w:p>
        </w:tc>
      </w:tr>
      <w:tr w:rsidR="00783788">
        <w:tc>
          <w:tcPr>
            <w:tcW w:w="5400" w:type="dxa"/>
          </w:tcPr>
          <w:p w:rsidR="00783788" w:rsidRDefault="002C6E18">
            <w:pPr>
              <w:widowControl/>
              <w:rPr>
                <w:kern w:val="0"/>
                <w:sz w:val="24"/>
              </w:rPr>
            </w:pPr>
            <w:r>
              <w:rPr>
                <w:rFonts w:hAnsi="宋体"/>
                <w:kern w:val="0"/>
                <w:sz w:val="24"/>
              </w:rPr>
              <w:t>中国国际海运集装箱（集团）股份有限公司</w:t>
            </w:r>
          </w:p>
        </w:tc>
        <w:tc>
          <w:tcPr>
            <w:tcW w:w="3060" w:type="dxa"/>
            <w:vAlign w:val="center"/>
          </w:tcPr>
          <w:p w:rsidR="00783788" w:rsidRDefault="002C6E18">
            <w:pPr>
              <w:widowControl/>
              <w:jc w:val="center"/>
              <w:rPr>
                <w:kern w:val="0"/>
                <w:sz w:val="24"/>
              </w:rPr>
            </w:pPr>
            <w:r>
              <w:rPr>
                <w:kern w:val="0"/>
                <w:sz w:val="24"/>
              </w:rPr>
              <w:t>5%</w:t>
            </w:r>
          </w:p>
        </w:tc>
      </w:tr>
    </w:tbl>
    <w:p w:rsidR="00783788" w:rsidRDefault="002C6E18">
      <w:pPr>
        <w:widowControl/>
        <w:adjustRightInd w:val="0"/>
        <w:snapToGrid w:val="0"/>
        <w:spacing w:line="360" w:lineRule="auto"/>
        <w:ind w:firstLineChars="200" w:firstLine="482"/>
        <w:rPr>
          <w:b/>
          <w:kern w:val="0"/>
          <w:sz w:val="24"/>
          <w:szCs w:val="24"/>
        </w:rPr>
      </w:pPr>
      <w:r>
        <w:rPr>
          <w:rFonts w:hAnsi="宋体"/>
          <w:b/>
          <w:kern w:val="0"/>
          <w:sz w:val="24"/>
          <w:szCs w:val="24"/>
        </w:rPr>
        <w:t>（二）主要成员情况</w:t>
      </w:r>
      <w:r>
        <w:rPr>
          <w:b/>
          <w:kern w:val="0"/>
          <w:sz w:val="24"/>
          <w:szCs w:val="24"/>
        </w:rPr>
        <w:t xml:space="preserve"> </w:t>
      </w:r>
    </w:p>
    <w:p w:rsidR="00783788" w:rsidRDefault="002C6E18">
      <w:pPr>
        <w:widowControl/>
        <w:adjustRightInd w:val="0"/>
        <w:snapToGrid w:val="0"/>
        <w:spacing w:line="360" w:lineRule="auto"/>
        <w:ind w:firstLineChars="200" w:firstLine="480"/>
        <w:rPr>
          <w:kern w:val="0"/>
          <w:sz w:val="24"/>
          <w:szCs w:val="24"/>
        </w:rPr>
      </w:pPr>
      <w:r>
        <w:rPr>
          <w:kern w:val="0"/>
          <w:sz w:val="24"/>
          <w:szCs w:val="24"/>
        </w:rPr>
        <w:t>1</w:t>
      </w:r>
      <w:r>
        <w:rPr>
          <w:rFonts w:hAnsi="宋体"/>
          <w:kern w:val="0"/>
          <w:sz w:val="24"/>
          <w:szCs w:val="24"/>
        </w:rPr>
        <w:t>、基金管理人董事会成员</w:t>
      </w:r>
      <w:r>
        <w:rPr>
          <w:kern w:val="0"/>
          <w:sz w:val="24"/>
          <w:szCs w:val="24"/>
        </w:rPr>
        <w:t xml:space="preserve"> </w:t>
      </w:r>
    </w:p>
    <w:p w:rsidR="00783788" w:rsidRDefault="002C6E18">
      <w:pPr>
        <w:widowControl/>
        <w:adjustRightInd w:val="0"/>
        <w:snapToGrid w:val="0"/>
        <w:spacing w:line="360" w:lineRule="auto"/>
        <w:ind w:firstLineChars="200" w:firstLine="480"/>
        <w:rPr>
          <w:rFonts w:ascii="宋体" w:hAnsi="宋体"/>
          <w:sz w:val="24"/>
          <w:szCs w:val="24"/>
        </w:rPr>
      </w:pPr>
      <w:r>
        <w:rPr>
          <w:rFonts w:ascii="宋体" w:hAnsi="宋体" w:hint="eastAsia"/>
          <w:sz w:val="24"/>
          <w:szCs w:val="24"/>
        </w:rPr>
        <w:t>苏奋先生，督察长，代任董事长及总经理。纽约城市大学工商管理硕士。历任交通银行广州分行市场营销部总经理助理、副总经理，交通银行纽约分行信贷管理部经理、公司金融部经理、信用风险管理办公室负责人，交通银行投资管理部投资并购高级经理，交银施罗德基金管理有限公司综合管理部总监。</w:t>
      </w:r>
    </w:p>
    <w:p w:rsidR="00783788" w:rsidRDefault="002C6E18">
      <w:pPr>
        <w:widowControl/>
        <w:spacing w:line="360" w:lineRule="auto"/>
        <w:ind w:firstLineChars="200" w:firstLine="480"/>
        <w:rPr>
          <w:rFonts w:ascii="宋体" w:hAnsi="宋体" w:cs="宋体"/>
          <w:kern w:val="0"/>
          <w:sz w:val="24"/>
        </w:rPr>
      </w:pPr>
      <w:r>
        <w:rPr>
          <w:rFonts w:ascii="宋体" w:hAnsi="宋体" w:cs="宋体" w:hint="eastAsia"/>
          <w:kern w:val="0"/>
          <w:sz w:val="24"/>
        </w:rPr>
        <w:t>雷贤达先生，副董事长，学士学历，加拿大证券学院和香港证券学院荣誉院士。历任巴克莱基金管理有限公司基金经理、施罗德投资管理（香港）有限公司执行董事、交银施罗德基金管理有限公司总经理。曾任中国证监会开放式基金海外专家评审委员会委员。</w:t>
      </w:r>
    </w:p>
    <w:p w:rsidR="00783788" w:rsidRDefault="002C6E18">
      <w:pPr>
        <w:widowControl/>
        <w:spacing w:line="360" w:lineRule="auto"/>
        <w:ind w:rightChars="-85" w:right="-178" w:firstLineChars="200" w:firstLine="480"/>
        <w:rPr>
          <w:rFonts w:hAnsi="宋体"/>
          <w:kern w:val="0"/>
          <w:sz w:val="24"/>
        </w:rPr>
      </w:pPr>
      <w:r>
        <w:rPr>
          <w:rFonts w:hAnsi="宋体" w:hint="eastAsia"/>
          <w:kern w:val="0"/>
          <w:sz w:val="24"/>
        </w:rPr>
        <w:t>阮红女士，董事，博士学历。历任交通银行办公室综合处副处长兼宣传处副处长、办公室综合处处长、交通银行海外机构管理部副总经理、总经理、交通银行上海分行副行长、交通银行资产托管部总经理、</w:t>
      </w:r>
      <w:r>
        <w:rPr>
          <w:rFonts w:ascii="宋体" w:hAnsi="宋体" w:cs="宋体" w:hint="eastAsia"/>
          <w:kern w:val="0"/>
          <w:sz w:val="24"/>
        </w:rPr>
        <w:t>交通银行投资管理部总经理</w:t>
      </w:r>
      <w:r>
        <w:rPr>
          <w:rFonts w:hAnsi="宋体" w:hint="eastAsia"/>
          <w:kern w:val="0"/>
          <w:sz w:val="24"/>
        </w:rPr>
        <w:t>。</w:t>
      </w:r>
    </w:p>
    <w:p w:rsidR="00783788" w:rsidRDefault="002C6E18">
      <w:pPr>
        <w:widowControl/>
        <w:spacing w:line="360" w:lineRule="auto"/>
        <w:ind w:rightChars="-85" w:right="-178" w:firstLineChars="200" w:firstLine="480"/>
        <w:jc w:val="left"/>
        <w:rPr>
          <w:rFonts w:ascii="宋体" w:hAnsi="宋体" w:cs="宋体"/>
          <w:kern w:val="0"/>
          <w:sz w:val="24"/>
        </w:rPr>
      </w:pPr>
      <w:r>
        <w:rPr>
          <w:rFonts w:ascii="宋体" w:hAnsi="宋体" w:cs="宋体" w:hint="eastAsia"/>
          <w:kern w:val="0"/>
          <w:sz w:val="24"/>
        </w:rPr>
        <w:t>吴伟</w:t>
      </w:r>
      <w:r>
        <w:rPr>
          <w:rFonts w:ascii="宋体" w:hAnsi="宋体" w:cs="宋体"/>
          <w:kern w:val="0"/>
          <w:sz w:val="24"/>
        </w:rPr>
        <w:t>先生，</w:t>
      </w:r>
      <w:r>
        <w:rPr>
          <w:rFonts w:ascii="宋体" w:hAnsi="宋体" w:cs="宋体" w:hint="eastAsia"/>
          <w:kern w:val="0"/>
          <w:sz w:val="24"/>
        </w:rPr>
        <w:t>董事</w:t>
      </w:r>
      <w:r>
        <w:rPr>
          <w:rFonts w:ascii="宋体" w:hAnsi="宋体" w:cs="宋体"/>
          <w:kern w:val="0"/>
          <w:sz w:val="24"/>
        </w:rPr>
        <w:t>，博士学历。</w:t>
      </w:r>
      <w:r>
        <w:rPr>
          <w:rFonts w:ascii="宋体" w:hAnsi="宋体" w:hint="eastAsia"/>
          <w:kern w:val="0"/>
          <w:sz w:val="24"/>
        </w:rPr>
        <w:t>现任交通银行投资银行业务中心总裁，</w:t>
      </w:r>
      <w:r>
        <w:rPr>
          <w:rFonts w:ascii="宋体" w:hAnsi="宋体" w:hint="eastAsia"/>
          <w:color w:val="000000"/>
          <w:kern w:val="0"/>
          <w:sz w:val="24"/>
          <w:szCs w:val="24"/>
        </w:rPr>
        <w:t>交通银行资产负债管理部总经理</w:t>
      </w:r>
      <w:r>
        <w:rPr>
          <w:rFonts w:ascii="宋体" w:hAnsi="宋体" w:hint="eastAsia"/>
          <w:color w:val="000000"/>
          <w:kern w:val="0"/>
          <w:sz w:val="24"/>
        </w:rPr>
        <w:t>。</w:t>
      </w:r>
      <w:r>
        <w:rPr>
          <w:rFonts w:ascii="宋体" w:hAnsi="宋体" w:cs="宋体"/>
          <w:kern w:val="0"/>
          <w:sz w:val="24"/>
        </w:rPr>
        <w:t>历任</w:t>
      </w:r>
      <w:r>
        <w:rPr>
          <w:rFonts w:ascii="宋体" w:hAnsi="宋体" w:cs="宋体" w:hint="eastAsia"/>
          <w:kern w:val="0"/>
          <w:sz w:val="24"/>
        </w:rPr>
        <w:t>交通银行总行财会部财务处主管、副处长、预算财务部副总经理、总经理，交通银行沈阳分行行长、交通银行预算财务部总经理</w:t>
      </w:r>
      <w:r>
        <w:rPr>
          <w:rFonts w:ascii="宋体" w:hAnsi="宋体" w:cs="宋体"/>
          <w:kern w:val="0"/>
          <w:sz w:val="24"/>
        </w:rPr>
        <w:t>。</w:t>
      </w:r>
    </w:p>
    <w:p w:rsidR="00783788" w:rsidRDefault="002C6E18">
      <w:pPr>
        <w:widowControl/>
        <w:spacing w:line="360" w:lineRule="auto"/>
        <w:ind w:firstLineChars="200" w:firstLine="480"/>
        <w:rPr>
          <w:rFonts w:ascii="宋体" w:hAnsi="宋体"/>
          <w:sz w:val="24"/>
        </w:rPr>
      </w:pPr>
      <w:r>
        <w:rPr>
          <w:rFonts w:ascii="宋体" w:hAnsi="宋体" w:hint="eastAsia"/>
          <w:sz w:val="24"/>
        </w:rPr>
        <w:t>孟方德先生，董事，硕士学历。现任施罗德投资管理有限公司亚太区总裁。历任施罗德投资管理有限公司分析师、投资经理，施罗德投资管理（新加坡）有限公司副董事长，施罗德投资管理国际有限公司执行董事，施罗德投资管理（卢森堡）有限公司总经理，施罗德投资管理（日本）有限公司总经理，施罗德投资管理有限公司英国区总经理及销售总监、全球渠道销售业务总监。</w:t>
      </w:r>
    </w:p>
    <w:p w:rsidR="00783788" w:rsidRDefault="002C6E18">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谢丹阳先生，独立董事，博士学历。</w:t>
      </w:r>
      <w:r>
        <w:rPr>
          <w:rFonts w:ascii="宋体" w:hAnsi="宋体" w:hint="eastAsia"/>
          <w:kern w:val="0"/>
          <w:sz w:val="24"/>
        </w:rPr>
        <w:t>现任</w:t>
      </w:r>
      <w:r>
        <w:rPr>
          <w:rFonts w:hAnsi="宋体" w:hint="eastAsia"/>
          <w:kern w:val="0"/>
          <w:sz w:val="24"/>
        </w:rPr>
        <w:t>武汉大学经济与管理学院院长、</w:t>
      </w:r>
      <w:r>
        <w:rPr>
          <w:rFonts w:ascii="宋体" w:hAnsi="宋体" w:cs="宋体" w:hint="eastAsia"/>
          <w:color w:val="000000"/>
          <w:kern w:val="0"/>
          <w:sz w:val="24"/>
        </w:rPr>
        <w:t>香港科技大学经济系教授</w:t>
      </w:r>
      <w:r>
        <w:rPr>
          <w:rFonts w:hAnsi="宋体"/>
          <w:kern w:val="0"/>
          <w:sz w:val="24"/>
        </w:rPr>
        <w:t>。</w:t>
      </w:r>
      <w:r>
        <w:rPr>
          <w:rFonts w:ascii="宋体" w:hAnsi="宋体" w:cs="宋体" w:hint="eastAsia"/>
          <w:kern w:val="0"/>
          <w:sz w:val="24"/>
        </w:rPr>
        <w:t>历任蒙特利尔大学经济系助理教授，国际货币基金经济学家和高级经济学家，香港科技大学助理教授、副教授、教授、系主任、瑞安经管中心主任。</w:t>
      </w:r>
    </w:p>
    <w:p w:rsidR="00783788" w:rsidRDefault="002C6E18">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袁志刚先生，独立董事，博士学历。现任复旦大学经济学院院长。历任复旦大学经济学院副教授、教授、经济系系主任。</w:t>
      </w:r>
    </w:p>
    <w:p w:rsidR="00783788" w:rsidRDefault="002C6E18">
      <w:pPr>
        <w:widowControl/>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 xml:space="preserve">周林先生，独立董事，博士学历。现任上海交通大学安泰经济与管理学院院长、教授。历任复旦大学管理科学系助教，美国耶鲁大学经济系助理教授、副教授，美国杜克大学经济系副教授，香港城市大学经济与金融系教授，美国亚利桑那州立大学凯瑞商学院经济系冠名教授，上海交通大学上海高级金融学院常务副院长、教授。  </w:t>
      </w:r>
      <w:r>
        <w:rPr>
          <w:rFonts w:ascii="宋体" w:hAnsi="宋体" w:cs="宋体"/>
          <w:kern w:val="0"/>
          <w:sz w:val="24"/>
        </w:rPr>
        <w:t xml:space="preserve">  </w:t>
      </w:r>
    </w:p>
    <w:p w:rsidR="00783788" w:rsidRDefault="002C6E18">
      <w:pPr>
        <w:widowControl/>
        <w:adjustRightInd w:val="0"/>
        <w:snapToGrid w:val="0"/>
        <w:spacing w:line="360" w:lineRule="auto"/>
        <w:ind w:firstLineChars="200" w:firstLine="480"/>
        <w:rPr>
          <w:kern w:val="0"/>
          <w:sz w:val="24"/>
          <w:szCs w:val="24"/>
        </w:rPr>
      </w:pPr>
      <w:r>
        <w:rPr>
          <w:kern w:val="0"/>
          <w:sz w:val="24"/>
          <w:szCs w:val="24"/>
        </w:rPr>
        <w:t>2</w:t>
      </w:r>
      <w:r>
        <w:rPr>
          <w:kern w:val="0"/>
          <w:sz w:val="24"/>
          <w:szCs w:val="24"/>
        </w:rPr>
        <w:t>、基金管理人监事会成员</w:t>
      </w:r>
      <w:r>
        <w:rPr>
          <w:kern w:val="0"/>
          <w:sz w:val="24"/>
          <w:szCs w:val="24"/>
        </w:rPr>
        <w:t xml:space="preserve"> </w:t>
      </w:r>
    </w:p>
    <w:p w:rsidR="00783788" w:rsidRDefault="002C6E18">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杜静先生，监事长，硕士学位，高级经济师。历任中国农业银行潜江支行办公室副主任；交通银行武汉分行信贷处副处长、信贷处处长兼授信催理处主任、国外业务处处长；交通银行市场营销部业务代理处处长；交通银行宜昌分行党委书记、行长；交通银行福建省分行党委书记、行长；交通银行华中授信审批中心总经理。</w:t>
      </w:r>
    </w:p>
    <w:p w:rsidR="00783788" w:rsidRDefault="002C6E18">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裴关淑仪女士</w:t>
      </w:r>
      <w:r>
        <w:rPr>
          <w:rFonts w:ascii="宋体" w:hAnsi="宋体" w:cs="宋体"/>
          <w:kern w:val="0"/>
          <w:sz w:val="24"/>
        </w:rPr>
        <w:t>，</w:t>
      </w:r>
      <w:r>
        <w:rPr>
          <w:rFonts w:ascii="宋体" w:hAnsi="宋体" w:cs="宋体" w:hint="eastAsia"/>
          <w:kern w:val="0"/>
          <w:sz w:val="24"/>
        </w:rPr>
        <w:t>监事，</w:t>
      </w:r>
      <w:r>
        <w:rPr>
          <w:rFonts w:ascii="宋体" w:hAnsi="宋体" w:cs="宋体"/>
          <w:kern w:val="0"/>
          <w:sz w:val="24"/>
        </w:rPr>
        <w:t>CFA</w:t>
      </w:r>
      <w:r>
        <w:rPr>
          <w:rFonts w:ascii="宋体" w:hAnsi="宋体" w:cs="宋体" w:hint="eastAsia"/>
          <w:kern w:val="0"/>
          <w:sz w:val="24"/>
        </w:rPr>
        <w:t>、</w:t>
      </w:r>
      <w:r>
        <w:rPr>
          <w:rFonts w:ascii="宋体" w:hAnsi="宋体" w:cs="宋体"/>
          <w:kern w:val="0"/>
          <w:sz w:val="24"/>
        </w:rPr>
        <w:t>CIPM</w:t>
      </w:r>
      <w:r>
        <w:rPr>
          <w:rFonts w:ascii="宋体" w:hAnsi="宋体" w:cs="宋体" w:hint="eastAsia"/>
          <w:kern w:val="0"/>
          <w:sz w:val="24"/>
        </w:rPr>
        <w:t>、</w:t>
      </w:r>
      <w:r>
        <w:rPr>
          <w:rFonts w:ascii="宋体" w:hAnsi="宋体" w:cs="宋体"/>
          <w:kern w:val="0"/>
          <w:sz w:val="24"/>
        </w:rPr>
        <w:t>FRM</w:t>
      </w:r>
      <w:r>
        <w:rPr>
          <w:rFonts w:ascii="宋体" w:hAnsi="宋体" w:cs="宋体" w:hint="eastAsia"/>
          <w:kern w:val="0"/>
          <w:sz w:val="24"/>
        </w:rPr>
        <w:t>，工商管理、资讯管理双硕士。</w:t>
      </w:r>
      <w:r>
        <w:rPr>
          <w:rFonts w:ascii="宋体" w:hAnsi="宋体" w:cs="宋体" w:hint="eastAsia"/>
          <w:color w:val="000000"/>
          <w:kern w:val="0"/>
          <w:sz w:val="24"/>
        </w:rPr>
        <w:t>现任交银施罗德基金管理有限公司助理总经理、</w:t>
      </w:r>
      <w:r>
        <w:rPr>
          <w:rFonts w:ascii="宋体" w:hAnsi="宋体" w:cs="宋体" w:hint="eastAsia"/>
          <w:kern w:val="0"/>
          <w:sz w:val="24"/>
        </w:rPr>
        <w:t>交银施罗德资产管理（香港）有限公司总经理。曾任职荷兰银行、渣打银行（香港）有限公司、</w:t>
      </w:r>
      <w:r>
        <w:rPr>
          <w:rFonts w:ascii="宋体" w:hAnsi="宋体" w:cs="宋体"/>
          <w:kern w:val="0"/>
          <w:sz w:val="24"/>
        </w:rPr>
        <w:t>MIDAS-KAPITI INTERNATIONAL LIMITED</w:t>
      </w:r>
      <w:r>
        <w:rPr>
          <w:rFonts w:ascii="宋体" w:hAnsi="宋体" w:cs="宋体" w:hint="eastAsia"/>
          <w:kern w:val="0"/>
          <w:sz w:val="24"/>
        </w:rPr>
        <w:t>，施罗德投资管理</w:t>
      </w:r>
      <w:r>
        <w:rPr>
          <w:rFonts w:ascii="宋体" w:hAnsi="宋体" w:cs="宋体"/>
          <w:kern w:val="0"/>
          <w:sz w:val="24"/>
        </w:rPr>
        <w:t>(</w:t>
      </w:r>
      <w:r>
        <w:rPr>
          <w:rFonts w:ascii="宋体" w:hAnsi="宋体" w:cs="宋体" w:hint="eastAsia"/>
          <w:kern w:val="0"/>
          <w:sz w:val="24"/>
        </w:rPr>
        <w:t>香港</w:t>
      </w:r>
      <w:r>
        <w:rPr>
          <w:rFonts w:ascii="宋体" w:hAnsi="宋体" w:cs="宋体"/>
          <w:kern w:val="0"/>
          <w:sz w:val="24"/>
        </w:rPr>
        <w:t>)</w:t>
      </w:r>
      <w:r>
        <w:rPr>
          <w:rFonts w:ascii="宋体" w:hAnsi="宋体" w:cs="宋体" w:hint="eastAsia"/>
          <w:kern w:val="0"/>
          <w:sz w:val="24"/>
        </w:rPr>
        <w:t>有限公司资讯科技部主管、中国事务联席董事、交银施罗德基金管理有限公司监察稽核及风险管理总监。</w:t>
      </w:r>
    </w:p>
    <w:p w:rsidR="00783788" w:rsidRDefault="002C6E18">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陈超女士，监事，硕士学历。现任交银施罗德基金管理有限公司董事会监事会办公室总经理兼董事会秘书。历任交通银行股份有限公司资产托管部内控综合员，交银施罗德基金管理有限公司董事会秘书、合规审计部总经理、监察稽核部总经理。</w:t>
      </w:r>
    </w:p>
    <w:p w:rsidR="00783788" w:rsidRDefault="002C6E18">
      <w:pPr>
        <w:widowControl/>
        <w:adjustRightInd w:val="0"/>
        <w:snapToGrid w:val="0"/>
        <w:spacing w:line="360" w:lineRule="auto"/>
        <w:ind w:firstLineChars="200" w:firstLine="480"/>
        <w:rPr>
          <w:kern w:val="0"/>
          <w:sz w:val="24"/>
          <w:szCs w:val="24"/>
        </w:rPr>
      </w:pPr>
      <w:r>
        <w:rPr>
          <w:kern w:val="0"/>
          <w:sz w:val="24"/>
          <w:szCs w:val="24"/>
        </w:rPr>
        <w:t>3</w:t>
      </w:r>
      <w:r>
        <w:rPr>
          <w:rFonts w:hAnsi="宋体"/>
          <w:kern w:val="0"/>
          <w:sz w:val="24"/>
          <w:szCs w:val="24"/>
        </w:rPr>
        <w:t>、公司高管人员</w:t>
      </w:r>
      <w:r>
        <w:rPr>
          <w:kern w:val="0"/>
          <w:sz w:val="24"/>
          <w:szCs w:val="24"/>
        </w:rPr>
        <w:t xml:space="preserve"> </w:t>
      </w:r>
    </w:p>
    <w:p w:rsidR="00783788" w:rsidRDefault="002C6E18">
      <w:pPr>
        <w:widowControl/>
        <w:adjustRightInd w:val="0"/>
        <w:snapToGrid w:val="0"/>
        <w:spacing w:line="360" w:lineRule="auto"/>
        <w:ind w:firstLineChars="200" w:firstLine="480"/>
        <w:rPr>
          <w:kern w:val="0"/>
          <w:sz w:val="24"/>
          <w:szCs w:val="24"/>
        </w:rPr>
      </w:pPr>
      <w:r>
        <w:rPr>
          <w:rFonts w:ascii="宋体" w:hAnsi="宋体" w:hint="eastAsia"/>
          <w:sz w:val="24"/>
          <w:szCs w:val="24"/>
        </w:rPr>
        <w:t>苏奋先生，督察长，代任董事长及总经理。简历同上</w:t>
      </w:r>
      <w:r>
        <w:rPr>
          <w:rFonts w:hint="eastAsia"/>
          <w:kern w:val="0"/>
          <w:sz w:val="24"/>
          <w:szCs w:val="24"/>
        </w:rPr>
        <w:t>。</w:t>
      </w:r>
    </w:p>
    <w:p w:rsidR="00783788" w:rsidRDefault="002C6E18">
      <w:pPr>
        <w:pStyle w:val="aa"/>
        <w:adjustRightInd w:val="0"/>
        <w:snapToGrid w:val="0"/>
        <w:spacing w:line="360" w:lineRule="auto"/>
        <w:ind w:firstLineChars="200" w:firstLine="480"/>
        <w:jc w:val="both"/>
        <w:rPr>
          <w:rFonts w:ascii="Times New Roman" w:hAnsi="Times New Roman"/>
          <w:sz w:val="24"/>
          <w:szCs w:val="24"/>
        </w:rPr>
      </w:pPr>
      <w:r>
        <w:rPr>
          <w:rFonts w:ascii="Times New Roman" w:hAnsi="宋体"/>
          <w:sz w:val="24"/>
          <w:szCs w:val="24"/>
        </w:rPr>
        <w:t>许珊燕女士，副总经理，硕士学历，高级经济师</w:t>
      </w:r>
      <w:r>
        <w:rPr>
          <w:rFonts w:ascii="Times New Roman" w:hAnsi="宋体" w:hint="eastAsia"/>
          <w:sz w:val="24"/>
          <w:szCs w:val="24"/>
        </w:rPr>
        <w:t>，兼任交银施罗德资产管理有限公司董事</w:t>
      </w:r>
      <w:r>
        <w:rPr>
          <w:rFonts w:ascii="Times New Roman" w:hAnsi="宋体"/>
          <w:sz w:val="24"/>
          <w:szCs w:val="24"/>
        </w:rPr>
        <w:t>。历任湖南大学</w:t>
      </w:r>
      <w:r>
        <w:rPr>
          <w:rFonts w:ascii="Times New Roman" w:hAnsi="Times New Roman"/>
          <w:sz w:val="24"/>
          <w:szCs w:val="24"/>
        </w:rPr>
        <w:t>(</w:t>
      </w:r>
      <w:r>
        <w:rPr>
          <w:rFonts w:ascii="Times New Roman" w:hAnsi="宋体"/>
          <w:sz w:val="24"/>
          <w:szCs w:val="24"/>
        </w:rPr>
        <w:t>原湖南财经学院</w:t>
      </w:r>
      <w:r>
        <w:rPr>
          <w:rFonts w:ascii="Times New Roman" w:hAnsi="Times New Roman"/>
          <w:sz w:val="24"/>
          <w:szCs w:val="24"/>
        </w:rPr>
        <w:t>)</w:t>
      </w:r>
      <w:r>
        <w:rPr>
          <w:rFonts w:ascii="Times New Roman" w:hAnsi="宋体"/>
          <w:sz w:val="24"/>
          <w:szCs w:val="24"/>
        </w:rPr>
        <w:t>金融学院讲师，湘财证券有限责任公司国债部副经理、基金管理总部总经理，湘财荷银基金管理有限公司副总经理。</w:t>
      </w:r>
    </w:p>
    <w:p w:rsidR="00783788" w:rsidRDefault="002C6E18">
      <w:pPr>
        <w:widowControl/>
        <w:adjustRightInd w:val="0"/>
        <w:snapToGrid w:val="0"/>
        <w:spacing w:line="360" w:lineRule="auto"/>
        <w:ind w:firstLineChars="200" w:firstLine="480"/>
        <w:rPr>
          <w:kern w:val="0"/>
          <w:sz w:val="24"/>
          <w:szCs w:val="24"/>
        </w:rPr>
      </w:pPr>
      <w:r>
        <w:rPr>
          <w:rFonts w:hAnsi="宋体"/>
          <w:kern w:val="0"/>
          <w:sz w:val="24"/>
          <w:szCs w:val="24"/>
        </w:rPr>
        <w:t>谢卫先生，副总经理，经济学博士，高级经济师。历任中央财经大学金融系教员；中国社会科学院财经所助理研究员；中国电力信托投资公司基金部副经理；中国人保信托投资公司证券部副总经理、总经理、北京证券营业部总经理、证券总部副总经理兼北方部总经理，富国基金管理有限公司副总经理。</w:t>
      </w:r>
    </w:p>
    <w:p w:rsidR="00783788" w:rsidRDefault="002C6E18">
      <w:pPr>
        <w:widowControl/>
        <w:adjustRightInd w:val="0"/>
        <w:snapToGrid w:val="0"/>
        <w:spacing w:line="360" w:lineRule="auto"/>
        <w:ind w:firstLineChars="200" w:firstLine="480"/>
        <w:rPr>
          <w:kern w:val="0"/>
          <w:sz w:val="24"/>
          <w:szCs w:val="24"/>
        </w:rPr>
      </w:pPr>
      <w:r>
        <w:rPr>
          <w:kern w:val="0"/>
          <w:sz w:val="24"/>
          <w:szCs w:val="24"/>
        </w:rPr>
        <w:t>4</w:t>
      </w:r>
      <w:r>
        <w:rPr>
          <w:rFonts w:hAnsi="宋体"/>
          <w:kern w:val="0"/>
          <w:sz w:val="24"/>
          <w:szCs w:val="24"/>
        </w:rPr>
        <w:t>、本基金基金经理</w:t>
      </w:r>
      <w:r>
        <w:rPr>
          <w:kern w:val="0"/>
          <w:sz w:val="24"/>
          <w:szCs w:val="24"/>
        </w:rPr>
        <w:t xml:space="preserve"> </w:t>
      </w:r>
    </w:p>
    <w:p w:rsidR="00783788" w:rsidRDefault="002C6E18">
      <w:pPr>
        <w:widowControl/>
        <w:adjustRightInd w:val="0"/>
        <w:snapToGrid w:val="0"/>
        <w:spacing w:line="360" w:lineRule="auto"/>
        <w:ind w:firstLineChars="200" w:firstLine="480"/>
        <w:rPr>
          <w:rFonts w:hAnsi="宋体"/>
          <w:kern w:val="0"/>
          <w:sz w:val="24"/>
        </w:rPr>
      </w:pPr>
      <w:r>
        <w:rPr>
          <w:rFonts w:hAnsi="宋体" w:hint="eastAsia"/>
          <w:kern w:val="0"/>
          <w:sz w:val="24"/>
        </w:rPr>
        <w:t>张迎军先生，基金经理，经济学硕士。</w:t>
      </w:r>
      <w:r>
        <w:rPr>
          <w:rFonts w:hAnsi="宋体" w:hint="eastAsia"/>
          <w:kern w:val="0"/>
          <w:sz w:val="24"/>
        </w:rPr>
        <w:t>1</w:t>
      </w:r>
      <w:r>
        <w:rPr>
          <w:rFonts w:hAnsi="宋体"/>
          <w:kern w:val="0"/>
          <w:sz w:val="24"/>
        </w:rPr>
        <w:t>5</w:t>
      </w:r>
      <w:r>
        <w:rPr>
          <w:rFonts w:hAnsi="宋体" w:hint="eastAsia"/>
          <w:kern w:val="0"/>
          <w:sz w:val="24"/>
        </w:rPr>
        <w:t>年证券从业经验。</w:t>
      </w:r>
      <w:r>
        <w:rPr>
          <w:rFonts w:hAnsi="宋体" w:hint="eastAsia"/>
          <w:kern w:val="0"/>
          <w:sz w:val="24"/>
        </w:rPr>
        <w:t>2000</w:t>
      </w:r>
      <w:r>
        <w:rPr>
          <w:rFonts w:hAnsi="宋体" w:hint="eastAsia"/>
          <w:kern w:val="0"/>
          <w:sz w:val="24"/>
        </w:rPr>
        <w:t>年</w:t>
      </w:r>
      <w:r>
        <w:rPr>
          <w:rFonts w:hAnsi="宋体" w:hint="eastAsia"/>
          <w:kern w:val="0"/>
          <w:sz w:val="24"/>
        </w:rPr>
        <w:t>7</w:t>
      </w:r>
      <w:r>
        <w:rPr>
          <w:rFonts w:hAnsi="宋体" w:hint="eastAsia"/>
          <w:kern w:val="0"/>
          <w:sz w:val="24"/>
        </w:rPr>
        <w:t>月至</w:t>
      </w:r>
      <w:r>
        <w:rPr>
          <w:rFonts w:hAnsi="宋体" w:hint="eastAsia"/>
          <w:kern w:val="0"/>
          <w:sz w:val="24"/>
        </w:rPr>
        <w:t>2003</w:t>
      </w:r>
      <w:r>
        <w:rPr>
          <w:rFonts w:hAnsi="宋体" w:hint="eastAsia"/>
          <w:kern w:val="0"/>
          <w:sz w:val="24"/>
        </w:rPr>
        <w:t>年</w:t>
      </w:r>
      <w:r>
        <w:rPr>
          <w:rFonts w:hAnsi="宋体" w:hint="eastAsia"/>
          <w:kern w:val="0"/>
          <w:sz w:val="24"/>
        </w:rPr>
        <w:t>3</w:t>
      </w:r>
      <w:r>
        <w:rPr>
          <w:rFonts w:hAnsi="宋体" w:hint="eastAsia"/>
          <w:kern w:val="0"/>
          <w:sz w:val="24"/>
        </w:rPr>
        <w:t>月任职于申银万国证券研究所市场研究部、策略研究部研究员，</w:t>
      </w:r>
      <w:r>
        <w:rPr>
          <w:rFonts w:hAnsi="宋体" w:hint="eastAsia"/>
          <w:kern w:val="0"/>
          <w:sz w:val="24"/>
        </w:rPr>
        <w:t>2003</w:t>
      </w:r>
      <w:r>
        <w:rPr>
          <w:rFonts w:hAnsi="宋体" w:hint="eastAsia"/>
          <w:kern w:val="0"/>
          <w:sz w:val="24"/>
        </w:rPr>
        <w:t>年</w:t>
      </w:r>
      <w:r>
        <w:rPr>
          <w:rFonts w:hAnsi="宋体" w:hint="eastAsia"/>
          <w:kern w:val="0"/>
          <w:sz w:val="24"/>
        </w:rPr>
        <w:t>4</w:t>
      </w:r>
      <w:r>
        <w:rPr>
          <w:rFonts w:hAnsi="宋体" w:hint="eastAsia"/>
          <w:kern w:val="0"/>
          <w:sz w:val="24"/>
        </w:rPr>
        <w:t>月至</w:t>
      </w:r>
      <w:r>
        <w:rPr>
          <w:rFonts w:hAnsi="宋体" w:hint="eastAsia"/>
          <w:kern w:val="0"/>
          <w:sz w:val="24"/>
        </w:rPr>
        <w:t>2006</w:t>
      </w:r>
      <w:r>
        <w:rPr>
          <w:rFonts w:hAnsi="宋体" w:hint="eastAsia"/>
          <w:kern w:val="0"/>
          <w:sz w:val="24"/>
        </w:rPr>
        <w:t>年</w:t>
      </w:r>
      <w:r>
        <w:rPr>
          <w:rFonts w:hAnsi="宋体" w:hint="eastAsia"/>
          <w:kern w:val="0"/>
          <w:sz w:val="24"/>
        </w:rPr>
        <w:t>11</w:t>
      </w:r>
      <w:r>
        <w:rPr>
          <w:rFonts w:hAnsi="宋体" w:hint="eastAsia"/>
          <w:kern w:val="0"/>
          <w:sz w:val="24"/>
        </w:rPr>
        <w:t>月任职于中国太平洋保险（集团）股份有限公司资金运用管理中心投资经理，</w:t>
      </w:r>
      <w:r>
        <w:rPr>
          <w:rFonts w:hAnsi="宋体" w:hint="eastAsia"/>
          <w:kern w:val="0"/>
          <w:sz w:val="24"/>
        </w:rPr>
        <w:t>2006</w:t>
      </w:r>
      <w:r>
        <w:rPr>
          <w:rFonts w:hAnsi="宋体" w:hint="eastAsia"/>
          <w:kern w:val="0"/>
          <w:sz w:val="24"/>
        </w:rPr>
        <w:t>年</w:t>
      </w:r>
      <w:r>
        <w:rPr>
          <w:rFonts w:hAnsi="宋体" w:hint="eastAsia"/>
          <w:kern w:val="0"/>
          <w:sz w:val="24"/>
        </w:rPr>
        <w:t>12</w:t>
      </w:r>
      <w:r>
        <w:rPr>
          <w:rFonts w:hAnsi="宋体" w:hint="eastAsia"/>
          <w:kern w:val="0"/>
          <w:sz w:val="24"/>
        </w:rPr>
        <w:t>月至</w:t>
      </w:r>
      <w:r>
        <w:rPr>
          <w:rFonts w:hAnsi="宋体" w:hint="eastAsia"/>
          <w:kern w:val="0"/>
          <w:sz w:val="24"/>
        </w:rPr>
        <w:t>2008</w:t>
      </w:r>
      <w:r>
        <w:rPr>
          <w:rFonts w:hAnsi="宋体" w:hint="eastAsia"/>
          <w:kern w:val="0"/>
          <w:sz w:val="24"/>
        </w:rPr>
        <w:t>年</w:t>
      </w:r>
      <w:r>
        <w:rPr>
          <w:rFonts w:hAnsi="宋体" w:hint="eastAsia"/>
          <w:kern w:val="0"/>
          <w:sz w:val="24"/>
        </w:rPr>
        <w:t>5</w:t>
      </w:r>
      <w:r>
        <w:rPr>
          <w:rFonts w:hAnsi="宋体" w:hint="eastAsia"/>
          <w:kern w:val="0"/>
          <w:sz w:val="24"/>
        </w:rPr>
        <w:t>月任职于太平洋资产管理有限公司组合管理部组合经理。</w:t>
      </w:r>
      <w:r>
        <w:rPr>
          <w:rFonts w:hAnsi="宋体" w:hint="eastAsia"/>
          <w:kern w:val="0"/>
          <w:sz w:val="24"/>
        </w:rPr>
        <w:t>2008</w:t>
      </w:r>
      <w:r>
        <w:rPr>
          <w:rFonts w:hAnsi="宋体" w:hint="eastAsia"/>
          <w:kern w:val="0"/>
          <w:sz w:val="24"/>
        </w:rPr>
        <w:t>年</w:t>
      </w:r>
      <w:r>
        <w:rPr>
          <w:rFonts w:hAnsi="宋体" w:hint="eastAsia"/>
          <w:kern w:val="0"/>
          <w:sz w:val="24"/>
        </w:rPr>
        <w:t>8</w:t>
      </w:r>
      <w:r>
        <w:rPr>
          <w:rFonts w:hAnsi="宋体" w:hint="eastAsia"/>
          <w:kern w:val="0"/>
          <w:sz w:val="24"/>
        </w:rPr>
        <w:t>月加入交银施罗德基金管理有限公司，曾任固定收益部副总经理，现任权益部副总经理。</w:t>
      </w:r>
      <w:r>
        <w:rPr>
          <w:rFonts w:hAnsi="宋体" w:hint="eastAsia"/>
          <w:kern w:val="0"/>
          <w:sz w:val="24"/>
        </w:rPr>
        <w:t>2009</w:t>
      </w:r>
      <w:r>
        <w:rPr>
          <w:rFonts w:hAnsi="宋体" w:hint="eastAsia"/>
          <w:kern w:val="0"/>
          <w:sz w:val="24"/>
        </w:rPr>
        <w:t>年</w:t>
      </w:r>
      <w:r>
        <w:rPr>
          <w:rFonts w:hAnsi="宋体" w:hint="eastAsia"/>
          <w:kern w:val="0"/>
          <w:sz w:val="24"/>
        </w:rPr>
        <w:t>1</w:t>
      </w:r>
      <w:r>
        <w:rPr>
          <w:rFonts w:hAnsi="宋体" w:hint="eastAsia"/>
          <w:kern w:val="0"/>
          <w:sz w:val="24"/>
        </w:rPr>
        <w:t>月</w:t>
      </w:r>
      <w:r>
        <w:rPr>
          <w:rFonts w:hAnsi="宋体" w:hint="eastAsia"/>
          <w:kern w:val="0"/>
          <w:sz w:val="24"/>
        </w:rPr>
        <w:t>21</w:t>
      </w:r>
      <w:r>
        <w:rPr>
          <w:rFonts w:hAnsi="宋体" w:hint="eastAsia"/>
          <w:kern w:val="0"/>
          <w:sz w:val="24"/>
        </w:rPr>
        <w:t>日至</w:t>
      </w:r>
      <w:r>
        <w:rPr>
          <w:rFonts w:hAnsi="宋体" w:hint="eastAsia"/>
          <w:kern w:val="0"/>
          <w:sz w:val="24"/>
        </w:rPr>
        <w:t>2012</w:t>
      </w:r>
      <w:r>
        <w:rPr>
          <w:rFonts w:hAnsi="宋体" w:hint="eastAsia"/>
          <w:kern w:val="0"/>
          <w:sz w:val="24"/>
        </w:rPr>
        <w:t>年</w:t>
      </w:r>
      <w:r>
        <w:rPr>
          <w:rFonts w:hAnsi="宋体" w:hint="eastAsia"/>
          <w:kern w:val="0"/>
          <w:sz w:val="24"/>
        </w:rPr>
        <w:t>2</w:t>
      </w:r>
      <w:r>
        <w:rPr>
          <w:rFonts w:hAnsi="宋体" w:hint="eastAsia"/>
          <w:kern w:val="0"/>
          <w:sz w:val="24"/>
        </w:rPr>
        <w:t>月</w:t>
      </w:r>
      <w:r>
        <w:rPr>
          <w:rFonts w:hAnsi="宋体" w:hint="eastAsia"/>
          <w:kern w:val="0"/>
          <w:sz w:val="24"/>
        </w:rPr>
        <w:t>2</w:t>
      </w:r>
      <w:r>
        <w:rPr>
          <w:rFonts w:hAnsi="宋体" w:hint="eastAsia"/>
          <w:kern w:val="0"/>
          <w:sz w:val="24"/>
        </w:rPr>
        <w:t>日担任交银施罗德保本混合型证券投资基金基金经理，并于</w:t>
      </w:r>
      <w:r>
        <w:rPr>
          <w:rFonts w:hAnsi="宋体" w:hint="eastAsia"/>
          <w:kern w:val="0"/>
          <w:sz w:val="24"/>
        </w:rPr>
        <w:t>2012</w:t>
      </w:r>
      <w:r>
        <w:rPr>
          <w:rFonts w:hAnsi="宋体" w:hint="eastAsia"/>
          <w:kern w:val="0"/>
          <w:sz w:val="24"/>
        </w:rPr>
        <w:t>年</w:t>
      </w:r>
      <w:r>
        <w:rPr>
          <w:rFonts w:hAnsi="宋体" w:hint="eastAsia"/>
          <w:kern w:val="0"/>
          <w:sz w:val="24"/>
        </w:rPr>
        <w:t>2</w:t>
      </w:r>
      <w:r>
        <w:rPr>
          <w:rFonts w:hAnsi="宋体" w:hint="eastAsia"/>
          <w:kern w:val="0"/>
          <w:sz w:val="24"/>
        </w:rPr>
        <w:t>月</w:t>
      </w:r>
      <w:r>
        <w:rPr>
          <w:rFonts w:hAnsi="宋体" w:hint="eastAsia"/>
          <w:kern w:val="0"/>
          <w:sz w:val="24"/>
        </w:rPr>
        <w:t>3</w:t>
      </w:r>
      <w:r>
        <w:rPr>
          <w:rFonts w:hAnsi="宋体" w:hint="eastAsia"/>
          <w:kern w:val="0"/>
          <w:sz w:val="24"/>
        </w:rPr>
        <w:t>日起继续担任转型后的交银施罗德优势行业灵活配置混合型证券投资基金基金经理至今，</w:t>
      </w:r>
      <w:r>
        <w:rPr>
          <w:rFonts w:hAnsi="宋体" w:hint="eastAsia"/>
          <w:kern w:val="0"/>
          <w:sz w:val="24"/>
        </w:rPr>
        <w:t>2011</w:t>
      </w:r>
      <w:r>
        <w:rPr>
          <w:rFonts w:hAnsi="宋体" w:hint="eastAsia"/>
          <w:kern w:val="0"/>
          <w:sz w:val="24"/>
        </w:rPr>
        <w:t>年</w:t>
      </w:r>
      <w:r>
        <w:rPr>
          <w:rFonts w:hAnsi="宋体" w:hint="eastAsia"/>
          <w:kern w:val="0"/>
          <w:sz w:val="24"/>
        </w:rPr>
        <w:t>5</w:t>
      </w:r>
      <w:r>
        <w:rPr>
          <w:rFonts w:hAnsi="宋体" w:hint="eastAsia"/>
          <w:kern w:val="0"/>
          <w:sz w:val="24"/>
        </w:rPr>
        <w:t>月</w:t>
      </w:r>
      <w:r>
        <w:rPr>
          <w:rFonts w:hAnsi="宋体" w:hint="eastAsia"/>
          <w:kern w:val="0"/>
          <w:sz w:val="24"/>
        </w:rPr>
        <w:t>3</w:t>
      </w:r>
      <w:r>
        <w:rPr>
          <w:rFonts w:hAnsi="宋体" w:hint="eastAsia"/>
          <w:kern w:val="0"/>
          <w:sz w:val="24"/>
        </w:rPr>
        <w:t>日至</w:t>
      </w:r>
      <w:r>
        <w:rPr>
          <w:rFonts w:hAnsi="宋体" w:hint="eastAsia"/>
          <w:kern w:val="0"/>
          <w:sz w:val="24"/>
        </w:rPr>
        <w:t>2013</w:t>
      </w:r>
      <w:r>
        <w:rPr>
          <w:rFonts w:hAnsi="宋体" w:hint="eastAsia"/>
          <w:kern w:val="0"/>
          <w:sz w:val="24"/>
        </w:rPr>
        <w:t>年</w:t>
      </w:r>
      <w:r>
        <w:rPr>
          <w:rFonts w:hAnsi="宋体" w:hint="eastAsia"/>
          <w:kern w:val="0"/>
          <w:sz w:val="24"/>
        </w:rPr>
        <w:t>9</w:t>
      </w:r>
      <w:r>
        <w:rPr>
          <w:rFonts w:hAnsi="宋体" w:hint="eastAsia"/>
          <w:kern w:val="0"/>
          <w:sz w:val="24"/>
        </w:rPr>
        <w:t>月</w:t>
      </w:r>
      <w:r>
        <w:rPr>
          <w:rFonts w:hAnsi="宋体" w:hint="eastAsia"/>
          <w:kern w:val="0"/>
          <w:sz w:val="24"/>
        </w:rPr>
        <w:t>2</w:t>
      </w:r>
      <w:r>
        <w:rPr>
          <w:rFonts w:hAnsi="宋体" w:hint="eastAsia"/>
          <w:kern w:val="0"/>
          <w:sz w:val="24"/>
        </w:rPr>
        <w:t>日担任交银施罗德趋势优先股票证券投资基金基金经理，</w:t>
      </w:r>
      <w:r>
        <w:rPr>
          <w:rFonts w:hAnsi="宋体" w:hint="eastAsia"/>
          <w:kern w:val="0"/>
          <w:sz w:val="24"/>
        </w:rPr>
        <w:t>2013</w:t>
      </w:r>
      <w:r>
        <w:rPr>
          <w:rFonts w:hAnsi="宋体" w:hint="eastAsia"/>
          <w:kern w:val="0"/>
          <w:sz w:val="24"/>
        </w:rPr>
        <w:t>年</w:t>
      </w:r>
      <w:r>
        <w:rPr>
          <w:rFonts w:hAnsi="宋体" w:hint="eastAsia"/>
          <w:kern w:val="0"/>
          <w:sz w:val="24"/>
        </w:rPr>
        <w:t>9</w:t>
      </w:r>
      <w:r>
        <w:rPr>
          <w:rFonts w:hAnsi="宋体" w:hint="eastAsia"/>
          <w:kern w:val="0"/>
          <w:sz w:val="24"/>
        </w:rPr>
        <w:t>月</w:t>
      </w:r>
      <w:r>
        <w:rPr>
          <w:rFonts w:hAnsi="宋体" w:hint="eastAsia"/>
          <w:kern w:val="0"/>
          <w:sz w:val="24"/>
        </w:rPr>
        <w:t>4</w:t>
      </w:r>
      <w:r>
        <w:rPr>
          <w:rFonts w:hAnsi="宋体" w:hint="eastAsia"/>
          <w:kern w:val="0"/>
          <w:sz w:val="24"/>
        </w:rPr>
        <w:t>日起担任交银施罗德定期支付双息平衡混合型证券投资基金基金经理至今，</w:t>
      </w:r>
      <w:r>
        <w:rPr>
          <w:rFonts w:hAnsi="宋体" w:hint="eastAsia"/>
          <w:kern w:val="0"/>
          <w:sz w:val="24"/>
        </w:rPr>
        <w:t>2014</w:t>
      </w:r>
      <w:r>
        <w:rPr>
          <w:rFonts w:hAnsi="宋体" w:hint="eastAsia"/>
          <w:kern w:val="0"/>
          <w:sz w:val="24"/>
        </w:rPr>
        <w:t>年</w:t>
      </w:r>
      <w:r>
        <w:rPr>
          <w:rFonts w:hAnsi="宋体" w:hint="eastAsia"/>
          <w:kern w:val="0"/>
          <w:sz w:val="24"/>
        </w:rPr>
        <w:t>10</w:t>
      </w:r>
      <w:r>
        <w:rPr>
          <w:rFonts w:hAnsi="宋体" w:hint="eastAsia"/>
          <w:kern w:val="0"/>
          <w:sz w:val="24"/>
        </w:rPr>
        <w:t>月</w:t>
      </w:r>
      <w:r>
        <w:rPr>
          <w:rFonts w:hAnsi="宋体" w:hint="eastAsia"/>
          <w:kern w:val="0"/>
          <w:sz w:val="24"/>
        </w:rPr>
        <w:t>22</w:t>
      </w:r>
      <w:r>
        <w:rPr>
          <w:rFonts w:hAnsi="宋体" w:hint="eastAsia"/>
          <w:kern w:val="0"/>
          <w:sz w:val="24"/>
        </w:rPr>
        <w:t>日起担任交银施罗德蓝筹股票证券投资基金基金经理至今。</w:t>
      </w:r>
    </w:p>
    <w:p w:rsidR="00783788" w:rsidRDefault="002C6E18">
      <w:pPr>
        <w:widowControl/>
        <w:adjustRightInd w:val="0"/>
        <w:snapToGrid w:val="0"/>
        <w:spacing w:line="360" w:lineRule="auto"/>
        <w:ind w:firstLineChars="200" w:firstLine="480"/>
        <w:rPr>
          <w:rFonts w:hAnsi="宋体"/>
          <w:kern w:val="0"/>
          <w:sz w:val="24"/>
        </w:rPr>
      </w:pPr>
      <w:r>
        <w:rPr>
          <w:rFonts w:hAnsi="宋体" w:hint="eastAsia"/>
          <w:kern w:val="0"/>
          <w:sz w:val="24"/>
        </w:rPr>
        <w:t>李德亮先生，基金经理，同济大学管理学学士，中国人民银行研究生部金融学硕士。</w:t>
      </w:r>
      <w:r>
        <w:rPr>
          <w:rFonts w:hAnsi="宋体"/>
          <w:kern w:val="0"/>
          <w:sz w:val="24"/>
        </w:rPr>
        <w:t>9</w:t>
      </w:r>
      <w:r>
        <w:rPr>
          <w:rFonts w:hAnsi="宋体" w:hint="eastAsia"/>
          <w:kern w:val="0"/>
          <w:sz w:val="24"/>
        </w:rPr>
        <w:t>年证券从业经验。</w:t>
      </w:r>
      <w:r>
        <w:rPr>
          <w:rFonts w:hAnsi="宋体" w:hint="eastAsia"/>
          <w:kern w:val="0"/>
          <w:sz w:val="24"/>
        </w:rPr>
        <w:t>2006</w:t>
      </w:r>
      <w:r>
        <w:rPr>
          <w:rFonts w:hAnsi="宋体" w:hint="eastAsia"/>
          <w:kern w:val="0"/>
          <w:sz w:val="24"/>
        </w:rPr>
        <w:t>年</w:t>
      </w:r>
      <w:r>
        <w:rPr>
          <w:rFonts w:hAnsi="宋体" w:hint="eastAsia"/>
          <w:kern w:val="0"/>
          <w:sz w:val="24"/>
        </w:rPr>
        <w:t>4</w:t>
      </w:r>
      <w:r>
        <w:rPr>
          <w:rFonts w:hAnsi="宋体" w:hint="eastAsia"/>
          <w:kern w:val="0"/>
          <w:sz w:val="24"/>
        </w:rPr>
        <w:t>月加入交银施罗德基金管理有限公司，曾任行业分析师、基金经理助理，</w:t>
      </w:r>
      <w:r>
        <w:rPr>
          <w:rFonts w:hAnsi="宋体" w:hint="eastAsia"/>
          <w:kern w:val="0"/>
          <w:sz w:val="24"/>
        </w:rPr>
        <w:t>2013</w:t>
      </w:r>
      <w:r>
        <w:rPr>
          <w:rFonts w:hAnsi="宋体" w:hint="eastAsia"/>
          <w:kern w:val="0"/>
          <w:sz w:val="24"/>
        </w:rPr>
        <w:t>年</w:t>
      </w:r>
      <w:r>
        <w:rPr>
          <w:rFonts w:hAnsi="宋体" w:hint="eastAsia"/>
          <w:kern w:val="0"/>
          <w:sz w:val="24"/>
        </w:rPr>
        <w:t>9</w:t>
      </w:r>
      <w:r>
        <w:rPr>
          <w:rFonts w:hAnsi="宋体" w:hint="eastAsia"/>
          <w:kern w:val="0"/>
          <w:sz w:val="24"/>
        </w:rPr>
        <w:t>月</w:t>
      </w:r>
      <w:r>
        <w:rPr>
          <w:rFonts w:hAnsi="宋体" w:hint="eastAsia"/>
          <w:kern w:val="0"/>
          <w:sz w:val="24"/>
        </w:rPr>
        <w:t>4</w:t>
      </w:r>
      <w:r>
        <w:rPr>
          <w:rFonts w:hAnsi="宋体" w:hint="eastAsia"/>
          <w:kern w:val="0"/>
          <w:sz w:val="24"/>
        </w:rPr>
        <w:t>日起担任交银施罗德定期支付双息平衡混合型证券投资基金基金经理至今，</w:t>
      </w:r>
      <w:r>
        <w:rPr>
          <w:rFonts w:hAnsi="宋体" w:hint="eastAsia"/>
          <w:kern w:val="0"/>
          <w:sz w:val="24"/>
        </w:rPr>
        <w:t>2014</w:t>
      </w:r>
      <w:r>
        <w:rPr>
          <w:rFonts w:hAnsi="宋体" w:hint="eastAsia"/>
          <w:kern w:val="0"/>
          <w:sz w:val="24"/>
        </w:rPr>
        <w:t>年</w:t>
      </w:r>
      <w:r>
        <w:rPr>
          <w:rFonts w:hAnsi="宋体" w:hint="eastAsia"/>
          <w:kern w:val="0"/>
          <w:sz w:val="24"/>
        </w:rPr>
        <w:t>1</w:t>
      </w:r>
      <w:r>
        <w:rPr>
          <w:rFonts w:hAnsi="宋体" w:hint="eastAsia"/>
          <w:kern w:val="0"/>
          <w:sz w:val="24"/>
        </w:rPr>
        <w:t>月</w:t>
      </w:r>
      <w:r>
        <w:rPr>
          <w:rFonts w:hAnsi="宋体" w:hint="eastAsia"/>
          <w:kern w:val="0"/>
          <w:sz w:val="24"/>
        </w:rPr>
        <w:t>28</w:t>
      </w:r>
      <w:r>
        <w:rPr>
          <w:rFonts w:hAnsi="宋体" w:hint="eastAsia"/>
          <w:kern w:val="0"/>
          <w:sz w:val="24"/>
        </w:rPr>
        <w:t>日起担任交银施罗德强化回报债券型证券投资基金基金经理至今，</w:t>
      </w:r>
      <w:r>
        <w:rPr>
          <w:rFonts w:hAnsi="宋体" w:hint="eastAsia"/>
          <w:kern w:val="0"/>
          <w:sz w:val="24"/>
        </w:rPr>
        <w:t>2014</w:t>
      </w:r>
      <w:r>
        <w:rPr>
          <w:rFonts w:hAnsi="宋体" w:hint="eastAsia"/>
          <w:kern w:val="0"/>
          <w:sz w:val="24"/>
        </w:rPr>
        <w:t>年</w:t>
      </w:r>
      <w:r>
        <w:rPr>
          <w:rFonts w:hAnsi="宋体" w:hint="eastAsia"/>
          <w:kern w:val="0"/>
          <w:sz w:val="24"/>
        </w:rPr>
        <w:t>10</w:t>
      </w:r>
      <w:r>
        <w:rPr>
          <w:rFonts w:hAnsi="宋体" w:hint="eastAsia"/>
          <w:kern w:val="0"/>
          <w:sz w:val="24"/>
        </w:rPr>
        <w:t>月</w:t>
      </w:r>
      <w:r>
        <w:rPr>
          <w:rFonts w:hAnsi="宋体" w:hint="eastAsia"/>
          <w:kern w:val="0"/>
          <w:sz w:val="24"/>
        </w:rPr>
        <w:t>22</w:t>
      </w:r>
      <w:r>
        <w:rPr>
          <w:rFonts w:hAnsi="宋体" w:hint="eastAsia"/>
          <w:kern w:val="0"/>
          <w:sz w:val="24"/>
        </w:rPr>
        <w:t>日起担任交银施罗德蓝筹股票证券投资基金基金经理至今。</w:t>
      </w:r>
    </w:p>
    <w:p w:rsidR="00783788" w:rsidRDefault="002C6E18">
      <w:pPr>
        <w:widowControl/>
        <w:adjustRightInd w:val="0"/>
        <w:snapToGrid w:val="0"/>
        <w:spacing w:line="360" w:lineRule="auto"/>
        <w:ind w:firstLineChars="200" w:firstLine="480"/>
        <w:rPr>
          <w:rFonts w:hAnsi="宋体"/>
          <w:kern w:val="0"/>
          <w:sz w:val="24"/>
        </w:rPr>
      </w:pPr>
      <w:r>
        <w:rPr>
          <w:rFonts w:hAnsi="宋体" w:hint="eastAsia"/>
          <w:kern w:val="0"/>
          <w:sz w:val="24"/>
        </w:rPr>
        <w:t>历任基金经理</w:t>
      </w:r>
    </w:p>
    <w:p w:rsidR="00783788" w:rsidRDefault="002C6E18">
      <w:pPr>
        <w:widowControl/>
        <w:adjustRightInd w:val="0"/>
        <w:snapToGrid w:val="0"/>
        <w:spacing w:line="360" w:lineRule="auto"/>
        <w:ind w:firstLineChars="200" w:firstLine="480"/>
        <w:rPr>
          <w:rFonts w:hAnsi="宋体"/>
          <w:kern w:val="0"/>
          <w:sz w:val="24"/>
        </w:rPr>
      </w:pPr>
      <w:r>
        <w:rPr>
          <w:rFonts w:hAnsi="宋体" w:hint="eastAsia"/>
          <w:kern w:val="0"/>
          <w:sz w:val="24"/>
        </w:rPr>
        <w:t>项廷锋先生，</w:t>
      </w:r>
      <w:r>
        <w:rPr>
          <w:rFonts w:hAnsi="宋体" w:hint="eastAsia"/>
          <w:kern w:val="0"/>
          <w:sz w:val="24"/>
        </w:rPr>
        <w:t>2013</w:t>
      </w:r>
      <w:r>
        <w:rPr>
          <w:rFonts w:hAnsi="宋体" w:hint="eastAsia"/>
          <w:kern w:val="0"/>
          <w:sz w:val="24"/>
        </w:rPr>
        <w:t>年</w:t>
      </w:r>
      <w:r>
        <w:rPr>
          <w:rFonts w:hAnsi="宋体" w:hint="eastAsia"/>
          <w:kern w:val="0"/>
          <w:sz w:val="24"/>
        </w:rPr>
        <w:t>9</w:t>
      </w:r>
      <w:r>
        <w:rPr>
          <w:rFonts w:hAnsi="宋体" w:hint="eastAsia"/>
          <w:kern w:val="0"/>
          <w:sz w:val="24"/>
        </w:rPr>
        <w:t>月</w:t>
      </w:r>
      <w:r>
        <w:rPr>
          <w:rFonts w:hAnsi="宋体" w:hint="eastAsia"/>
          <w:kern w:val="0"/>
          <w:sz w:val="24"/>
        </w:rPr>
        <w:t>4</w:t>
      </w:r>
      <w:r>
        <w:rPr>
          <w:rFonts w:hAnsi="宋体" w:hint="eastAsia"/>
          <w:kern w:val="0"/>
          <w:sz w:val="24"/>
        </w:rPr>
        <w:t>日至</w:t>
      </w:r>
      <w:r>
        <w:rPr>
          <w:rFonts w:hAnsi="宋体" w:hint="eastAsia"/>
          <w:kern w:val="0"/>
          <w:sz w:val="24"/>
        </w:rPr>
        <w:t>2014</w:t>
      </w:r>
      <w:r>
        <w:rPr>
          <w:rFonts w:hAnsi="宋体" w:hint="eastAsia"/>
          <w:kern w:val="0"/>
          <w:sz w:val="24"/>
        </w:rPr>
        <w:t>年</w:t>
      </w:r>
      <w:r>
        <w:rPr>
          <w:rFonts w:hAnsi="宋体" w:hint="eastAsia"/>
          <w:kern w:val="0"/>
          <w:sz w:val="24"/>
        </w:rPr>
        <w:t>12</w:t>
      </w:r>
      <w:r>
        <w:rPr>
          <w:rFonts w:hAnsi="宋体" w:hint="eastAsia"/>
          <w:kern w:val="0"/>
          <w:sz w:val="24"/>
        </w:rPr>
        <w:t>月</w:t>
      </w:r>
      <w:r>
        <w:rPr>
          <w:rFonts w:hAnsi="宋体" w:hint="eastAsia"/>
          <w:kern w:val="0"/>
          <w:sz w:val="24"/>
        </w:rPr>
        <w:t>18</w:t>
      </w:r>
      <w:r>
        <w:rPr>
          <w:rFonts w:hAnsi="宋体" w:hint="eastAsia"/>
          <w:kern w:val="0"/>
          <w:sz w:val="24"/>
        </w:rPr>
        <w:t>日担任本基金基金经理。</w:t>
      </w:r>
    </w:p>
    <w:p w:rsidR="00783788" w:rsidRDefault="002C6E18">
      <w:pPr>
        <w:widowControl/>
        <w:adjustRightInd w:val="0"/>
        <w:snapToGrid w:val="0"/>
        <w:spacing w:line="360" w:lineRule="auto"/>
        <w:ind w:firstLineChars="200" w:firstLine="480"/>
        <w:rPr>
          <w:rFonts w:ascii="宋体" w:hAnsi="宋体" w:cs="宋体"/>
          <w:kern w:val="0"/>
          <w:sz w:val="24"/>
        </w:rPr>
      </w:pPr>
      <w:r>
        <w:rPr>
          <w:kern w:val="0"/>
          <w:sz w:val="24"/>
          <w:szCs w:val="24"/>
        </w:rPr>
        <w:t>5</w:t>
      </w:r>
      <w:r>
        <w:rPr>
          <w:rFonts w:hAnsi="宋体"/>
          <w:kern w:val="0"/>
          <w:sz w:val="24"/>
          <w:szCs w:val="24"/>
        </w:rPr>
        <w:t>、投资决策委员会成员</w:t>
      </w:r>
      <w:r>
        <w:rPr>
          <w:kern w:val="0"/>
          <w:sz w:val="24"/>
          <w:szCs w:val="24"/>
        </w:rPr>
        <w:t xml:space="preserve">    </w:t>
      </w:r>
    </w:p>
    <w:p w:rsidR="00783788" w:rsidRDefault="002C6E18">
      <w:pPr>
        <w:widowControl/>
        <w:spacing w:line="360" w:lineRule="auto"/>
        <w:ind w:firstLineChars="200" w:firstLine="480"/>
        <w:rPr>
          <w:rFonts w:ascii="宋体" w:hAnsi="宋体" w:cs="宋体"/>
          <w:kern w:val="0"/>
          <w:sz w:val="24"/>
        </w:rPr>
      </w:pPr>
      <w:r>
        <w:rPr>
          <w:rFonts w:ascii="宋体" w:hAnsi="宋体" w:cs="宋体" w:hint="eastAsia"/>
          <w:kern w:val="0"/>
          <w:sz w:val="24"/>
        </w:rPr>
        <w:t>委员： 项廷锋（投资总监、基金经理）</w:t>
      </w:r>
    </w:p>
    <w:p w:rsidR="00783788" w:rsidRDefault="002C6E18">
      <w:pPr>
        <w:widowControl/>
        <w:spacing w:line="360" w:lineRule="auto"/>
        <w:ind w:firstLineChars="700" w:firstLine="1680"/>
        <w:rPr>
          <w:rFonts w:ascii="宋体" w:hAnsi="宋体" w:cs="宋体"/>
          <w:kern w:val="0"/>
          <w:sz w:val="24"/>
        </w:rPr>
      </w:pPr>
      <w:r>
        <w:rPr>
          <w:rFonts w:ascii="宋体" w:hAnsi="宋体" w:cs="宋体" w:hint="eastAsia"/>
          <w:kern w:val="0"/>
          <w:sz w:val="24"/>
        </w:rPr>
        <w:t>杨利平（投资总监）</w:t>
      </w:r>
    </w:p>
    <w:p w:rsidR="00783788" w:rsidRDefault="002C6E18">
      <w:pPr>
        <w:widowControl/>
        <w:spacing w:line="360" w:lineRule="auto"/>
        <w:ind w:firstLineChars="200" w:firstLine="480"/>
        <w:rPr>
          <w:rFonts w:ascii="宋体" w:hAnsi="宋体" w:cs="宋体"/>
          <w:kern w:val="0"/>
          <w:sz w:val="24"/>
        </w:rPr>
      </w:pPr>
      <w:r>
        <w:rPr>
          <w:rFonts w:ascii="宋体" w:hAnsi="宋体" w:cs="宋体" w:hint="eastAsia"/>
          <w:kern w:val="0"/>
          <w:sz w:val="24"/>
        </w:rPr>
        <w:t xml:space="preserve">          管华雨（权益投资总监、基金经理）</w:t>
      </w:r>
    </w:p>
    <w:p w:rsidR="00783788" w:rsidRDefault="002C6E18">
      <w:pPr>
        <w:widowControl/>
        <w:adjustRightInd w:val="0"/>
        <w:snapToGrid w:val="0"/>
        <w:spacing w:line="360" w:lineRule="auto"/>
        <w:ind w:firstLineChars="200" w:firstLine="480"/>
        <w:outlineLvl w:val="1"/>
        <w:rPr>
          <w:rFonts w:ascii="宋体" w:hAnsi="宋体" w:cs="宋体"/>
          <w:kern w:val="0"/>
          <w:sz w:val="24"/>
        </w:rPr>
      </w:pPr>
      <w:r>
        <w:rPr>
          <w:rFonts w:ascii="宋体" w:hAnsi="宋体" w:cs="宋体" w:hint="eastAsia"/>
          <w:kern w:val="0"/>
          <w:sz w:val="24"/>
        </w:rPr>
        <w:t>上述人员之间无近亲属关系。上述各项人员信息更新截止日为2015年</w:t>
      </w:r>
      <w:r>
        <w:rPr>
          <w:rFonts w:ascii="宋体" w:hAnsi="宋体" w:cs="宋体"/>
          <w:kern w:val="0"/>
          <w:sz w:val="24"/>
        </w:rPr>
        <w:t>3</w:t>
      </w:r>
      <w:r>
        <w:rPr>
          <w:rFonts w:ascii="宋体" w:hAnsi="宋体" w:cs="宋体" w:hint="eastAsia"/>
          <w:kern w:val="0"/>
          <w:sz w:val="24"/>
        </w:rPr>
        <w:t>月</w:t>
      </w:r>
      <w:r>
        <w:rPr>
          <w:rFonts w:ascii="宋体" w:hAnsi="宋体" w:cs="宋体"/>
          <w:kern w:val="0"/>
          <w:sz w:val="24"/>
        </w:rPr>
        <w:t>4</w:t>
      </w:r>
      <w:r>
        <w:rPr>
          <w:rFonts w:ascii="宋体" w:hAnsi="宋体" w:cs="宋体" w:hint="eastAsia"/>
          <w:kern w:val="0"/>
          <w:sz w:val="24"/>
        </w:rPr>
        <w:t>日，期后变动（如有）敬请关注基金管理人发布的相关公告。</w:t>
      </w:r>
    </w:p>
    <w:p w:rsidR="00783788" w:rsidRDefault="002C6E18">
      <w:pPr>
        <w:widowControl/>
        <w:adjustRightInd w:val="0"/>
        <w:snapToGrid w:val="0"/>
        <w:spacing w:line="360" w:lineRule="auto"/>
        <w:ind w:firstLineChars="200" w:firstLine="482"/>
        <w:outlineLvl w:val="1"/>
        <w:rPr>
          <w:b/>
          <w:kern w:val="0"/>
          <w:sz w:val="24"/>
          <w:szCs w:val="24"/>
        </w:rPr>
      </w:pPr>
      <w:r>
        <w:rPr>
          <w:rFonts w:hAnsi="宋体"/>
          <w:b/>
          <w:kern w:val="0"/>
          <w:sz w:val="24"/>
          <w:szCs w:val="24"/>
        </w:rPr>
        <w:t>（三）基金管理人的职责</w:t>
      </w:r>
      <w:r>
        <w:rPr>
          <w:b/>
          <w:kern w:val="0"/>
          <w:sz w:val="24"/>
          <w:szCs w:val="24"/>
        </w:rPr>
        <w:t xml:space="preserve"> </w:t>
      </w:r>
    </w:p>
    <w:p w:rsidR="00783788" w:rsidRDefault="002C6E18">
      <w:pPr>
        <w:widowControl/>
        <w:adjustRightInd w:val="0"/>
        <w:snapToGrid w:val="0"/>
        <w:spacing w:line="360" w:lineRule="auto"/>
        <w:ind w:firstLine="200"/>
        <w:rPr>
          <w:kern w:val="0"/>
          <w:sz w:val="24"/>
          <w:szCs w:val="24"/>
        </w:rPr>
      </w:pPr>
      <w:r>
        <w:rPr>
          <w:kern w:val="0"/>
          <w:sz w:val="24"/>
          <w:szCs w:val="24"/>
        </w:rPr>
        <w:t xml:space="preserve">    1</w:t>
      </w:r>
      <w:r>
        <w:rPr>
          <w:rFonts w:hAnsi="宋体"/>
          <w:kern w:val="0"/>
          <w:sz w:val="24"/>
          <w:szCs w:val="24"/>
        </w:rPr>
        <w:t>、依法募集基金，办理或者委托经中国证监会认定的其他机构代为办理基金份额的发售、申购、赎回和登记事宜；</w:t>
      </w:r>
      <w:r>
        <w:rPr>
          <w:kern w:val="0"/>
          <w:sz w:val="24"/>
          <w:szCs w:val="24"/>
        </w:rPr>
        <w:t xml:space="preserve"> </w:t>
      </w:r>
    </w:p>
    <w:p w:rsidR="00783788" w:rsidRDefault="002C6E18">
      <w:pPr>
        <w:widowControl/>
        <w:adjustRightInd w:val="0"/>
        <w:snapToGrid w:val="0"/>
        <w:spacing w:line="360" w:lineRule="auto"/>
        <w:ind w:firstLine="200"/>
        <w:rPr>
          <w:kern w:val="0"/>
          <w:sz w:val="24"/>
          <w:szCs w:val="24"/>
        </w:rPr>
      </w:pPr>
      <w:r>
        <w:rPr>
          <w:kern w:val="0"/>
          <w:sz w:val="24"/>
          <w:szCs w:val="24"/>
        </w:rPr>
        <w:t xml:space="preserve">    2</w:t>
      </w:r>
      <w:r>
        <w:rPr>
          <w:rFonts w:hAnsi="宋体"/>
          <w:kern w:val="0"/>
          <w:sz w:val="24"/>
          <w:szCs w:val="24"/>
        </w:rPr>
        <w:t>、办理基金备案手续；</w:t>
      </w:r>
      <w:r>
        <w:rPr>
          <w:kern w:val="0"/>
          <w:sz w:val="24"/>
          <w:szCs w:val="24"/>
        </w:rPr>
        <w:t xml:space="preserve"> </w:t>
      </w:r>
    </w:p>
    <w:p w:rsidR="00783788" w:rsidRDefault="002C6E18">
      <w:pPr>
        <w:widowControl/>
        <w:adjustRightInd w:val="0"/>
        <w:snapToGrid w:val="0"/>
        <w:spacing w:line="360" w:lineRule="auto"/>
        <w:ind w:firstLine="200"/>
        <w:rPr>
          <w:kern w:val="0"/>
          <w:sz w:val="24"/>
          <w:szCs w:val="24"/>
        </w:rPr>
      </w:pPr>
      <w:r>
        <w:rPr>
          <w:kern w:val="0"/>
          <w:sz w:val="24"/>
          <w:szCs w:val="24"/>
        </w:rPr>
        <w:t xml:space="preserve">    3</w:t>
      </w:r>
      <w:r>
        <w:rPr>
          <w:rFonts w:hAnsi="宋体"/>
          <w:kern w:val="0"/>
          <w:sz w:val="24"/>
          <w:szCs w:val="24"/>
        </w:rPr>
        <w:t>、对所管理的不同基金财产分别管理、分别记账，进行证券投资；</w:t>
      </w:r>
      <w:r>
        <w:rPr>
          <w:kern w:val="0"/>
          <w:sz w:val="24"/>
          <w:szCs w:val="24"/>
        </w:rPr>
        <w:t xml:space="preserve"> </w:t>
      </w:r>
    </w:p>
    <w:p w:rsidR="00783788" w:rsidRDefault="002C6E18">
      <w:pPr>
        <w:widowControl/>
        <w:adjustRightInd w:val="0"/>
        <w:snapToGrid w:val="0"/>
        <w:spacing w:line="360" w:lineRule="auto"/>
        <w:ind w:firstLine="200"/>
        <w:rPr>
          <w:kern w:val="0"/>
          <w:sz w:val="24"/>
          <w:szCs w:val="24"/>
        </w:rPr>
      </w:pPr>
      <w:r>
        <w:rPr>
          <w:kern w:val="0"/>
          <w:sz w:val="24"/>
          <w:szCs w:val="24"/>
        </w:rPr>
        <w:t xml:space="preserve">    4</w:t>
      </w:r>
      <w:r>
        <w:rPr>
          <w:rFonts w:hAnsi="宋体"/>
          <w:kern w:val="0"/>
          <w:sz w:val="24"/>
          <w:szCs w:val="24"/>
        </w:rPr>
        <w:t>、按照基金合同的约定确定基金收益分配方案，及时向基金份额持有人分配收益；</w:t>
      </w:r>
      <w:r>
        <w:rPr>
          <w:kern w:val="0"/>
          <w:sz w:val="24"/>
          <w:szCs w:val="24"/>
        </w:rPr>
        <w:t xml:space="preserve"> </w:t>
      </w:r>
    </w:p>
    <w:p w:rsidR="00783788" w:rsidRDefault="002C6E18">
      <w:pPr>
        <w:widowControl/>
        <w:adjustRightInd w:val="0"/>
        <w:snapToGrid w:val="0"/>
        <w:spacing w:line="360" w:lineRule="auto"/>
        <w:ind w:firstLine="200"/>
        <w:rPr>
          <w:kern w:val="0"/>
          <w:sz w:val="24"/>
          <w:szCs w:val="24"/>
        </w:rPr>
      </w:pPr>
      <w:r>
        <w:rPr>
          <w:kern w:val="0"/>
          <w:sz w:val="24"/>
          <w:szCs w:val="24"/>
        </w:rPr>
        <w:t xml:space="preserve">    5</w:t>
      </w:r>
      <w:r>
        <w:rPr>
          <w:rFonts w:hAnsi="宋体"/>
          <w:kern w:val="0"/>
          <w:sz w:val="24"/>
          <w:szCs w:val="24"/>
        </w:rPr>
        <w:t>、进行基金会计核算并编制基金财务会计报告；</w:t>
      </w:r>
      <w:r>
        <w:rPr>
          <w:kern w:val="0"/>
          <w:sz w:val="24"/>
          <w:szCs w:val="24"/>
        </w:rPr>
        <w:t xml:space="preserve"> </w:t>
      </w:r>
    </w:p>
    <w:p w:rsidR="00783788" w:rsidRDefault="002C6E18">
      <w:pPr>
        <w:widowControl/>
        <w:adjustRightInd w:val="0"/>
        <w:snapToGrid w:val="0"/>
        <w:spacing w:line="360" w:lineRule="auto"/>
        <w:ind w:firstLine="200"/>
        <w:rPr>
          <w:kern w:val="0"/>
          <w:sz w:val="24"/>
          <w:szCs w:val="24"/>
        </w:rPr>
      </w:pPr>
      <w:r>
        <w:rPr>
          <w:kern w:val="0"/>
          <w:sz w:val="24"/>
          <w:szCs w:val="24"/>
        </w:rPr>
        <w:t xml:space="preserve">    6</w:t>
      </w:r>
      <w:r>
        <w:rPr>
          <w:rFonts w:hAnsi="宋体"/>
          <w:kern w:val="0"/>
          <w:sz w:val="24"/>
          <w:szCs w:val="24"/>
        </w:rPr>
        <w:t>、编制季度、半年度和年度基金报告；</w:t>
      </w:r>
      <w:r>
        <w:rPr>
          <w:kern w:val="0"/>
          <w:sz w:val="24"/>
          <w:szCs w:val="24"/>
        </w:rPr>
        <w:t xml:space="preserve"> </w:t>
      </w:r>
    </w:p>
    <w:p w:rsidR="00783788" w:rsidRDefault="002C6E18">
      <w:pPr>
        <w:widowControl/>
        <w:adjustRightInd w:val="0"/>
        <w:snapToGrid w:val="0"/>
        <w:spacing w:line="360" w:lineRule="auto"/>
        <w:ind w:firstLine="200"/>
        <w:rPr>
          <w:kern w:val="0"/>
          <w:sz w:val="24"/>
          <w:szCs w:val="24"/>
        </w:rPr>
      </w:pPr>
      <w:r>
        <w:rPr>
          <w:kern w:val="0"/>
          <w:sz w:val="24"/>
          <w:szCs w:val="24"/>
        </w:rPr>
        <w:t xml:space="preserve">    7</w:t>
      </w:r>
      <w:r>
        <w:rPr>
          <w:rFonts w:hAnsi="宋体"/>
          <w:kern w:val="0"/>
          <w:sz w:val="24"/>
          <w:szCs w:val="24"/>
        </w:rPr>
        <w:t>、计算并公告基金资产净值，确定基金份额申购、赎回价格；</w:t>
      </w:r>
      <w:r>
        <w:rPr>
          <w:kern w:val="0"/>
          <w:sz w:val="24"/>
          <w:szCs w:val="24"/>
        </w:rPr>
        <w:t xml:space="preserve"> </w:t>
      </w:r>
    </w:p>
    <w:p w:rsidR="00783788" w:rsidRDefault="002C6E18">
      <w:pPr>
        <w:widowControl/>
        <w:adjustRightInd w:val="0"/>
        <w:snapToGrid w:val="0"/>
        <w:spacing w:line="360" w:lineRule="auto"/>
        <w:ind w:firstLine="200"/>
        <w:rPr>
          <w:kern w:val="0"/>
          <w:sz w:val="24"/>
          <w:szCs w:val="24"/>
        </w:rPr>
      </w:pPr>
      <w:r>
        <w:rPr>
          <w:kern w:val="0"/>
          <w:sz w:val="24"/>
          <w:szCs w:val="24"/>
        </w:rPr>
        <w:t xml:space="preserve">    8</w:t>
      </w:r>
      <w:r>
        <w:rPr>
          <w:rFonts w:hAnsi="宋体"/>
          <w:kern w:val="0"/>
          <w:sz w:val="24"/>
          <w:szCs w:val="24"/>
        </w:rPr>
        <w:t>、办理与基金财产管理业务活动有关的信息披露事项；</w:t>
      </w:r>
      <w:r>
        <w:rPr>
          <w:kern w:val="0"/>
          <w:sz w:val="24"/>
          <w:szCs w:val="24"/>
        </w:rPr>
        <w:t xml:space="preserve"> </w:t>
      </w:r>
    </w:p>
    <w:p w:rsidR="00783788" w:rsidRDefault="002C6E18">
      <w:pPr>
        <w:widowControl/>
        <w:adjustRightInd w:val="0"/>
        <w:snapToGrid w:val="0"/>
        <w:spacing w:line="360" w:lineRule="auto"/>
        <w:ind w:firstLine="200"/>
        <w:rPr>
          <w:kern w:val="0"/>
          <w:sz w:val="24"/>
          <w:szCs w:val="24"/>
        </w:rPr>
      </w:pPr>
      <w:r>
        <w:rPr>
          <w:kern w:val="0"/>
          <w:sz w:val="24"/>
          <w:szCs w:val="24"/>
        </w:rPr>
        <w:t xml:space="preserve">    9</w:t>
      </w:r>
      <w:r>
        <w:rPr>
          <w:rFonts w:hAnsi="宋体"/>
          <w:kern w:val="0"/>
          <w:sz w:val="24"/>
          <w:szCs w:val="24"/>
        </w:rPr>
        <w:t>、召集基金份额持有人大会；</w:t>
      </w:r>
      <w:r>
        <w:rPr>
          <w:kern w:val="0"/>
          <w:sz w:val="24"/>
          <w:szCs w:val="24"/>
        </w:rPr>
        <w:t xml:space="preserve"> </w:t>
      </w:r>
    </w:p>
    <w:p w:rsidR="00783788" w:rsidRDefault="002C6E18">
      <w:pPr>
        <w:widowControl/>
        <w:adjustRightInd w:val="0"/>
        <w:snapToGrid w:val="0"/>
        <w:spacing w:line="360" w:lineRule="auto"/>
        <w:ind w:firstLine="200"/>
        <w:rPr>
          <w:kern w:val="0"/>
          <w:sz w:val="24"/>
          <w:szCs w:val="24"/>
        </w:rPr>
      </w:pPr>
      <w:r>
        <w:rPr>
          <w:kern w:val="0"/>
          <w:sz w:val="24"/>
          <w:szCs w:val="24"/>
        </w:rPr>
        <w:t xml:space="preserve">    10</w:t>
      </w:r>
      <w:r>
        <w:rPr>
          <w:rFonts w:hAnsi="宋体"/>
          <w:kern w:val="0"/>
          <w:sz w:val="24"/>
          <w:szCs w:val="24"/>
        </w:rPr>
        <w:t>、保存基金财产管理业务活动的记录、账册、报表和其他相关资料；</w:t>
      </w:r>
      <w:r>
        <w:rPr>
          <w:kern w:val="0"/>
          <w:sz w:val="24"/>
          <w:szCs w:val="24"/>
        </w:rPr>
        <w:t xml:space="preserve"> </w:t>
      </w:r>
    </w:p>
    <w:p w:rsidR="00783788" w:rsidRDefault="002C6E18">
      <w:pPr>
        <w:widowControl/>
        <w:adjustRightInd w:val="0"/>
        <w:snapToGrid w:val="0"/>
        <w:spacing w:line="360" w:lineRule="auto"/>
        <w:ind w:firstLine="200"/>
        <w:rPr>
          <w:kern w:val="0"/>
          <w:sz w:val="24"/>
          <w:szCs w:val="24"/>
        </w:rPr>
      </w:pPr>
      <w:r>
        <w:rPr>
          <w:kern w:val="0"/>
          <w:sz w:val="24"/>
          <w:szCs w:val="24"/>
        </w:rPr>
        <w:t xml:space="preserve">    11</w:t>
      </w:r>
      <w:r>
        <w:rPr>
          <w:rFonts w:hAnsi="宋体"/>
          <w:kern w:val="0"/>
          <w:sz w:val="24"/>
          <w:szCs w:val="24"/>
        </w:rPr>
        <w:t>、以基金管理人名义，代表基金份额持有人利益行使诉讼权利或者实施其他法律行为；</w:t>
      </w:r>
      <w:r>
        <w:rPr>
          <w:kern w:val="0"/>
          <w:sz w:val="24"/>
          <w:szCs w:val="24"/>
        </w:rPr>
        <w:t xml:space="preserve"> </w:t>
      </w:r>
    </w:p>
    <w:p w:rsidR="00783788" w:rsidRDefault="002C6E18">
      <w:pPr>
        <w:widowControl/>
        <w:adjustRightInd w:val="0"/>
        <w:snapToGrid w:val="0"/>
        <w:spacing w:line="360" w:lineRule="auto"/>
        <w:ind w:firstLine="200"/>
        <w:rPr>
          <w:kern w:val="0"/>
          <w:sz w:val="24"/>
          <w:szCs w:val="24"/>
        </w:rPr>
      </w:pPr>
      <w:r>
        <w:rPr>
          <w:kern w:val="0"/>
          <w:sz w:val="24"/>
          <w:szCs w:val="24"/>
        </w:rPr>
        <w:t xml:space="preserve">    12</w:t>
      </w:r>
      <w:r>
        <w:rPr>
          <w:rFonts w:hAnsi="宋体"/>
          <w:kern w:val="0"/>
          <w:sz w:val="24"/>
          <w:szCs w:val="24"/>
        </w:rPr>
        <w:t>、有关法律法规和中国证监会规定的其他职责。</w:t>
      </w:r>
      <w:r>
        <w:rPr>
          <w:kern w:val="0"/>
          <w:sz w:val="24"/>
          <w:szCs w:val="24"/>
        </w:rPr>
        <w:t xml:space="preserve"> </w:t>
      </w:r>
    </w:p>
    <w:p w:rsidR="00783788" w:rsidRDefault="002C6E18">
      <w:pPr>
        <w:widowControl/>
        <w:adjustRightInd w:val="0"/>
        <w:snapToGrid w:val="0"/>
        <w:spacing w:line="360" w:lineRule="auto"/>
        <w:ind w:firstLineChars="200" w:firstLine="482"/>
        <w:outlineLvl w:val="1"/>
        <w:rPr>
          <w:b/>
          <w:kern w:val="0"/>
          <w:sz w:val="24"/>
          <w:szCs w:val="24"/>
        </w:rPr>
      </w:pPr>
      <w:r>
        <w:rPr>
          <w:rFonts w:hAnsi="宋体"/>
          <w:b/>
          <w:kern w:val="0"/>
          <w:sz w:val="24"/>
          <w:szCs w:val="24"/>
        </w:rPr>
        <w:t>（四）基金管理人的承诺</w:t>
      </w:r>
      <w:r>
        <w:rPr>
          <w:b/>
          <w:kern w:val="0"/>
          <w:sz w:val="24"/>
          <w:szCs w:val="24"/>
        </w:rPr>
        <w:t xml:space="preserve"> </w:t>
      </w:r>
    </w:p>
    <w:p w:rsidR="00783788" w:rsidRDefault="002C6E18">
      <w:pPr>
        <w:widowControl/>
        <w:adjustRightInd w:val="0"/>
        <w:snapToGrid w:val="0"/>
        <w:spacing w:line="360" w:lineRule="auto"/>
        <w:ind w:firstLine="200"/>
        <w:rPr>
          <w:kern w:val="0"/>
          <w:sz w:val="24"/>
          <w:szCs w:val="24"/>
        </w:rPr>
      </w:pPr>
      <w:r>
        <w:rPr>
          <w:kern w:val="0"/>
          <w:sz w:val="24"/>
          <w:szCs w:val="24"/>
        </w:rPr>
        <w:t xml:space="preserve">    1</w:t>
      </w:r>
      <w:r>
        <w:rPr>
          <w:rFonts w:hAnsi="宋体"/>
          <w:kern w:val="0"/>
          <w:sz w:val="24"/>
          <w:szCs w:val="24"/>
        </w:rPr>
        <w:t>、基金管理人承诺不从事违反《证券法》的行为，并承诺建立健全内部控制制度，采取有效措施，防止违反《证券法》行为的发生；</w:t>
      </w:r>
      <w:r>
        <w:rPr>
          <w:kern w:val="0"/>
          <w:sz w:val="24"/>
          <w:szCs w:val="24"/>
        </w:rPr>
        <w:t xml:space="preserve"> </w:t>
      </w:r>
    </w:p>
    <w:p w:rsidR="00783788" w:rsidRDefault="002C6E18">
      <w:pPr>
        <w:widowControl/>
        <w:adjustRightInd w:val="0"/>
        <w:snapToGrid w:val="0"/>
        <w:spacing w:line="360" w:lineRule="auto"/>
        <w:ind w:firstLine="200"/>
        <w:rPr>
          <w:kern w:val="0"/>
          <w:sz w:val="24"/>
          <w:szCs w:val="24"/>
        </w:rPr>
      </w:pPr>
      <w:r>
        <w:rPr>
          <w:kern w:val="0"/>
          <w:sz w:val="24"/>
          <w:szCs w:val="24"/>
        </w:rPr>
        <w:t xml:space="preserve">    2</w:t>
      </w:r>
      <w:r>
        <w:rPr>
          <w:rFonts w:hAnsi="宋体"/>
          <w:kern w:val="0"/>
          <w:sz w:val="24"/>
          <w:szCs w:val="24"/>
        </w:rPr>
        <w:t>、基金管理人承诺不从事违反《基金法》的行为，并承诺建立健全内部风险控制制度，采取有效措施，防止下列行为的发生：</w:t>
      </w:r>
    </w:p>
    <w:p w:rsidR="00783788" w:rsidRDefault="002C6E18">
      <w:pPr>
        <w:adjustRightInd w:val="0"/>
        <w:snapToGrid w:val="0"/>
        <w:spacing w:line="360" w:lineRule="auto"/>
        <w:ind w:firstLineChars="200" w:firstLine="480"/>
        <w:rPr>
          <w:sz w:val="24"/>
          <w:szCs w:val="24"/>
        </w:rPr>
      </w:pPr>
      <w:r>
        <w:rPr>
          <w:rFonts w:hAnsi="宋体"/>
          <w:sz w:val="24"/>
          <w:szCs w:val="24"/>
        </w:rPr>
        <w:t>（</w:t>
      </w:r>
      <w:r>
        <w:rPr>
          <w:sz w:val="24"/>
          <w:szCs w:val="24"/>
        </w:rPr>
        <w:t>1</w:t>
      </w:r>
      <w:r>
        <w:rPr>
          <w:rFonts w:hAnsi="宋体"/>
          <w:sz w:val="24"/>
          <w:szCs w:val="24"/>
        </w:rPr>
        <w:t>）将基金管理人固有财产或者他人财产混同于基金财产从事证券投资；</w:t>
      </w:r>
    </w:p>
    <w:p w:rsidR="00783788" w:rsidRDefault="002C6E18">
      <w:pPr>
        <w:adjustRightInd w:val="0"/>
        <w:snapToGrid w:val="0"/>
        <w:spacing w:line="360" w:lineRule="auto"/>
        <w:ind w:firstLineChars="200" w:firstLine="480"/>
        <w:rPr>
          <w:sz w:val="24"/>
          <w:szCs w:val="24"/>
        </w:rPr>
      </w:pPr>
      <w:r>
        <w:rPr>
          <w:rFonts w:hAnsi="宋体"/>
          <w:sz w:val="24"/>
          <w:szCs w:val="24"/>
        </w:rPr>
        <w:t>（</w:t>
      </w:r>
      <w:r>
        <w:rPr>
          <w:sz w:val="24"/>
          <w:szCs w:val="24"/>
        </w:rPr>
        <w:t>2</w:t>
      </w:r>
      <w:r>
        <w:rPr>
          <w:rFonts w:hAnsi="宋体"/>
          <w:sz w:val="24"/>
          <w:szCs w:val="24"/>
        </w:rPr>
        <w:t>）不公平地对待管理的不同基金财产；</w:t>
      </w:r>
    </w:p>
    <w:p w:rsidR="00783788" w:rsidRDefault="002C6E18">
      <w:pPr>
        <w:adjustRightInd w:val="0"/>
        <w:snapToGrid w:val="0"/>
        <w:spacing w:line="360" w:lineRule="auto"/>
        <w:ind w:firstLineChars="200" w:firstLine="480"/>
        <w:rPr>
          <w:sz w:val="24"/>
          <w:szCs w:val="24"/>
        </w:rPr>
      </w:pPr>
      <w:r>
        <w:rPr>
          <w:rFonts w:hAnsi="宋体"/>
          <w:sz w:val="24"/>
          <w:szCs w:val="24"/>
        </w:rPr>
        <w:t>（</w:t>
      </w:r>
      <w:r>
        <w:rPr>
          <w:sz w:val="24"/>
          <w:szCs w:val="24"/>
        </w:rPr>
        <w:t>3</w:t>
      </w:r>
      <w:r>
        <w:rPr>
          <w:rFonts w:hAnsi="宋体"/>
          <w:sz w:val="24"/>
          <w:szCs w:val="24"/>
        </w:rPr>
        <w:t>）利用基金财产为基金份额持有人以外的第三人牟取利益；</w:t>
      </w:r>
    </w:p>
    <w:p w:rsidR="00783788" w:rsidRDefault="002C6E18">
      <w:pPr>
        <w:adjustRightInd w:val="0"/>
        <w:snapToGrid w:val="0"/>
        <w:spacing w:line="360" w:lineRule="auto"/>
        <w:ind w:firstLineChars="200" w:firstLine="480"/>
        <w:rPr>
          <w:sz w:val="24"/>
          <w:szCs w:val="24"/>
        </w:rPr>
      </w:pPr>
      <w:r>
        <w:rPr>
          <w:rFonts w:hAnsi="宋体"/>
          <w:sz w:val="24"/>
          <w:szCs w:val="24"/>
        </w:rPr>
        <w:t>（</w:t>
      </w:r>
      <w:r>
        <w:rPr>
          <w:sz w:val="24"/>
          <w:szCs w:val="24"/>
        </w:rPr>
        <w:t>4</w:t>
      </w:r>
      <w:r>
        <w:rPr>
          <w:rFonts w:hAnsi="宋体"/>
          <w:sz w:val="24"/>
          <w:szCs w:val="24"/>
        </w:rPr>
        <w:t>）向基金份额持有人违规承诺收益或者承担损失；</w:t>
      </w:r>
    </w:p>
    <w:p w:rsidR="00783788" w:rsidRDefault="002C6E18">
      <w:pPr>
        <w:adjustRightInd w:val="0"/>
        <w:snapToGrid w:val="0"/>
        <w:spacing w:line="360" w:lineRule="auto"/>
        <w:ind w:firstLineChars="200" w:firstLine="480"/>
        <w:rPr>
          <w:sz w:val="24"/>
          <w:szCs w:val="24"/>
        </w:rPr>
      </w:pPr>
      <w:r>
        <w:rPr>
          <w:rFonts w:hAnsi="宋体"/>
          <w:sz w:val="24"/>
          <w:szCs w:val="24"/>
        </w:rPr>
        <w:t>（</w:t>
      </w:r>
      <w:r>
        <w:rPr>
          <w:sz w:val="24"/>
          <w:szCs w:val="24"/>
        </w:rPr>
        <w:t>5</w:t>
      </w:r>
      <w:r>
        <w:rPr>
          <w:rFonts w:hAnsi="宋体"/>
          <w:sz w:val="24"/>
          <w:szCs w:val="24"/>
        </w:rPr>
        <w:t>）依照法律法规有关规定，由中国证监会规定禁止的其他行为。</w:t>
      </w:r>
      <w:r>
        <w:rPr>
          <w:sz w:val="24"/>
          <w:szCs w:val="24"/>
        </w:rPr>
        <w:t xml:space="preserve"> </w:t>
      </w:r>
    </w:p>
    <w:p w:rsidR="00783788" w:rsidRDefault="002C6E18">
      <w:pPr>
        <w:widowControl/>
        <w:adjustRightInd w:val="0"/>
        <w:snapToGrid w:val="0"/>
        <w:spacing w:line="360" w:lineRule="auto"/>
        <w:ind w:firstLine="200"/>
        <w:rPr>
          <w:kern w:val="0"/>
          <w:sz w:val="24"/>
          <w:szCs w:val="24"/>
        </w:rPr>
      </w:pPr>
      <w:r>
        <w:rPr>
          <w:kern w:val="0"/>
          <w:sz w:val="24"/>
          <w:szCs w:val="24"/>
        </w:rPr>
        <w:t xml:space="preserve">    3</w:t>
      </w:r>
      <w:r>
        <w:rPr>
          <w:rFonts w:hAnsi="宋体"/>
          <w:kern w:val="0"/>
          <w:sz w:val="24"/>
          <w:szCs w:val="24"/>
        </w:rPr>
        <w:t>、基金管理人承诺严格遵守基金合同，并承诺建立健全内部控制制度，采取有效措施，防止违反基金合同行为的发生；</w:t>
      </w:r>
      <w:r>
        <w:rPr>
          <w:kern w:val="0"/>
          <w:sz w:val="24"/>
          <w:szCs w:val="24"/>
        </w:rPr>
        <w:t xml:space="preserve"> </w:t>
      </w:r>
    </w:p>
    <w:p w:rsidR="00783788" w:rsidRDefault="002C6E18">
      <w:pPr>
        <w:widowControl/>
        <w:adjustRightInd w:val="0"/>
        <w:snapToGrid w:val="0"/>
        <w:spacing w:line="360" w:lineRule="auto"/>
        <w:ind w:firstLine="200"/>
        <w:rPr>
          <w:kern w:val="0"/>
          <w:sz w:val="24"/>
          <w:szCs w:val="24"/>
        </w:rPr>
      </w:pPr>
      <w:r>
        <w:rPr>
          <w:kern w:val="0"/>
          <w:sz w:val="24"/>
          <w:szCs w:val="24"/>
        </w:rPr>
        <w:t xml:space="preserve">    4</w:t>
      </w:r>
      <w:r>
        <w:rPr>
          <w:rFonts w:hAnsi="宋体"/>
          <w:kern w:val="0"/>
          <w:sz w:val="24"/>
          <w:szCs w:val="24"/>
        </w:rPr>
        <w:t>、基金管理人承诺加强人员管理，强化职业操守，督促和约束员工遵守国家有关法律法规及行业规范，诚实信用、勤勉尽责。</w:t>
      </w:r>
      <w:r>
        <w:rPr>
          <w:kern w:val="0"/>
          <w:sz w:val="24"/>
          <w:szCs w:val="24"/>
        </w:rPr>
        <w:t xml:space="preserve"> </w:t>
      </w:r>
    </w:p>
    <w:p w:rsidR="00783788" w:rsidRDefault="002C6E18">
      <w:pPr>
        <w:widowControl/>
        <w:adjustRightInd w:val="0"/>
        <w:snapToGrid w:val="0"/>
        <w:spacing w:line="360" w:lineRule="auto"/>
        <w:ind w:firstLine="200"/>
        <w:rPr>
          <w:kern w:val="0"/>
          <w:sz w:val="24"/>
          <w:szCs w:val="24"/>
        </w:rPr>
      </w:pPr>
      <w:r>
        <w:rPr>
          <w:kern w:val="0"/>
          <w:sz w:val="24"/>
          <w:szCs w:val="24"/>
        </w:rPr>
        <w:t xml:space="preserve">    5</w:t>
      </w:r>
      <w:r>
        <w:rPr>
          <w:rFonts w:hAnsi="宋体"/>
          <w:kern w:val="0"/>
          <w:sz w:val="24"/>
          <w:szCs w:val="24"/>
        </w:rPr>
        <w:t>、基金管理人承诺不从事其他法规规定禁止从事的行为。</w:t>
      </w:r>
      <w:r>
        <w:rPr>
          <w:kern w:val="0"/>
          <w:sz w:val="24"/>
          <w:szCs w:val="24"/>
        </w:rPr>
        <w:t xml:space="preserve"> </w:t>
      </w:r>
    </w:p>
    <w:p w:rsidR="00783788" w:rsidRDefault="002C6E18">
      <w:pPr>
        <w:widowControl/>
        <w:adjustRightInd w:val="0"/>
        <w:snapToGrid w:val="0"/>
        <w:spacing w:line="360" w:lineRule="auto"/>
        <w:ind w:firstLineChars="200" w:firstLine="482"/>
        <w:outlineLvl w:val="1"/>
        <w:rPr>
          <w:b/>
          <w:kern w:val="0"/>
          <w:sz w:val="24"/>
          <w:szCs w:val="24"/>
        </w:rPr>
      </w:pPr>
      <w:r>
        <w:rPr>
          <w:rFonts w:hAnsi="宋体"/>
          <w:b/>
          <w:kern w:val="0"/>
          <w:sz w:val="24"/>
          <w:szCs w:val="24"/>
        </w:rPr>
        <w:t>（五）基金经理承诺</w:t>
      </w:r>
      <w:r>
        <w:rPr>
          <w:b/>
          <w:kern w:val="0"/>
          <w:sz w:val="24"/>
          <w:szCs w:val="24"/>
        </w:rPr>
        <w:t xml:space="preserve"> </w:t>
      </w:r>
    </w:p>
    <w:p w:rsidR="00783788" w:rsidRDefault="002C6E18">
      <w:pPr>
        <w:widowControl/>
        <w:adjustRightInd w:val="0"/>
        <w:snapToGrid w:val="0"/>
        <w:spacing w:line="360" w:lineRule="auto"/>
        <w:ind w:firstLineChars="200" w:firstLine="480"/>
        <w:rPr>
          <w:kern w:val="0"/>
          <w:sz w:val="24"/>
          <w:szCs w:val="24"/>
        </w:rPr>
      </w:pPr>
      <w:r>
        <w:rPr>
          <w:kern w:val="0"/>
          <w:sz w:val="24"/>
          <w:szCs w:val="24"/>
        </w:rPr>
        <w:t>1</w:t>
      </w:r>
      <w:r>
        <w:rPr>
          <w:rFonts w:hAnsi="宋体"/>
          <w:kern w:val="0"/>
          <w:sz w:val="24"/>
          <w:szCs w:val="24"/>
        </w:rPr>
        <w:t>、依照有关法律法规和基金合同的规定，本着谨慎的原则为基金份额持有人谋取最大利益；</w:t>
      </w:r>
      <w:r>
        <w:rPr>
          <w:kern w:val="0"/>
          <w:sz w:val="24"/>
          <w:szCs w:val="24"/>
        </w:rPr>
        <w:t xml:space="preserve"> </w:t>
      </w:r>
    </w:p>
    <w:p w:rsidR="00783788" w:rsidRDefault="002C6E18">
      <w:pPr>
        <w:widowControl/>
        <w:adjustRightInd w:val="0"/>
        <w:snapToGrid w:val="0"/>
        <w:spacing w:line="360" w:lineRule="auto"/>
        <w:ind w:firstLineChars="200" w:firstLine="480"/>
        <w:rPr>
          <w:kern w:val="0"/>
          <w:sz w:val="24"/>
          <w:szCs w:val="24"/>
        </w:rPr>
      </w:pPr>
      <w:r>
        <w:rPr>
          <w:kern w:val="0"/>
          <w:sz w:val="24"/>
          <w:szCs w:val="24"/>
        </w:rPr>
        <w:t>2</w:t>
      </w:r>
      <w:r>
        <w:rPr>
          <w:rFonts w:hAnsi="宋体"/>
          <w:kern w:val="0"/>
          <w:sz w:val="24"/>
          <w:szCs w:val="24"/>
        </w:rPr>
        <w:t>、不利用职务之便为自己、受雇人或任何第三者谋取利益；</w:t>
      </w:r>
      <w:r>
        <w:rPr>
          <w:kern w:val="0"/>
          <w:sz w:val="24"/>
          <w:szCs w:val="24"/>
        </w:rPr>
        <w:t xml:space="preserve"> </w:t>
      </w:r>
    </w:p>
    <w:p w:rsidR="00783788" w:rsidRDefault="002C6E18">
      <w:pPr>
        <w:widowControl/>
        <w:adjustRightInd w:val="0"/>
        <w:snapToGrid w:val="0"/>
        <w:spacing w:line="360" w:lineRule="auto"/>
        <w:ind w:firstLineChars="200" w:firstLine="480"/>
        <w:rPr>
          <w:kern w:val="0"/>
          <w:sz w:val="24"/>
          <w:szCs w:val="24"/>
        </w:rPr>
      </w:pPr>
      <w:r>
        <w:rPr>
          <w:kern w:val="0"/>
          <w:sz w:val="24"/>
          <w:szCs w:val="24"/>
        </w:rPr>
        <w:t>3</w:t>
      </w:r>
      <w:r>
        <w:rPr>
          <w:rFonts w:hAnsi="宋体"/>
          <w:kern w:val="0"/>
          <w:sz w:val="24"/>
          <w:szCs w:val="24"/>
        </w:rPr>
        <w:t>、不泄露在任职期间知悉的有关证券、基金的商业秘密，尚未依法公开的基金投资内容、基金投资计划等信息；</w:t>
      </w:r>
      <w:r>
        <w:rPr>
          <w:kern w:val="0"/>
          <w:sz w:val="24"/>
          <w:szCs w:val="24"/>
        </w:rPr>
        <w:t xml:space="preserve"> </w:t>
      </w:r>
    </w:p>
    <w:p w:rsidR="00783788" w:rsidRDefault="002C6E18">
      <w:pPr>
        <w:widowControl/>
        <w:adjustRightInd w:val="0"/>
        <w:snapToGrid w:val="0"/>
        <w:spacing w:line="360" w:lineRule="auto"/>
        <w:ind w:firstLineChars="200" w:firstLine="480"/>
        <w:rPr>
          <w:kern w:val="0"/>
          <w:sz w:val="24"/>
          <w:szCs w:val="24"/>
        </w:rPr>
      </w:pPr>
      <w:r>
        <w:rPr>
          <w:kern w:val="0"/>
          <w:sz w:val="24"/>
          <w:szCs w:val="24"/>
        </w:rPr>
        <w:t>4</w:t>
      </w:r>
      <w:r>
        <w:rPr>
          <w:rFonts w:hAnsi="宋体"/>
          <w:kern w:val="0"/>
          <w:sz w:val="24"/>
          <w:szCs w:val="24"/>
        </w:rPr>
        <w:t>、不以任何形式为其他组织或个人进行证券交易。</w:t>
      </w:r>
      <w:r>
        <w:rPr>
          <w:kern w:val="0"/>
          <w:sz w:val="24"/>
          <w:szCs w:val="24"/>
        </w:rPr>
        <w:t xml:space="preserve"> </w:t>
      </w:r>
    </w:p>
    <w:p w:rsidR="00783788" w:rsidRDefault="002C6E18">
      <w:pPr>
        <w:widowControl/>
        <w:adjustRightInd w:val="0"/>
        <w:snapToGrid w:val="0"/>
        <w:spacing w:line="360" w:lineRule="auto"/>
        <w:ind w:firstLineChars="200" w:firstLine="482"/>
        <w:outlineLvl w:val="1"/>
        <w:rPr>
          <w:b/>
          <w:kern w:val="0"/>
          <w:sz w:val="24"/>
          <w:szCs w:val="24"/>
        </w:rPr>
      </w:pPr>
      <w:r>
        <w:rPr>
          <w:rFonts w:hAnsi="宋体"/>
          <w:b/>
          <w:kern w:val="0"/>
          <w:sz w:val="24"/>
          <w:szCs w:val="24"/>
        </w:rPr>
        <w:t>（六）基金管理人的内部控制制度</w:t>
      </w:r>
      <w:r>
        <w:rPr>
          <w:b/>
          <w:kern w:val="0"/>
          <w:sz w:val="24"/>
          <w:szCs w:val="24"/>
        </w:rPr>
        <w:t xml:space="preserve"> </w:t>
      </w:r>
    </w:p>
    <w:p w:rsidR="00783788" w:rsidRDefault="002C6E18">
      <w:pPr>
        <w:widowControl/>
        <w:adjustRightInd w:val="0"/>
        <w:snapToGrid w:val="0"/>
        <w:spacing w:line="360" w:lineRule="auto"/>
        <w:ind w:firstLineChars="200" w:firstLine="480"/>
        <w:rPr>
          <w:kern w:val="0"/>
          <w:sz w:val="24"/>
          <w:szCs w:val="24"/>
        </w:rPr>
      </w:pPr>
      <w:r>
        <w:rPr>
          <w:kern w:val="0"/>
          <w:sz w:val="24"/>
          <w:szCs w:val="24"/>
        </w:rPr>
        <w:t>1</w:t>
      </w:r>
      <w:r>
        <w:rPr>
          <w:rFonts w:hAnsi="宋体"/>
          <w:kern w:val="0"/>
          <w:sz w:val="24"/>
          <w:szCs w:val="24"/>
        </w:rPr>
        <w:t>、风险管理的原则</w:t>
      </w:r>
      <w:r>
        <w:rPr>
          <w:kern w:val="0"/>
          <w:sz w:val="24"/>
          <w:szCs w:val="24"/>
        </w:rPr>
        <w:t xml:space="preserve"> </w:t>
      </w:r>
    </w:p>
    <w:p w:rsidR="00783788" w:rsidRDefault="002C6E18">
      <w:pPr>
        <w:widowControl/>
        <w:adjustRightInd w:val="0"/>
        <w:snapToGrid w:val="0"/>
        <w:spacing w:line="360" w:lineRule="auto"/>
        <w:ind w:firstLineChars="200" w:firstLine="480"/>
        <w:rPr>
          <w:kern w:val="0"/>
          <w:sz w:val="24"/>
          <w:szCs w:val="24"/>
        </w:rPr>
      </w:pPr>
      <w:r>
        <w:rPr>
          <w:rFonts w:hAnsi="宋体"/>
          <w:kern w:val="0"/>
          <w:sz w:val="24"/>
          <w:szCs w:val="24"/>
        </w:rPr>
        <w:t>（</w:t>
      </w:r>
      <w:r>
        <w:rPr>
          <w:kern w:val="0"/>
          <w:sz w:val="24"/>
          <w:szCs w:val="24"/>
        </w:rPr>
        <w:t>1</w:t>
      </w:r>
      <w:r>
        <w:rPr>
          <w:rFonts w:hAnsi="宋体"/>
          <w:kern w:val="0"/>
          <w:sz w:val="24"/>
          <w:szCs w:val="24"/>
        </w:rPr>
        <w:t>）全面性原则</w:t>
      </w:r>
      <w:r>
        <w:rPr>
          <w:kern w:val="0"/>
          <w:sz w:val="24"/>
          <w:szCs w:val="24"/>
        </w:rPr>
        <w:t xml:space="preserve"> </w:t>
      </w:r>
    </w:p>
    <w:p w:rsidR="00783788" w:rsidRDefault="002C6E18">
      <w:pPr>
        <w:widowControl/>
        <w:adjustRightInd w:val="0"/>
        <w:snapToGrid w:val="0"/>
        <w:spacing w:line="360" w:lineRule="auto"/>
        <w:ind w:firstLineChars="200" w:firstLine="480"/>
        <w:rPr>
          <w:kern w:val="0"/>
          <w:sz w:val="24"/>
          <w:szCs w:val="24"/>
        </w:rPr>
      </w:pPr>
      <w:r>
        <w:rPr>
          <w:rFonts w:hAnsi="宋体"/>
          <w:kern w:val="0"/>
          <w:sz w:val="24"/>
          <w:szCs w:val="24"/>
        </w:rPr>
        <w:t>公司风险管理必须覆盖公司的所有部门和岗位，渗透各项业务过程和业务环节。</w:t>
      </w:r>
      <w:r>
        <w:rPr>
          <w:kern w:val="0"/>
          <w:sz w:val="24"/>
          <w:szCs w:val="24"/>
        </w:rPr>
        <w:t xml:space="preserve"> </w:t>
      </w:r>
    </w:p>
    <w:p w:rsidR="00783788" w:rsidRDefault="002C6E18">
      <w:pPr>
        <w:widowControl/>
        <w:adjustRightInd w:val="0"/>
        <w:snapToGrid w:val="0"/>
        <w:spacing w:line="360" w:lineRule="auto"/>
        <w:ind w:firstLineChars="200" w:firstLine="480"/>
        <w:rPr>
          <w:kern w:val="0"/>
          <w:sz w:val="24"/>
          <w:szCs w:val="24"/>
        </w:rPr>
      </w:pPr>
      <w:r>
        <w:rPr>
          <w:rFonts w:hAnsi="宋体"/>
          <w:kern w:val="0"/>
          <w:sz w:val="24"/>
          <w:szCs w:val="24"/>
        </w:rPr>
        <w:t>（</w:t>
      </w:r>
      <w:r>
        <w:rPr>
          <w:kern w:val="0"/>
          <w:sz w:val="24"/>
          <w:szCs w:val="24"/>
        </w:rPr>
        <w:t>2</w:t>
      </w:r>
      <w:r>
        <w:rPr>
          <w:rFonts w:hAnsi="宋体"/>
          <w:kern w:val="0"/>
          <w:sz w:val="24"/>
          <w:szCs w:val="24"/>
        </w:rPr>
        <w:t>）独立性原则</w:t>
      </w:r>
      <w:r>
        <w:rPr>
          <w:kern w:val="0"/>
          <w:sz w:val="24"/>
          <w:szCs w:val="24"/>
        </w:rPr>
        <w:t xml:space="preserve"> </w:t>
      </w:r>
    </w:p>
    <w:p w:rsidR="00783788" w:rsidRDefault="002C6E18">
      <w:pPr>
        <w:widowControl/>
        <w:adjustRightInd w:val="0"/>
        <w:snapToGrid w:val="0"/>
        <w:spacing w:line="360" w:lineRule="auto"/>
        <w:ind w:firstLineChars="200" w:firstLine="480"/>
        <w:rPr>
          <w:kern w:val="0"/>
          <w:sz w:val="24"/>
          <w:szCs w:val="24"/>
        </w:rPr>
      </w:pPr>
      <w:r>
        <w:rPr>
          <w:rFonts w:hAnsi="宋体"/>
          <w:kern w:val="0"/>
          <w:sz w:val="24"/>
          <w:szCs w:val="24"/>
        </w:rPr>
        <w:t>公司设立独立的风险管理部，风险管理部保持高度的独立性和权威性，负责对公司各部门风险控制工作进行监督和检查。</w:t>
      </w:r>
      <w:r>
        <w:rPr>
          <w:kern w:val="0"/>
          <w:sz w:val="24"/>
          <w:szCs w:val="24"/>
        </w:rPr>
        <w:t xml:space="preserve"> </w:t>
      </w:r>
    </w:p>
    <w:p w:rsidR="00783788" w:rsidRDefault="002C6E18">
      <w:pPr>
        <w:widowControl/>
        <w:adjustRightInd w:val="0"/>
        <w:snapToGrid w:val="0"/>
        <w:spacing w:line="360" w:lineRule="auto"/>
        <w:ind w:firstLineChars="200" w:firstLine="480"/>
        <w:rPr>
          <w:kern w:val="0"/>
          <w:sz w:val="24"/>
          <w:szCs w:val="24"/>
        </w:rPr>
      </w:pPr>
      <w:r>
        <w:rPr>
          <w:rFonts w:hAnsi="宋体"/>
          <w:kern w:val="0"/>
          <w:sz w:val="24"/>
          <w:szCs w:val="24"/>
        </w:rPr>
        <w:t>（</w:t>
      </w:r>
      <w:r>
        <w:rPr>
          <w:kern w:val="0"/>
          <w:sz w:val="24"/>
          <w:szCs w:val="24"/>
        </w:rPr>
        <w:t>3</w:t>
      </w:r>
      <w:r>
        <w:rPr>
          <w:rFonts w:hAnsi="宋体"/>
          <w:kern w:val="0"/>
          <w:sz w:val="24"/>
          <w:szCs w:val="24"/>
        </w:rPr>
        <w:t>）相互制约原则</w:t>
      </w:r>
      <w:r>
        <w:rPr>
          <w:kern w:val="0"/>
          <w:sz w:val="24"/>
          <w:szCs w:val="24"/>
        </w:rPr>
        <w:t xml:space="preserve"> </w:t>
      </w:r>
    </w:p>
    <w:p w:rsidR="00783788" w:rsidRDefault="002C6E18">
      <w:pPr>
        <w:widowControl/>
        <w:adjustRightInd w:val="0"/>
        <w:snapToGrid w:val="0"/>
        <w:spacing w:line="360" w:lineRule="auto"/>
        <w:ind w:firstLineChars="200" w:firstLine="480"/>
        <w:rPr>
          <w:kern w:val="0"/>
          <w:sz w:val="24"/>
          <w:szCs w:val="24"/>
        </w:rPr>
      </w:pPr>
      <w:r>
        <w:rPr>
          <w:rFonts w:hAnsi="宋体"/>
          <w:kern w:val="0"/>
          <w:sz w:val="24"/>
          <w:szCs w:val="24"/>
        </w:rPr>
        <w:t>公司及各部门在内部组织结构的设计上要形成一种相互制约的机制，建立不同岗位之间的制衡体系。</w:t>
      </w:r>
      <w:r>
        <w:rPr>
          <w:kern w:val="0"/>
          <w:sz w:val="24"/>
          <w:szCs w:val="24"/>
        </w:rPr>
        <w:t xml:space="preserve"> </w:t>
      </w:r>
    </w:p>
    <w:p w:rsidR="00783788" w:rsidRDefault="002C6E18">
      <w:pPr>
        <w:widowControl/>
        <w:adjustRightInd w:val="0"/>
        <w:snapToGrid w:val="0"/>
        <w:spacing w:line="360" w:lineRule="auto"/>
        <w:ind w:firstLineChars="200" w:firstLine="480"/>
        <w:rPr>
          <w:kern w:val="0"/>
          <w:sz w:val="24"/>
          <w:szCs w:val="24"/>
        </w:rPr>
      </w:pPr>
      <w:r>
        <w:rPr>
          <w:rFonts w:hAnsi="宋体"/>
          <w:kern w:val="0"/>
          <w:sz w:val="24"/>
          <w:szCs w:val="24"/>
        </w:rPr>
        <w:t>（</w:t>
      </w:r>
      <w:r>
        <w:rPr>
          <w:kern w:val="0"/>
          <w:sz w:val="24"/>
          <w:szCs w:val="24"/>
        </w:rPr>
        <w:t>4</w:t>
      </w:r>
      <w:r>
        <w:rPr>
          <w:rFonts w:hAnsi="宋体"/>
          <w:kern w:val="0"/>
          <w:sz w:val="24"/>
          <w:szCs w:val="24"/>
        </w:rPr>
        <w:t>）定性和定量相结合原则</w:t>
      </w:r>
      <w:r>
        <w:rPr>
          <w:kern w:val="0"/>
          <w:sz w:val="24"/>
          <w:szCs w:val="24"/>
        </w:rPr>
        <w:t xml:space="preserve"> </w:t>
      </w:r>
    </w:p>
    <w:p w:rsidR="00783788" w:rsidRDefault="002C6E18">
      <w:pPr>
        <w:widowControl/>
        <w:adjustRightInd w:val="0"/>
        <w:snapToGrid w:val="0"/>
        <w:spacing w:line="360" w:lineRule="auto"/>
        <w:ind w:firstLineChars="200" w:firstLine="480"/>
        <w:rPr>
          <w:kern w:val="0"/>
          <w:sz w:val="24"/>
          <w:szCs w:val="24"/>
        </w:rPr>
      </w:pPr>
      <w:r>
        <w:rPr>
          <w:rFonts w:hAnsi="宋体"/>
          <w:kern w:val="0"/>
          <w:sz w:val="24"/>
          <w:szCs w:val="24"/>
        </w:rPr>
        <w:t>建立完备的风险管理指标体系，使风险管理更具客观性和操作性。</w:t>
      </w:r>
      <w:r>
        <w:rPr>
          <w:kern w:val="0"/>
          <w:sz w:val="24"/>
          <w:szCs w:val="24"/>
        </w:rPr>
        <w:t xml:space="preserve"> </w:t>
      </w:r>
    </w:p>
    <w:p w:rsidR="00783788" w:rsidRDefault="002C6E18">
      <w:pPr>
        <w:widowControl/>
        <w:adjustRightInd w:val="0"/>
        <w:snapToGrid w:val="0"/>
        <w:spacing w:line="360" w:lineRule="auto"/>
        <w:ind w:firstLineChars="200" w:firstLine="480"/>
        <w:rPr>
          <w:kern w:val="0"/>
          <w:sz w:val="24"/>
          <w:szCs w:val="24"/>
        </w:rPr>
      </w:pPr>
      <w:r>
        <w:rPr>
          <w:kern w:val="0"/>
          <w:sz w:val="24"/>
          <w:szCs w:val="24"/>
        </w:rPr>
        <w:t>2</w:t>
      </w:r>
      <w:r>
        <w:rPr>
          <w:rFonts w:hAnsi="宋体"/>
          <w:kern w:val="0"/>
          <w:sz w:val="24"/>
          <w:szCs w:val="24"/>
        </w:rPr>
        <w:t>、风险管理和内部风险控制体系结构</w:t>
      </w:r>
      <w:r>
        <w:rPr>
          <w:kern w:val="0"/>
          <w:sz w:val="24"/>
          <w:szCs w:val="24"/>
        </w:rPr>
        <w:t xml:space="preserve"> </w:t>
      </w:r>
    </w:p>
    <w:p w:rsidR="00783788" w:rsidRDefault="002C6E18">
      <w:pPr>
        <w:widowControl/>
        <w:adjustRightInd w:val="0"/>
        <w:snapToGrid w:val="0"/>
        <w:spacing w:line="360" w:lineRule="auto"/>
        <w:ind w:firstLineChars="200" w:firstLine="480"/>
        <w:rPr>
          <w:kern w:val="0"/>
          <w:sz w:val="24"/>
          <w:szCs w:val="24"/>
        </w:rPr>
      </w:pPr>
      <w:r>
        <w:rPr>
          <w:rFonts w:hAnsi="宋体"/>
          <w:kern w:val="0"/>
          <w:sz w:val="24"/>
          <w:szCs w:val="24"/>
        </w:rPr>
        <w:t>公司的风险管理体系结构是一个分工明确、相互牵制的组织结构，由最高管理层对风险管理负最终责任，各个业务部门负责本部门的风险评估和监控，风险管理部负责监察公司的风险管理措施的执行。具体而言，包括如下组成部分：</w:t>
      </w:r>
      <w:r>
        <w:rPr>
          <w:kern w:val="0"/>
          <w:sz w:val="24"/>
          <w:szCs w:val="24"/>
        </w:rPr>
        <w:t xml:space="preserve"> </w:t>
      </w:r>
    </w:p>
    <w:p w:rsidR="00783788" w:rsidRDefault="002C6E18">
      <w:pPr>
        <w:widowControl/>
        <w:adjustRightInd w:val="0"/>
        <w:snapToGrid w:val="0"/>
        <w:spacing w:line="360" w:lineRule="auto"/>
        <w:ind w:firstLineChars="200" w:firstLine="480"/>
        <w:rPr>
          <w:kern w:val="0"/>
          <w:sz w:val="24"/>
          <w:szCs w:val="24"/>
        </w:rPr>
      </w:pPr>
      <w:r>
        <w:rPr>
          <w:rFonts w:hAnsi="宋体"/>
          <w:kern w:val="0"/>
          <w:sz w:val="24"/>
          <w:szCs w:val="24"/>
        </w:rPr>
        <w:t>（</w:t>
      </w:r>
      <w:r>
        <w:rPr>
          <w:kern w:val="0"/>
          <w:sz w:val="24"/>
          <w:szCs w:val="24"/>
        </w:rPr>
        <w:t>1</w:t>
      </w:r>
      <w:r>
        <w:rPr>
          <w:rFonts w:hAnsi="宋体"/>
          <w:kern w:val="0"/>
          <w:sz w:val="24"/>
          <w:szCs w:val="24"/>
        </w:rPr>
        <w:t>）董事会</w:t>
      </w:r>
      <w:r>
        <w:rPr>
          <w:kern w:val="0"/>
          <w:sz w:val="24"/>
          <w:szCs w:val="24"/>
        </w:rPr>
        <w:t xml:space="preserve"> </w:t>
      </w:r>
    </w:p>
    <w:p w:rsidR="00783788" w:rsidRDefault="002C6E18">
      <w:pPr>
        <w:widowControl/>
        <w:adjustRightInd w:val="0"/>
        <w:snapToGrid w:val="0"/>
        <w:spacing w:line="360" w:lineRule="auto"/>
        <w:ind w:firstLineChars="200" w:firstLine="480"/>
        <w:rPr>
          <w:kern w:val="0"/>
          <w:sz w:val="24"/>
          <w:szCs w:val="24"/>
        </w:rPr>
      </w:pPr>
      <w:r>
        <w:rPr>
          <w:rFonts w:hAnsi="宋体"/>
          <w:kern w:val="0"/>
          <w:sz w:val="24"/>
          <w:szCs w:val="24"/>
        </w:rPr>
        <w:t>负责制定公司的风险管理政策，对风险管理负完全的和最终的责任。</w:t>
      </w:r>
      <w:r>
        <w:rPr>
          <w:kern w:val="0"/>
          <w:sz w:val="24"/>
          <w:szCs w:val="24"/>
        </w:rPr>
        <w:t xml:space="preserve"> </w:t>
      </w:r>
    </w:p>
    <w:p w:rsidR="00783788" w:rsidRDefault="002C6E18">
      <w:pPr>
        <w:widowControl/>
        <w:adjustRightInd w:val="0"/>
        <w:snapToGrid w:val="0"/>
        <w:spacing w:line="360" w:lineRule="auto"/>
        <w:ind w:firstLineChars="200" w:firstLine="480"/>
        <w:rPr>
          <w:kern w:val="0"/>
          <w:sz w:val="24"/>
          <w:szCs w:val="24"/>
        </w:rPr>
      </w:pPr>
      <w:r>
        <w:rPr>
          <w:rFonts w:hAnsi="宋体"/>
          <w:kern w:val="0"/>
          <w:sz w:val="24"/>
          <w:szCs w:val="24"/>
        </w:rPr>
        <w:t>（</w:t>
      </w:r>
      <w:r>
        <w:rPr>
          <w:kern w:val="0"/>
          <w:sz w:val="24"/>
          <w:szCs w:val="24"/>
        </w:rPr>
        <w:t>2</w:t>
      </w:r>
      <w:r>
        <w:rPr>
          <w:rFonts w:hAnsi="宋体"/>
          <w:kern w:val="0"/>
          <w:sz w:val="24"/>
          <w:szCs w:val="24"/>
        </w:rPr>
        <w:t>）监事会</w:t>
      </w:r>
    </w:p>
    <w:p w:rsidR="00783788" w:rsidRDefault="002C6E18">
      <w:pPr>
        <w:widowControl/>
        <w:adjustRightInd w:val="0"/>
        <w:snapToGrid w:val="0"/>
        <w:spacing w:line="360" w:lineRule="auto"/>
        <w:ind w:firstLineChars="200" w:firstLine="480"/>
        <w:rPr>
          <w:kern w:val="0"/>
          <w:sz w:val="24"/>
          <w:szCs w:val="24"/>
        </w:rPr>
      </w:pPr>
      <w:r>
        <w:rPr>
          <w:rFonts w:hAnsi="宋体"/>
          <w:kern w:val="0"/>
          <w:sz w:val="24"/>
          <w:szCs w:val="24"/>
        </w:rPr>
        <w:t>是公司常设的监事机构，对股东会负责。监事会对公司财务、公司董事、总经理及其他高级管理人员进行监督。</w:t>
      </w:r>
    </w:p>
    <w:p w:rsidR="00783788" w:rsidRDefault="002C6E18">
      <w:pPr>
        <w:widowControl/>
        <w:adjustRightInd w:val="0"/>
        <w:snapToGrid w:val="0"/>
        <w:spacing w:line="360" w:lineRule="auto"/>
        <w:ind w:firstLineChars="200" w:firstLine="480"/>
        <w:rPr>
          <w:kern w:val="0"/>
          <w:sz w:val="24"/>
          <w:szCs w:val="24"/>
        </w:rPr>
      </w:pPr>
      <w:r>
        <w:rPr>
          <w:rFonts w:hAnsi="宋体"/>
          <w:kern w:val="0"/>
          <w:sz w:val="24"/>
          <w:szCs w:val="24"/>
        </w:rPr>
        <w:t>（</w:t>
      </w:r>
      <w:r>
        <w:rPr>
          <w:kern w:val="0"/>
          <w:sz w:val="24"/>
          <w:szCs w:val="24"/>
        </w:rPr>
        <w:t>3</w:t>
      </w:r>
      <w:r>
        <w:rPr>
          <w:rFonts w:hAnsi="宋体"/>
          <w:kern w:val="0"/>
          <w:sz w:val="24"/>
          <w:szCs w:val="24"/>
        </w:rPr>
        <w:t>）合规审核及风险管理委员会</w:t>
      </w:r>
    </w:p>
    <w:p w:rsidR="00783788" w:rsidRDefault="002C6E18">
      <w:pPr>
        <w:widowControl/>
        <w:adjustRightInd w:val="0"/>
        <w:snapToGrid w:val="0"/>
        <w:spacing w:line="360" w:lineRule="auto"/>
        <w:ind w:firstLineChars="200" w:firstLine="480"/>
        <w:rPr>
          <w:kern w:val="0"/>
          <w:sz w:val="24"/>
          <w:szCs w:val="24"/>
        </w:rPr>
      </w:pPr>
      <w:r>
        <w:rPr>
          <w:rFonts w:hAnsi="宋体"/>
          <w:kern w:val="0"/>
          <w:sz w:val="24"/>
          <w:szCs w:val="24"/>
        </w:rPr>
        <w:t>作为董事会下的专业委员会之一，对公司内部控制制度、监察稽核制度进行检查评估；审查公司财务，对公司内部管理制度、投资决策程序和运作流程进行合规性审议；对公司资产与基金资产的经营进行评估。</w:t>
      </w:r>
    </w:p>
    <w:p w:rsidR="00783788" w:rsidRDefault="002C6E18">
      <w:pPr>
        <w:widowControl/>
        <w:adjustRightInd w:val="0"/>
        <w:snapToGrid w:val="0"/>
        <w:spacing w:line="360" w:lineRule="auto"/>
        <w:ind w:firstLineChars="200" w:firstLine="480"/>
        <w:rPr>
          <w:kern w:val="0"/>
          <w:sz w:val="24"/>
          <w:szCs w:val="24"/>
        </w:rPr>
      </w:pPr>
      <w:r>
        <w:rPr>
          <w:rFonts w:hAnsi="宋体"/>
          <w:kern w:val="0"/>
          <w:sz w:val="24"/>
          <w:szCs w:val="24"/>
        </w:rPr>
        <w:t>（</w:t>
      </w:r>
      <w:r>
        <w:rPr>
          <w:kern w:val="0"/>
          <w:sz w:val="24"/>
          <w:szCs w:val="24"/>
        </w:rPr>
        <w:t>4</w:t>
      </w:r>
      <w:r>
        <w:rPr>
          <w:rFonts w:hAnsi="宋体"/>
          <w:kern w:val="0"/>
          <w:sz w:val="24"/>
          <w:szCs w:val="24"/>
        </w:rPr>
        <w:t>）风险控制委员会</w:t>
      </w:r>
      <w:r>
        <w:rPr>
          <w:kern w:val="0"/>
          <w:sz w:val="24"/>
          <w:szCs w:val="24"/>
        </w:rPr>
        <w:t xml:space="preserve"> </w:t>
      </w:r>
    </w:p>
    <w:p w:rsidR="00783788" w:rsidRDefault="002C6E18">
      <w:pPr>
        <w:widowControl/>
        <w:adjustRightInd w:val="0"/>
        <w:snapToGrid w:val="0"/>
        <w:spacing w:line="360" w:lineRule="auto"/>
        <w:ind w:firstLineChars="200" w:firstLine="480"/>
        <w:rPr>
          <w:kern w:val="0"/>
          <w:sz w:val="24"/>
          <w:szCs w:val="24"/>
        </w:rPr>
      </w:pPr>
      <w:r>
        <w:rPr>
          <w:rFonts w:hAnsi="宋体"/>
          <w:kern w:val="0"/>
          <w:sz w:val="24"/>
          <w:szCs w:val="24"/>
        </w:rPr>
        <w:t>作为总经理下设的专业委员会之一，风险控制委员会负责拟定公司风险管理战略及政策，制定灾难复原计划及紧急情况处理制度，确保公司风险控制符合标准，就潜在风险与相关部门协调，审阅公司审计报告及监察情况。</w:t>
      </w:r>
      <w:r>
        <w:rPr>
          <w:kern w:val="0"/>
          <w:sz w:val="24"/>
          <w:szCs w:val="24"/>
        </w:rPr>
        <w:t xml:space="preserve"> </w:t>
      </w:r>
    </w:p>
    <w:p w:rsidR="00783788" w:rsidRDefault="002C6E18">
      <w:pPr>
        <w:widowControl/>
        <w:adjustRightInd w:val="0"/>
        <w:snapToGrid w:val="0"/>
        <w:spacing w:line="360" w:lineRule="auto"/>
        <w:ind w:firstLineChars="150" w:firstLine="360"/>
        <w:rPr>
          <w:kern w:val="0"/>
          <w:sz w:val="24"/>
          <w:szCs w:val="24"/>
        </w:rPr>
      </w:pPr>
      <w:r>
        <w:rPr>
          <w:rFonts w:hAnsi="宋体"/>
          <w:kern w:val="0"/>
          <w:sz w:val="24"/>
          <w:szCs w:val="24"/>
        </w:rPr>
        <w:t>（</w:t>
      </w:r>
      <w:r>
        <w:rPr>
          <w:kern w:val="0"/>
          <w:sz w:val="24"/>
          <w:szCs w:val="24"/>
        </w:rPr>
        <w:t>5</w:t>
      </w:r>
      <w:r>
        <w:rPr>
          <w:rFonts w:hAnsi="宋体"/>
          <w:kern w:val="0"/>
          <w:sz w:val="24"/>
          <w:szCs w:val="24"/>
        </w:rPr>
        <w:t>）督察长</w:t>
      </w:r>
      <w:r>
        <w:rPr>
          <w:kern w:val="0"/>
          <w:sz w:val="24"/>
          <w:szCs w:val="24"/>
        </w:rPr>
        <w:t xml:space="preserve"> </w:t>
      </w:r>
    </w:p>
    <w:p w:rsidR="00783788" w:rsidRDefault="002C6E18">
      <w:pPr>
        <w:widowControl/>
        <w:adjustRightInd w:val="0"/>
        <w:snapToGrid w:val="0"/>
        <w:spacing w:line="360" w:lineRule="auto"/>
        <w:ind w:firstLineChars="200" w:firstLine="480"/>
        <w:rPr>
          <w:kern w:val="0"/>
          <w:sz w:val="24"/>
          <w:szCs w:val="24"/>
        </w:rPr>
      </w:pPr>
      <w:r>
        <w:rPr>
          <w:rFonts w:hAnsi="宋体"/>
          <w:kern w:val="0"/>
          <w:sz w:val="24"/>
          <w:szCs w:val="24"/>
        </w:rPr>
        <w:t>独立行使督察权利；直接对董事会负责；就内部控制制度和执行情况独立地履行检查、评价、报告、建议职能；定期和不定期地向董事会报告公司内部控制执行情况。</w:t>
      </w:r>
      <w:r>
        <w:rPr>
          <w:kern w:val="0"/>
          <w:sz w:val="24"/>
          <w:szCs w:val="24"/>
        </w:rPr>
        <w:t xml:space="preserve"> </w:t>
      </w:r>
    </w:p>
    <w:p w:rsidR="00783788" w:rsidRDefault="002C6E18">
      <w:pPr>
        <w:widowControl/>
        <w:adjustRightInd w:val="0"/>
        <w:snapToGrid w:val="0"/>
        <w:spacing w:line="360" w:lineRule="auto"/>
        <w:ind w:firstLineChars="200" w:firstLine="480"/>
        <w:rPr>
          <w:kern w:val="0"/>
          <w:sz w:val="24"/>
          <w:szCs w:val="24"/>
        </w:rPr>
      </w:pPr>
      <w:r>
        <w:rPr>
          <w:rFonts w:hAnsi="宋体"/>
          <w:kern w:val="0"/>
          <w:sz w:val="24"/>
          <w:szCs w:val="24"/>
        </w:rPr>
        <w:t>（</w:t>
      </w:r>
      <w:r>
        <w:rPr>
          <w:kern w:val="0"/>
          <w:sz w:val="24"/>
          <w:szCs w:val="24"/>
        </w:rPr>
        <w:t>6</w:t>
      </w:r>
      <w:r>
        <w:rPr>
          <w:rFonts w:hAnsi="宋体"/>
          <w:kern w:val="0"/>
          <w:sz w:val="24"/>
          <w:szCs w:val="24"/>
        </w:rPr>
        <w:t>）风险管理部</w:t>
      </w:r>
      <w:r>
        <w:rPr>
          <w:kern w:val="0"/>
          <w:sz w:val="24"/>
          <w:szCs w:val="24"/>
        </w:rPr>
        <w:t xml:space="preserve"> </w:t>
      </w:r>
    </w:p>
    <w:p w:rsidR="00783788" w:rsidRDefault="002C6E18">
      <w:pPr>
        <w:widowControl/>
        <w:adjustRightInd w:val="0"/>
        <w:snapToGrid w:val="0"/>
        <w:spacing w:line="360" w:lineRule="auto"/>
        <w:ind w:firstLineChars="200" w:firstLine="480"/>
        <w:rPr>
          <w:kern w:val="0"/>
          <w:sz w:val="24"/>
          <w:szCs w:val="24"/>
        </w:rPr>
      </w:pPr>
      <w:r>
        <w:rPr>
          <w:rFonts w:hAnsi="宋体"/>
          <w:kern w:val="0"/>
          <w:sz w:val="24"/>
          <w:szCs w:val="24"/>
        </w:rPr>
        <w:t>风险管理部负责制定公司风险管理政策和防范及控制措施，组织执行，并为每一个部门的风险管理系统的发展提供协助，汇总公司业务所有的风险信息，独立识别、评估各类风险，提出风险控制建议，使公司在一种风险管理和控制的环境中实现业务目标。</w:t>
      </w:r>
      <w:r>
        <w:rPr>
          <w:kern w:val="0"/>
          <w:sz w:val="24"/>
          <w:szCs w:val="24"/>
        </w:rPr>
        <w:t xml:space="preserve"> </w:t>
      </w:r>
    </w:p>
    <w:p w:rsidR="00783788" w:rsidRDefault="002C6E18">
      <w:pPr>
        <w:widowControl/>
        <w:adjustRightInd w:val="0"/>
        <w:snapToGrid w:val="0"/>
        <w:spacing w:line="360" w:lineRule="auto"/>
        <w:ind w:firstLineChars="200" w:firstLine="480"/>
        <w:rPr>
          <w:kern w:val="0"/>
          <w:sz w:val="24"/>
          <w:szCs w:val="24"/>
        </w:rPr>
      </w:pPr>
      <w:r>
        <w:rPr>
          <w:rFonts w:hAnsi="宋体"/>
          <w:kern w:val="0"/>
          <w:sz w:val="24"/>
          <w:szCs w:val="24"/>
        </w:rPr>
        <w:t>（</w:t>
      </w:r>
      <w:r>
        <w:rPr>
          <w:kern w:val="0"/>
          <w:sz w:val="24"/>
          <w:szCs w:val="24"/>
        </w:rPr>
        <w:t>7</w:t>
      </w:r>
      <w:r>
        <w:rPr>
          <w:rFonts w:hAnsi="宋体"/>
          <w:kern w:val="0"/>
          <w:sz w:val="24"/>
          <w:szCs w:val="24"/>
        </w:rPr>
        <w:t>）监察稽核部</w:t>
      </w:r>
    </w:p>
    <w:p w:rsidR="00783788" w:rsidRDefault="002C6E18">
      <w:pPr>
        <w:widowControl/>
        <w:adjustRightInd w:val="0"/>
        <w:snapToGrid w:val="0"/>
        <w:spacing w:line="360" w:lineRule="auto"/>
        <w:ind w:firstLineChars="200" w:firstLine="480"/>
        <w:rPr>
          <w:kern w:val="0"/>
          <w:sz w:val="24"/>
          <w:szCs w:val="24"/>
        </w:rPr>
      </w:pPr>
      <w:r>
        <w:rPr>
          <w:rFonts w:hAnsi="宋体"/>
          <w:kern w:val="0"/>
          <w:sz w:val="24"/>
          <w:szCs w:val="24"/>
        </w:rPr>
        <w:t>监察稽核部负责设计及实施公司合规审计计划，检查公司各项业务的合规情况及监督公司内部规章制度的执行情况，定期向监管机构及公司管理层进行汇报。</w:t>
      </w:r>
    </w:p>
    <w:p w:rsidR="00783788" w:rsidRDefault="002C6E18">
      <w:pPr>
        <w:widowControl/>
        <w:adjustRightInd w:val="0"/>
        <w:snapToGrid w:val="0"/>
        <w:spacing w:line="360" w:lineRule="auto"/>
        <w:ind w:firstLineChars="200" w:firstLine="480"/>
        <w:rPr>
          <w:kern w:val="0"/>
          <w:sz w:val="24"/>
          <w:szCs w:val="24"/>
        </w:rPr>
      </w:pPr>
      <w:r>
        <w:rPr>
          <w:rFonts w:hAnsi="宋体"/>
          <w:kern w:val="0"/>
          <w:sz w:val="24"/>
          <w:szCs w:val="24"/>
        </w:rPr>
        <w:t>（</w:t>
      </w:r>
      <w:r>
        <w:rPr>
          <w:kern w:val="0"/>
          <w:sz w:val="24"/>
          <w:szCs w:val="24"/>
        </w:rPr>
        <w:t>8</w:t>
      </w:r>
      <w:r>
        <w:rPr>
          <w:rFonts w:hAnsi="宋体"/>
          <w:kern w:val="0"/>
          <w:sz w:val="24"/>
          <w:szCs w:val="24"/>
        </w:rPr>
        <w:t>）法务部</w:t>
      </w:r>
    </w:p>
    <w:p w:rsidR="00783788" w:rsidRDefault="002C6E18">
      <w:pPr>
        <w:widowControl/>
        <w:adjustRightInd w:val="0"/>
        <w:snapToGrid w:val="0"/>
        <w:spacing w:line="360" w:lineRule="auto"/>
        <w:ind w:firstLineChars="200" w:firstLine="480"/>
        <w:rPr>
          <w:kern w:val="0"/>
          <w:sz w:val="24"/>
          <w:szCs w:val="24"/>
        </w:rPr>
      </w:pPr>
      <w:r>
        <w:rPr>
          <w:rFonts w:hAnsi="宋体"/>
          <w:kern w:val="0"/>
          <w:sz w:val="24"/>
          <w:szCs w:val="24"/>
        </w:rPr>
        <w:t>法务部负责公司的法律事务及协调实施信息披露事务，依法维护公司合法权益，评判并处理公司运营中发生的法律及信息披露相关问题，及时向公司管理层及全体员工传达法规及监管要求。</w:t>
      </w:r>
    </w:p>
    <w:p w:rsidR="00783788" w:rsidRDefault="002C6E18">
      <w:pPr>
        <w:widowControl/>
        <w:adjustRightInd w:val="0"/>
        <w:snapToGrid w:val="0"/>
        <w:spacing w:line="360" w:lineRule="auto"/>
        <w:ind w:firstLineChars="200" w:firstLine="480"/>
        <w:rPr>
          <w:kern w:val="0"/>
          <w:sz w:val="24"/>
          <w:szCs w:val="24"/>
        </w:rPr>
      </w:pPr>
      <w:r>
        <w:rPr>
          <w:rFonts w:hAnsi="宋体"/>
          <w:kern w:val="0"/>
          <w:sz w:val="24"/>
          <w:szCs w:val="24"/>
        </w:rPr>
        <w:t>（</w:t>
      </w:r>
      <w:r>
        <w:rPr>
          <w:kern w:val="0"/>
          <w:sz w:val="24"/>
          <w:szCs w:val="24"/>
        </w:rPr>
        <w:t>9</w:t>
      </w:r>
      <w:r>
        <w:rPr>
          <w:rFonts w:hAnsi="宋体"/>
          <w:kern w:val="0"/>
          <w:sz w:val="24"/>
          <w:szCs w:val="24"/>
        </w:rPr>
        <w:t>）业务部门</w:t>
      </w:r>
      <w:r>
        <w:rPr>
          <w:kern w:val="0"/>
          <w:sz w:val="24"/>
          <w:szCs w:val="24"/>
        </w:rPr>
        <w:t xml:space="preserve"> </w:t>
      </w:r>
    </w:p>
    <w:p w:rsidR="00783788" w:rsidRDefault="002C6E18">
      <w:pPr>
        <w:widowControl/>
        <w:adjustRightInd w:val="0"/>
        <w:snapToGrid w:val="0"/>
        <w:spacing w:line="360" w:lineRule="auto"/>
        <w:ind w:firstLineChars="200" w:firstLine="480"/>
        <w:rPr>
          <w:kern w:val="0"/>
          <w:sz w:val="24"/>
          <w:szCs w:val="24"/>
        </w:rPr>
      </w:pPr>
      <w:r>
        <w:rPr>
          <w:rFonts w:hAnsi="宋体"/>
          <w:kern w:val="0"/>
          <w:sz w:val="24"/>
          <w:szCs w:val="24"/>
        </w:rPr>
        <w:t>风险管理是每一个业务部门首要的责任。部门经理对本部门的风险负全部责任，负责履行公司的风险管理程序，负责本部门的风险管理系统的开发、执行和维护，用于识别、监控和降低风险。</w:t>
      </w:r>
      <w:r>
        <w:rPr>
          <w:kern w:val="0"/>
          <w:sz w:val="24"/>
          <w:szCs w:val="24"/>
        </w:rPr>
        <w:t xml:space="preserve"> </w:t>
      </w:r>
    </w:p>
    <w:p w:rsidR="00783788" w:rsidRDefault="002C6E18">
      <w:pPr>
        <w:widowControl/>
        <w:adjustRightInd w:val="0"/>
        <w:snapToGrid w:val="0"/>
        <w:spacing w:line="360" w:lineRule="auto"/>
        <w:ind w:firstLineChars="200" w:firstLine="480"/>
        <w:rPr>
          <w:kern w:val="0"/>
          <w:sz w:val="24"/>
          <w:szCs w:val="24"/>
        </w:rPr>
      </w:pPr>
      <w:r>
        <w:rPr>
          <w:kern w:val="0"/>
          <w:sz w:val="24"/>
          <w:szCs w:val="24"/>
        </w:rPr>
        <w:t>3</w:t>
      </w:r>
      <w:r>
        <w:rPr>
          <w:rFonts w:hAnsi="宋体"/>
          <w:kern w:val="0"/>
          <w:sz w:val="24"/>
          <w:szCs w:val="24"/>
        </w:rPr>
        <w:t>、风险管理和内部风险控制的措施</w:t>
      </w:r>
      <w:r>
        <w:rPr>
          <w:kern w:val="0"/>
          <w:sz w:val="24"/>
          <w:szCs w:val="24"/>
        </w:rPr>
        <w:t xml:space="preserve"> </w:t>
      </w:r>
    </w:p>
    <w:p w:rsidR="00783788" w:rsidRDefault="002C6E18">
      <w:pPr>
        <w:widowControl/>
        <w:adjustRightInd w:val="0"/>
        <w:snapToGrid w:val="0"/>
        <w:spacing w:line="360" w:lineRule="auto"/>
        <w:ind w:firstLineChars="200" w:firstLine="480"/>
        <w:rPr>
          <w:kern w:val="0"/>
          <w:sz w:val="24"/>
          <w:szCs w:val="24"/>
        </w:rPr>
      </w:pPr>
      <w:r>
        <w:rPr>
          <w:rFonts w:hAnsi="宋体"/>
          <w:kern w:val="0"/>
          <w:sz w:val="24"/>
          <w:szCs w:val="24"/>
        </w:rPr>
        <w:t>（</w:t>
      </w:r>
      <w:r>
        <w:rPr>
          <w:kern w:val="0"/>
          <w:sz w:val="24"/>
          <w:szCs w:val="24"/>
        </w:rPr>
        <w:t>1</w:t>
      </w:r>
      <w:r>
        <w:rPr>
          <w:rFonts w:hAnsi="宋体"/>
          <w:kern w:val="0"/>
          <w:sz w:val="24"/>
          <w:szCs w:val="24"/>
        </w:rPr>
        <w:t>）建立内控体系，完善内控制度</w:t>
      </w:r>
      <w:r>
        <w:rPr>
          <w:kern w:val="0"/>
          <w:sz w:val="24"/>
          <w:szCs w:val="24"/>
        </w:rPr>
        <w:t xml:space="preserve"> </w:t>
      </w:r>
    </w:p>
    <w:p w:rsidR="00783788" w:rsidRDefault="002C6E18">
      <w:pPr>
        <w:widowControl/>
        <w:adjustRightInd w:val="0"/>
        <w:snapToGrid w:val="0"/>
        <w:spacing w:line="360" w:lineRule="auto"/>
        <w:ind w:firstLineChars="200" w:firstLine="480"/>
        <w:rPr>
          <w:kern w:val="0"/>
          <w:sz w:val="24"/>
          <w:szCs w:val="24"/>
        </w:rPr>
      </w:pPr>
      <w:r>
        <w:rPr>
          <w:rFonts w:hAnsi="宋体"/>
          <w:kern w:val="0"/>
          <w:sz w:val="24"/>
          <w:szCs w:val="24"/>
        </w:rPr>
        <w:t>公司建立、健全了内控体系，通过高管人员关于内控的明确分工，确保各项业务活动有恰当的组织和授权，确保监察活动独立，并得到高管人员的支持，同时置备操作手册，并定期更新。</w:t>
      </w:r>
      <w:r>
        <w:rPr>
          <w:kern w:val="0"/>
          <w:sz w:val="24"/>
          <w:szCs w:val="24"/>
        </w:rPr>
        <w:t xml:space="preserve">  </w:t>
      </w:r>
    </w:p>
    <w:p w:rsidR="00783788" w:rsidRDefault="002C6E18">
      <w:pPr>
        <w:widowControl/>
        <w:adjustRightInd w:val="0"/>
        <w:snapToGrid w:val="0"/>
        <w:spacing w:line="360" w:lineRule="auto"/>
        <w:ind w:firstLineChars="200" w:firstLine="480"/>
        <w:rPr>
          <w:kern w:val="0"/>
          <w:sz w:val="24"/>
          <w:szCs w:val="24"/>
        </w:rPr>
      </w:pPr>
      <w:r>
        <w:rPr>
          <w:rFonts w:hAnsi="宋体"/>
          <w:kern w:val="0"/>
          <w:sz w:val="24"/>
          <w:szCs w:val="24"/>
        </w:rPr>
        <w:t>（</w:t>
      </w:r>
      <w:r>
        <w:rPr>
          <w:kern w:val="0"/>
          <w:sz w:val="24"/>
          <w:szCs w:val="24"/>
        </w:rPr>
        <w:t>2</w:t>
      </w:r>
      <w:r>
        <w:rPr>
          <w:rFonts w:hAnsi="宋体"/>
          <w:kern w:val="0"/>
          <w:sz w:val="24"/>
          <w:szCs w:val="24"/>
        </w:rPr>
        <w:t>）建立相互分离、相互制衡的内控机制</w:t>
      </w:r>
      <w:r>
        <w:rPr>
          <w:kern w:val="0"/>
          <w:sz w:val="24"/>
          <w:szCs w:val="24"/>
        </w:rPr>
        <w:t xml:space="preserve"> </w:t>
      </w:r>
    </w:p>
    <w:p w:rsidR="00783788" w:rsidRDefault="002C6E18">
      <w:pPr>
        <w:widowControl/>
        <w:adjustRightInd w:val="0"/>
        <w:snapToGrid w:val="0"/>
        <w:spacing w:line="360" w:lineRule="auto"/>
        <w:ind w:firstLineChars="200" w:firstLine="480"/>
        <w:rPr>
          <w:kern w:val="0"/>
          <w:sz w:val="24"/>
          <w:szCs w:val="24"/>
        </w:rPr>
      </w:pPr>
      <w:r>
        <w:rPr>
          <w:rFonts w:hAnsi="宋体"/>
          <w:kern w:val="0"/>
          <w:sz w:val="24"/>
          <w:szCs w:val="24"/>
        </w:rPr>
        <w:t>建立、健全了各项制度，做到基金经理分开，投资决策分开，基金交易集中，形成不同部门、不同岗位之间的制衡机制，从制度上减少和防范风险。</w:t>
      </w:r>
      <w:r>
        <w:rPr>
          <w:kern w:val="0"/>
          <w:sz w:val="24"/>
          <w:szCs w:val="24"/>
        </w:rPr>
        <w:t xml:space="preserve"> </w:t>
      </w:r>
    </w:p>
    <w:p w:rsidR="00783788" w:rsidRDefault="002C6E18">
      <w:pPr>
        <w:widowControl/>
        <w:adjustRightInd w:val="0"/>
        <w:snapToGrid w:val="0"/>
        <w:spacing w:line="360" w:lineRule="auto"/>
        <w:ind w:firstLineChars="200" w:firstLine="480"/>
        <w:rPr>
          <w:kern w:val="0"/>
          <w:sz w:val="24"/>
          <w:szCs w:val="24"/>
        </w:rPr>
      </w:pPr>
      <w:r>
        <w:rPr>
          <w:rFonts w:hAnsi="宋体"/>
          <w:kern w:val="0"/>
          <w:sz w:val="24"/>
          <w:szCs w:val="24"/>
        </w:rPr>
        <w:t>（</w:t>
      </w:r>
      <w:r>
        <w:rPr>
          <w:kern w:val="0"/>
          <w:sz w:val="24"/>
          <w:szCs w:val="24"/>
        </w:rPr>
        <w:t>3</w:t>
      </w:r>
      <w:r>
        <w:rPr>
          <w:rFonts w:hAnsi="宋体"/>
          <w:kern w:val="0"/>
          <w:sz w:val="24"/>
          <w:szCs w:val="24"/>
        </w:rPr>
        <w:t>）建立、健全岗位责任制</w:t>
      </w:r>
      <w:r>
        <w:rPr>
          <w:kern w:val="0"/>
          <w:sz w:val="24"/>
          <w:szCs w:val="24"/>
        </w:rPr>
        <w:t xml:space="preserve"> </w:t>
      </w:r>
    </w:p>
    <w:p w:rsidR="00783788" w:rsidRDefault="002C6E18">
      <w:pPr>
        <w:widowControl/>
        <w:adjustRightInd w:val="0"/>
        <w:snapToGrid w:val="0"/>
        <w:spacing w:line="360" w:lineRule="auto"/>
        <w:ind w:firstLineChars="200" w:firstLine="480"/>
        <w:rPr>
          <w:kern w:val="0"/>
          <w:sz w:val="24"/>
          <w:szCs w:val="24"/>
        </w:rPr>
      </w:pPr>
      <w:r>
        <w:rPr>
          <w:rFonts w:hAnsi="宋体"/>
          <w:kern w:val="0"/>
          <w:sz w:val="24"/>
          <w:szCs w:val="24"/>
        </w:rPr>
        <w:t>建立、健全了岗位责任制，使每个员工都明确自己的任务、职责，并及时将各自工作领域中的风险隐患上报，以防范和减少风险。</w:t>
      </w:r>
      <w:r>
        <w:rPr>
          <w:kern w:val="0"/>
          <w:sz w:val="24"/>
          <w:szCs w:val="24"/>
        </w:rPr>
        <w:t xml:space="preserve"> </w:t>
      </w:r>
    </w:p>
    <w:p w:rsidR="00783788" w:rsidRDefault="002C6E18">
      <w:pPr>
        <w:widowControl/>
        <w:adjustRightInd w:val="0"/>
        <w:snapToGrid w:val="0"/>
        <w:spacing w:line="360" w:lineRule="auto"/>
        <w:ind w:firstLineChars="200" w:firstLine="480"/>
        <w:rPr>
          <w:kern w:val="0"/>
          <w:sz w:val="24"/>
          <w:szCs w:val="24"/>
        </w:rPr>
      </w:pPr>
      <w:r>
        <w:rPr>
          <w:rFonts w:hAnsi="宋体"/>
          <w:kern w:val="0"/>
          <w:sz w:val="24"/>
          <w:szCs w:val="24"/>
        </w:rPr>
        <w:t>（</w:t>
      </w:r>
      <w:r>
        <w:rPr>
          <w:kern w:val="0"/>
          <w:sz w:val="24"/>
          <w:szCs w:val="24"/>
        </w:rPr>
        <w:t>4</w:t>
      </w:r>
      <w:r>
        <w:rPr>
          <w:rFonts w:hAnsi="宋体"/>
          <w:kern w:val="0"/>
          <w:sz w:val="24"/>
          <w:szCs w:val="24"/>
        </w:rPr>
        <w:t>）建立风险分类、识别、评估、报告、提示程序</w:t>
      </w:r>
      <w:r>
        <w:rPr>
          <w:kern w:val="0"/>
          <w:sz w:val="24"/>
          <w:szCs w:val="24"/>
        </w:rPr>
        <w:t xml:space="preserve"> </w:t>
      </w:r>
    </w:p>
    <w:p w:rsidR="00783788" w:rsidRDefault="002C6E18">
      <w:pPr>
        <w:widowControl/>
        <w:adjustRightInd w:val="0"/>
        <w:snapToGrid w:val="0"/>
        <w:spacing w:line="360" w:lineRule="auto"/>
        <w:ind w:firstLineChars="200" w:firstLine="480"/>
        <w:rPr>
          <w:kern w:val="0"/>
          <w:sz w:val="24"/>
          <w:szCs w:val="24"/>
        </w:rPr>
      </w:pPr>
      <w:r>
        <w:rPr>
          <w:rFonts w:hAnsi="宋体"/>
          <w:kern w:val="0"/>
          <w:sz w:val="24"/>
          <w:szCs w:val="24"/>
        </w:rPr>
        <w:t>建立了风险评估机制，通过适合的程序，确认和评估与公司运作有关的风险；公司建立了自下而上的风险报告程序，对风险隐患进行层层汇报，使各个层次的人员及时掌握风险状况，从而以最快速度作出决策。</w:t>
      </w:r>
      <w:r>
        <w:rPr>
          <w:kern w:val="0"/>
          <w:sz w:val="24"/>
          <w:szCs w:val="24"/>
        </w:rPr>
        <w:t xml:space="preserve"> </w:t>
      </w:r>
    </w:p>
    <w:p w:rsidR="00783788" w:rsidRDefault="002C6E18">
      <w:pPr>
        <w:widowControl/>
        <w:adjustRightInd w:val="0"/>
        <w:snapToGrid w:val="0"/>
        <w:spacing w:line="360" w:lineRule="auto"/>
        <w:ind w:firstLineChars="200" w:firstLine="480"/>
        <w:rPr>
          <w:kern w:val="0"/>
          <w:sz w:val="24"/>
          <w:szCs w:val="24"/>
        </w:rPr>
      </w:pPr>
      <w:r>
        <w:rPr>
          <w:rFonts w:hAnsi="宋体"/>
          <w:kern w:val="0"/>
          <w:sz w:val="24"/>
          <w:szCs w:val="24"/>
        </w:rPr>
        <w:t>（</w:t>
      </w:r>
      <w:r>
        <w:rPr>
          <w:kern w:val="0"/>
          <w:sz w:val="24"/>
          <w:szCs w:val="24"/>
        </w:rPr>
        <w:t>5</w:t>
      </w:r>
      <w:r>
        <w:rPr>
          <w:rFonts w:hAnsi="宋体"/>
          <w:kern w:val="0"/>
          <w:sz w:val="24"/>
          <w:szCs w:val="24"/>
        </w:rPr>
        <w:t>）建立有效的内部监控系统</w:t>
      </w:r>
      <w:r>
        <w:rPr>
          <w:kern w:val="0"/>
          <w:sz w:val="24"/>
          <w:szCs w:val="24"/>
        </w:rPr>
        <w:t xml:space="preserve"> </w:t>
      </w:r>
    </w:p>
    <w:p w:rsidR="00783788" w:rsidRDefault="002C6E18">
      <w:pPr>
        <w:widowControl/>
        <w:adjustRightInd w:val="0"/>
        <w:snapToGrid w:val="0"/>
        <w:spacing w:line="360" w:lineRule="auto"/>
        <w:ind w:firstLineChars="200" w:firstLine="480"/>
        <w:rPr>
          <w:kern w:val="0"/>
          <w:sz w:val="24"/>
          <w:szCs w:val="24"/>
        </w:rPr>
      </w:pPr>
      <w:r>
        <w:rPr>
          <w:rFonts w:hAnsi="宋体"/>
          <w:kern w:val="0"/>
          <w:sz w:val="24"/>
          <w:szCs w:val="24"/>
        </w:rPr>
        <w:t>建立了足够、有效的内部监控系统，如电脑预警系统、投资监控系统，对可能出现的各种风险进行全面和实时的监控。</w:t>
      </w:r>
      <w:r>
        <w:rPr>
          <w:kern w:val="0"/>
          <w:sz w:val="24"/>
          <w:szCs w:val="24"/>
        </w:rPr>
        <w:t xml:space="preserve"> </w:t>
      </w:r>
    </w:p>
    <w:p w:rsidR="00783788" w:rsidRDefault="002C6E18">
      <w:pPr>
        <w:widowControl/>
        <w:adjustRightInd w:val="0"/>
        <w:snapToGrid w:val="0"/>
        <w:spacing w:line="360" w:lineRule="auto"/>
        <w:ind w:firstLineChars="200" w:firstLine="480"/>
        <w:rPr>
          <w:kern w:val="0"/>
          <w:sz w:val="24"/>
          <w:szCs w:val="24"/>
        </w:rPr>
      </w:pPr>
      <w:r>
        <w:rPr>
          <w:rFonts w:hAnsi="宋体"/>
          <w:kern w:val="0"/>
          <w:sz w:val="24"/>
          <w:szCs w:val="24"/>
        </w:rPr>
        <w:t>（</w:t>
      </w:r>
      <w:r>
        <w:rPr>
          <w:kern w:val="0"/>
          <w:sz w:val="24"/>
          <w:szCs w:val="24"/>
        </w:rPr>
        <w:t>6</w:t>
      </w:r>
      <w:r>
        <w:rPr>
          <w:rFonts w:hAnsi="宋体"/>
          <w:kern w:val="0"/>
          <w:sz w:val="24"/>
          <w:szCs w:val="24"/>
        </w:rPr>
        <w:t>）使用数量化的风险管理手段</w:t>
      </w:r>
      <w:r>
        <w:rPr>
          <w:kern w:val="0"/>
          <w:sz w:val="24"/>
          <w:szCs w:val="24"/>
        </w:rPr>
        <w:t xml:space="preserve"> </w:t>
      </w:r>
    </w:p>
    <w:p w:rsidR="00783788" w:rsidRDefault="002C6E18">
      <w:pPr>
        <w:widowControl/>
        <w:adjustRightInd w:val="0"/>
        <w:snapToGrid w:val="0"/>
        <w:spacing w:line="360" w:lineRule="auto"/>
        <w:ind w:firstLineChars="200" w:firstLine="480"/>
        <w:rPr>
          <w:kern w:val="0"/>
          <w:sz w:val="24"/>
          <w:szCs w:val="24"/>
        </w:rPr>
      </w:pPr>
      <w:r>
        <w:rPr>
          <w:rFonts w:hAnsi="宋体"/>
          <w:kern w:val="0"/>
          <w:sz w:val="24"/>
          <w:szCs w:val="24"/>
        </w:rPr>
        <w:t>采取数量化、技术化的风险控制手段，建立数量化的风险管理模型，用以提示指数趋势、行业及个股的风险，以便公司及时采取有效的措施，对风险进行分散、控制和规避，尽可能地减少损失。</w:t>
      </w:r>
      <w:r>
        <w:rPr>
          <w:kern w:val="0"/>
          <w:sz w:val="24"/>
          <w:szCs w:val="24"/>
        </w:rPr>
        <w:t xml:space="preserve"> </w:t>
      </w:r>
    </w:p>
    <w:p w:rsidR="00783788" w:rsidRDefault="002C6E18">
      <w:pPr>
        <w:widowControl/>
        <w:adjustRightInd w:val="0"/>
        <w:snapToGrid w:val="0"/>
        <w:spacing w:line="360" w:lineRule="auto"/>
        <w:ind w:firstLineChars="200" w:firstLine="480"/>
        <w:rPr>
          <w:kern w:val="0"/>
          <w:sz w:val="24"/>
          <w:szCs w:val="24"/>
        </w:rPr>
      </w:pPr>
      <w:r>
        <w:rPr>
          <w:rFonts w:hAnsi="宋体"/>
          <w:kern w:val="0"/>
          <w:sz w:val="24"/>
          <w:szCs w:val="24"/>
        </w:rPr>
        <w:t>（</w:t>
      </w:r>
      <w:r>
        <w:rPr>
          <w:kern w:val="0"/>
          <w:sz w:val="24"/>
          <w:szCs w:val="24"/>
        </w:rPr>
        <w:t>7</w:t>
      </w:r>
      <w:r>
        <w:rPr>
          <w:rFonts w:hAnsi="宋体"/>
          <w:kern w:val="0"/>
          <w:sz w:val="24"/>
          <w:szCs w:val="24"/>
        </w:rPr>
        <w:t>）提供足够的培训</w:t>
      </w:r>
      <w:r>
        <w:rPr>
          <w:kern w:val="0"/>
          <w:sz w:val="24"/>
          <w:szCs w:val="24"/>
        </w:rPr>
        <w:t xml:space="preserve"> </w:t>
      </w:r>
    </w:p>
    <w:p w:rsidR="00783788" w:rsidRDefault="002C6E18">
      <w:pPr>
        <w:widowControl/>
        <w:adjustRightInd w:val="0"/>
        <w:snapToGrid w:val="0"/>
        <w:spacing w:line="360" w:lineRule="auto"/>
        <w:ind w:firstLineChars="200" w:firstLine="480"/>
        <w:rPr>
          <w:kern w:val="0"/>
          <w:sz w:val="24"/>
          <w:szCs w:val="24"/>
        </w:rPr>
      </w:pPr>
      <w:r>
        <w:rPr>
          <w:rFonts w:hAnsi="宋体"/>
          <w:kern w:val="0"/>
          <w:sz w:val="24"/>
          <w:szCs w:val="24"/>
        </w:rPr>
        <w:t>制定了完整的培训计划，为所有员工提供足够和适当的培训，使员工明确其职责所在，控制风险。</w:t>
      </w:r>
      <w:r>
        <w:rPr>
          <w:kern w:val="0"/>
          <w:sz w:val="24"/>
          <w:szCs w:val="24"/>
        </w:rPr>
        <w:t xml:space="preserve"> </w:t>
      </w:r>
    </w:p>
    <w:p w:rsidR="00783788" w:rsidRDefault="00783788">
      <w:pPr>
        <w:widowControl/>
        <w:adjustRightInd w:val="0"/>
        <w:snapToGrid w:val="0"/>
        <w:spacing w:line="360" w:lineRule="auto"/>
        <w:ind w:firstLineChars="200" w:firstLine="480"/>
        <w:rPr>
          <w:kern w:val="0"/>
          <w:sz w:val="24"/>
          <w:szCs w:val="24"/>
        </w:rPr>
      </w:pPr>
    </w:p>
    <w:p w:rsidR="00783788" w:rsidRDefault="002C6E18">
      <w:pPr>
        <w:widowControl/>
        <w:adjustRightInd w:val="0"/>
        <w:snapToGrid w:val="0"/>
        <w:spacing w:beforeLines="100" w:before="240" w:afterLines="50" w:after="120" w:line="360" w:lineRule="auto"/>
        <w:jc w:val="center"/>
        <w:outlineLvl w:val="0"/>
        <w:rPr>
          <w:rFonts w:ascii="宋体" w:hAnsi="宋体"/>
          <w:b/>
          <w:kern w:val="0"/>
          <w:sz w:val="30"/>
        </w:rPr>
      </w:pPr>
      <w:bookmarkStart w:id="9" w:name="_Toc109537382"/>
      <w:bookmarkStart w:id="10" w:name="_Toc382321315"/>
      <w:r>
        <w:rPr>
          <w:rFonts w:ascii="宋体" w:hAnsi="宋体" w:hint="eastAsia"/>
          <w:b/>
          <w:kern w:val="0"/>
          <w:sz w:val="30"/>
        </w:rPr>
        <w:t>四、基金托管人</w:t>
      </w:r>
      <w:bookmarkEnd w:id="9"/>
      <w:bookmarkEnd w:id="10"/>
    </w:p>
    <w:p w:rsidR="00783788" w:rsidRPr="002C6E18" w:rsidRDefault="002C6E18" w:rsidP="002C6E18">
      <w:pPr>
        <w:widowControl/>
        <w:adjustRightInd w:val="0"/>
        <w:snapToGrid w:val="0"/>
        <w:spacing w:line="360" w:lineRule="auto"/>
        <w:ind w:firstLineChars="200" w:firstLine="482"/>
        <w:outlineLvl w:val="1"/>
        <w:rPr>
          <w:rFonts w:hAnsi="宋体"/>
          <w:b/>
          <w:kern w:val="0"/>
          <w:sz w:val="24"/>
          <w:szCs w:val="24"/>
        </w:rPr>
      </w:pPr>
      <w:bookmarkStart w:id="11" w:name="_Toc116970834"/>
      <w:bookmarkStart w:id="12" w:name="_Toc116971000"/>
      <w:bookmarkStart w:id="13" w:name="_Toc116971120"/>
      <w:bookmarkStart w:id="14" w:name="_Toc237253310"/>
      <w:r w:rsidRPr="002C6E18">
        <w:rPr>
          <w:rFonts w:hAnsi="宋体" w:hint="eastAsia"/>
          <w:b/>
          <w:kern w:val="0"/>
          <w:sz w:val="24"/>
          <w:szCs w:val="24"/>
        </w:rPr>
        <w:t>（一）基金托管人情况</w:t>
      </w:r>
    </w:p>
    <w:p w:rsidR="00783788" w:rsidRPr="002C6E18" w:rsidRDefault="002C6E18" w:rsidP="002C6E18">
      <w:pPr>
        <w:widowControl/>
        <w:adjustRightInd w:val="0"/>
        <w:snapToGrid w:val="0"/>
        <w:spacing w:line="360" w:lineRule="auto"/>
        <w:ind w:firstLineChars="200" w:firstLine="480"/>
        <w:rPr>
          <w:rFonts w:hAnsi="宋体"/>
          <w:kern w:val="0"/>
          <w:sz w:val="24"/>
          <w:szCs w:val="24"/>
        </w:rPr>
      </w:pPr>
      <w:r w:rsidRPr="002C6E18">
        <w:rPr>
          <w:rFonts w:hAnsi="宋体" w:hint="eastAsia"/>
          <w:kern w:val="0"/>
          <w:sz w:val="24"/>
          <w:szCs w:val="24"/>
        </w:rPr>
        <w:t>1</w:t>
      </w:r>
      <w:r w:rsidRPr="002C6E18">
        <w:rPr>
          <w:rFonts w:hAnsi="宋体" w:hint="eastAsia"/>
          <w:kern w:val="0"/>
          <w:sz w:val="24"/>
          <w:szCs w:val="24"/>
        </w:rPr>
        <w:t>、基本情况</w:t>
      </w:r>
    </w:p>
    <w:p w:rsidR="00783788" w:rsidRPr="002C6E18" w:rsidRDefault="002C6E18" w:rsidP="002C6E18">
      <w:pPr>
        <w:widowControl/>
        <w:adjustRightInd w:val="0"/>
        <w:snapToGrid w:val="0"/>
        <w:spacing w:line="360" w:lineRule="auto"/>
        <w:ind w:firstLineChars="200" w:firstLine="480"/>
        <w:rPr>
          <w:rFonts w:hAnsi="宋体"/>
          <w:kern w:val="0"/>
          <w:sz w:val="24"/>
          <w:szCs w:val="24"/>
        </w:rPr>
      </w:pPr>
      <w:r w:rsidRPr="002C6E18">
        <w:rPr>
          <w:rFonts w:hAnsi="宋体" w:hint="eastAsia"/>
          <w:kern w:val="0"/>
          <w:sz w:val="24"/>
          <w:szCs w:val="24"/>
        </w:rPr>
        <w:t>名称：中国农业银行股份有限公司（简称中国农业银行）</w:t>
      </w:r>
    </w:p>
    <w:p w:rsidR="00783788" w:rsidRPr="002C6E18" w:rsidRDefault="002C6E18" w:rsidP="002C6E18">
      <w:pPr>
        <w:widowControl/>
        <w:adjustRightInd w:val="0"/>
        <w:snapToGrid w:val="0"/>
        <w:spacing w:line="360" w:lineRule="auto"/>
        <w:ind w:firstLineChars="200" w:firstLine="480"/>
        <w:rPr>
          <w:rFonts w:hAnsi="宋体"/>
          <w:kern w:val="0"/>
          <w:sz w:val="24"/>
          <w:szCs w:val="24"/>
        </w:rPr>
      </w:pPr>
      <w:r w:rsidRPr="002C6E18">
        <w:rPr>
          <w:rFonts w:hAnsi="宋体" w:hint="eastAsia"/>
          <w:kern w:val="0"/>
          <w:sz w:val="24"/>
          <w:szCs w:val="24"/>
        </w:rPr>
        <w:t>住所：北京市东城区建国门内大街</w:t>
      </w:r>
      <w:r w:rsidRPr="002C6E18">
        <w:rPr>
          <w:rFonts w:hAnsi="宋体" w:hint="eastAsia"/>
          <w:kern w:val="0"/>
          <w:sz w:val="24"/>
          <w:szCs w:val="24"/>
        </w:rPr>
        <w:t>69</w:t>
      </w:r>
      <w:r w:rsidRPr="002C6E18">
        <w:rPr>
          <w:rFonts w:hAnsi="宋体" w:hint="eastAsia"/>
          <w:kern w:val="0"/>
          <w:sz w:val="24"/>
          <w:szCs w:val="24"/>
        </w:rPr>
        <w:t>号</w:t>
      </w:r>
    </w:p>
    <w:p w:rsidR="00783788" w:rsidRPr="002C6E18" w:rsidRDefault="002C6E18" w:rsidP="002C6E18">
      <w:pPr>
        <w:widowControl/>
        <w:adjustRightInd w:val="0"/>
        <w:snapToGrid w:val="0"/>
        <w:spacing w:line="360" w:lineRule="auto"/>
        <w:ind w:firstLineChars="200" w:firstLine="480"/>
        <w:rPr>
          <w:rFonts w:hAnsi="宋体"/>
          <w:kern w:val="0"/>
          <w:sz w:val="24"/>
          <w:szCs w:val="24"/>
        </w:rPr>
      </w:pPr>
      <w:r w:rsidRPr="002C6E18">
        <w:rPr>
          <w:rFonts w:hAnsi="宋体" w:hint="eastAsia"/>
          <w:kern w:val="0"/>
          <w:sz w:val="24"/>
          <w:szCs w:val="24"/>
        </w:rPr>
        <w:t>办公地址：北京市西城区复兴门内大街</w:t>
      </w:r>
      <w:r w:rsidRPr="002C6E18">
        <w:rPr>
          <w:rFonts w:hAnsi="宋体"/>
          <w:kern w:val="0"/>
          <w:sz w:val="24"/>
          <w:szCs w:val="24"/>
        </w:rPr>
        <w:t>28</w:t>
      </w:r>
      <w:r w:rsidRPr="002C6E18">
        <w:rPr>
          <w:rFonts w:hAnsi="宋体" w:hint="eastAsia"/>
          <w:kern w:val="0"/>
          <w:sz w:val="24"/>
          <w:szCs w:val="24"/>
        </w:rPr>
        <w:t>号凯晨世贸中心东座</w:t>
      </w:r>
    </w:p>
    <w:p w:rsidR="00783788" w:rsidRPr="002C6E18" w:rsidRDefault="002C6E18" w:rsidP="002C6E18">
      <w:pPr>
        <w:widowControl/>
        <w:adjustRightInd w:val="0"/>
        <w:snapToGrid w:val="0"/>
        <w:spacing w:line="360" w:lineRule="auto"/>
        <w:ind w:firstLineChars="200" w:firstLine="480"/>
        <w:rPr>
          <w:rFonts w:hAnsi="宋体"/>
          <w:kern w:val="0"/>
          <w:sz w:val="24"/>
          <w:szCs w:val="24"/>
        </w:rPr>
      </w:pPr>
      <w:r w:rsidRPr="002C6E18">
        <w:rPr>
          <w:rFonts w:hAnsi="宋体"/>
          <w:kern w:val="0"/>
          <w:sz w:val="24"/>
          <w:szCs w:val="24"/>
        </w:rPr>
        <w:t>法定代表人：</w:t>
      </w:r>
      <w:r w:rsidRPr="002C6E18">
        <w:rPr>
          <w:rFonts w:hAnsi="宋体" w:hint="eastAsia"/>
          <w:kern w:val="0"/>
          <w:sz w:val="24"/>
          <w:szCs w:val="24"/>
        </w:rPr>
        <w:t>刘士余</w:t>
      </w:r>
    </w:p>
    <w:p w:rsidR="00783788" w:rsidRPr="002C6E18" w:rsidRDefault="002C6E18" w:rsidP="002C6E18">
      <w:pPr>
        <w:widowControl/>
        <w:adjustRightInd w:val="0"/>
        <w:snapToGrid w:val="0"/>
        <w:spacing w:line="360" w:lineRule="auto"/>
        <w:ind w:firstLineChars="200" w:firstLine="480"/>
        <w:rPr>
          <w:rFonts w:hAnsi="宋体"/>
          <w:kern w:val="0"/>
          <w:sz w:val="24"/>
          <w:szCs w:val="24"/>
        </w:rPr>
      </w:pPr>
      <w:r w:rsidRPr="002C6E18">
        <w:rPr>
          <w:rFonts w:hAnsi="宋体" w:hint="eastAsia"/>
          <w:kern w:val="0"/>
          <w:sz w:val="24"/>
          <w:szCs w:val="24"/>
        </w:rPr>
        <w:t>成立日期：</w:t>
      </w:r>
      <w:r w:rsidRPr="002C6E18">
        <w:rPr>
          <w:rFonts w:hAnsi="宋体" w:hint="eastAsia"/>
          <w:kern w:val="0"/>
          <w:sz w:val="24"/>
          <w:szCs w:val="24"/>
        </w:rPr>
        <w:t>2009</w:t>
      </w:r>
      <w:r w:rsidRPr="002C6E18">
        <w:rPr>
          <w:rFonts w:hAnsi="宋体" w:hint="eastAsia"/>
          <w:kern w:val="0"/>
          <w:sz w:val="24"/>
          <w:szCs w:val="24"/>
        </w:rPr>
        <w:t>年</w:t>
      </w:r>
      <w:r w:rsidRPr="002C6E18">
        <w:rPr>
          <w:rFonts w:hAnsi="宋体" w:hint="eastAsia"/>
          <w:kern w:val="0"/>
          <w:sz w:val="24"/>
          <w:szCs w:val="24"/>
        </w:rPr>
        <w:t>1</w:t>
      </w:r>
      <w:r w:rsidRPr="002C6E18">
        <w:rPr>
          <w:rFonts w:hAnsi="宋体" w:hint="eastAsia"/>
          <w:kern w:val="0"/>
          <w:sz w:val="24"/>
          <w:szCs w:val="24"/>
        </w:rPr>
        <w:t>月</w:t>
      </w:r>
      <w:r w:rsidRPr="002C6E18">
        <w:rPr>
          <w:rFonts w:hAnsi="宋体" w:hint="eastAsia"/>
          <w:kern w:val="0"/>
          <w:sz w:val="24"/>
          <w:szCs w:val="24"/>
        </w:rPr>
        <w:t>15</w:t>
      </w:r>
      <w:r w:rsidRPr="002C6E18">
        <w:rPr>
          <w:rFonts w:hAnsi="宋体" w:hint="eastAsia"/>
          <w:kern w:val="0"/>
          <w:sz w:val="24"/>
          <w:szCs w:val="24"/>
        </w:rPr>
        <w:t>日</w:t>
      </w:r>
    </w:p>
    <w:p w:rsidR="00783788" w:rsidRPr="002C6E18" w:rsidRDefault="002C6E18" w:rsidP="002C6E18">
      <w:pPr>
        <w:widowControl/>
        <w:adjustRightInd w:val="0"/>
        <w:snapToGrid w:val="0"/>
        <w:spacing w:line="360" w:lineRule="auto"/>
        <w:ind w:firstLineChars="200" w:firstLine="480"/>
        <w:rPr>
          <w:rFonts w:hAnsi="宋体"/>
          <w:kern w:val="0"/>
          <w:sz w:val="24"/>
          <w:szCs w:val="24"/>
        </w:rPr>
      </w:pPr>
      <w:r w:rsidRPr="002C6E18">
        <w:rPr>
          <w:rFonts w:hAnsi="宋体" w:hint="eastAsia"/>
          <w:kern w:val="0"/>
          <w:sz w:val="24"/>
          <w:szCs w:val="24"/>
        </w:rPr>
        <w:t>批准设立机关和批准设立文号：中国银监会银监复</w:t>
      </w:r>
      <w:r w:rsidRPr="002C6E18">
        <w:rPr>
          <w:rFonts w:hAnsi="宋体" w:hint="eastAsia"/>
          <w:kern w:val="0"/>
          <w:sz w:val="24"/>
          <w:szCs w:val="24"/>
        </w:rPr>
        <w:t>[2009]13</w:t>
      </w:r>
      <w:r w:rsidRPr="002C6E18">
        <w:rPr>
          <w:rFonts w:hAnsi="宋体" w:hint="eastAsia"/>
          <w:kern w:val="0"/>
          <w:sz w:val="24"/>
          <w:szCs w:val="24"/>
        </w:rPr>
        <w:t>号</w:t>
      </w:r>
    </w:p>
    <w:p w:rsidR="00783788" w:rsidRPr="002C6E18" w:rsidRDefault="002C6E18" w:rsidP="002C6E18">
      <w:pPr>
        <w:widowControl/>
        <w:adjustRightInd w:val="0"/>
        <w:snapToGrid w:val="0"/>
        <w:spacing w:line="360" w:lineRule="auto"/>
        <w:ind w:firstLineChars="200" w:firstLine="480"/>
        <w:rPr>
          <w:rFonts w:hAnsi="宋体"/>
          <w:kern w:val="0"/>
          <w:sz w:val="24"/>
          <w:szCs w:val="24"/>
        </w:rPr>
      </w:pPr>
      <w:r w:rsidRPr="002C6E18">
        <w:rPr>
          <w:rFonts w:hAnsi="宋体" w:hint="eastAsia"/>
          <w:kern w:val="0"/>
          <w:sz w:val="24"/>
          <w:szCs w:val="24"/>
        </w:rPr>
        <w:t>基金托管业务批准文号：中国证监会证监基字</w:t>
      </w:r>
      <w:r w:rsidRPr="002C6E18">
        <w:rPr>
          <w:rFonts w:hAnsi="宋体" w:hint="eastAsia"/>
          <w:kern w:val="0"/>
          <w:sz w:val="24"/>
          <w:szCs w:val="24"/>
        </w:rPr>
        <w:t>[1998]23</w:t>
      </w:r>
      <w:r w:rsidRPr="002C6E18">
        <w:rPr>
          <w:rFonts w:hAnsi="宋体" w:hint="eastAsia"/>
          <w:kern w:val="0"/>
          <w:sz w:val="24"/>
          <w:szCs w:val="24"/>
        </w:rPr>
        <w:t>号</w:t>
      </w:r>
    </w:p>
    <w:p w:rsidR="00783788" w:rsidRPr="002C6E18" w:rsidRDefault="002C6E18" w:rsidP="002C6E18">
      <w:pPr>
        <w:widowControl/>
        <w:adjustRightInd w:val="0"/>
        <w:snapToGrid w:val="0"/>
        <w:spacing w:line="360" w:lineRule="auto"/>
        <w:ind w:firstLineChars="200" w:firstLine="480"/>
        <w:rPr>
          <w:rFonts w:hAnsi="宋体"/>
          <w:kern w:val="0"/>
          <w:sz w:val="24"/>
          <w:szCs w:val="24"/>
        </w:rPr>
      </w:pPr>
      <w:r w:rsidRPr="002C6E18">
        <w:rPr>
          <w:rFonts w:hAnsi="宋体" w:hint="eastAsia"/>
          <w:kern w:val="0"/>
          <w:sz w:val="24"/>
          <w:szCs w:val="24"/>
        </w:rPr>
        <w:t>注册资本：</w:t>
      </w:r>
      <w:r w:rsidRPr="002C6E18">
        <w:rPr>
          <w:rFonts w:hAnsi="宋体" w:hint="eastAsia"/>
          <w:kern w:val="0"/>
          <w:sz w:val="24"/>
          <w:szCs w:val="24"/>
        </w:rPr>
        <w:t>32,479,411.7</w:t>
      </w:r>
      <w:r w:rsidRPr="002C6E18">
        <w:rPr>
          <w:rFonts w:hAnsi="宋体" w:hint="eastAsia"/>
          <w:kern w:val="0"/>
          <w:sz w:val="24"/>
          <w:szCs w:val="24"/>
        </w:rPr>
        <w:t>万元人民币</w:t>
      </w:r>
    </w:p>
    <w:p w:rsidR="00783788" w:rsidRPr="002C6E18" w:rsidRDefault="002C6E18" w:rsidP="002C6E18">
      <w:pPr>
        <w:widowControl/>
        <w:adjustRightInd w:val="0"/>
        <w:snapToGrid w:val="0"/>
        <w:spacing w:line="360" w:lineRule="auto"/>
        <w:ind w:firstLineChars="200" w:firstLine="480"/>
        <w:rPr>
          <w:rFonts w:hAnsi="宋体"/>
          <w:kern w:val="0"/>
          <w:sz w:val="24"/>
          <w:szCs w:val="24"/>
        </w:rPr>
      </w:pPr>
      <w:r w:rsidRPr="002C6E18">
        <w:rPr>
          <w:rFonts w:hAnsi="宋体" w:hint="eastAsia"/>
          <w:kern w:val="0"/>
          <w:sz w:val="24"/>
          <w:szCs w:val="24"/>
        </w:rPr>
        <w:t>存续期间：持续经营</w:t>
      </w:r>
    </w:p>
    <w:p w:rsidR="00783788" w:rsidRPr="002C6E18" w:rsidRDefault="002C6E18" w:rsidP="002C6E18">
      <w:pPr>
        <w:widowControl/>
        <w:adjustRightInd w:val="0"/>
        <w:snapToGrid w:val="0"/>
        <w:spacing w:line="360" w:lineRule="auto"/>
        <w:ind w:firstLineChars="200" w:firstLine="480"/>
        <w:rPr>
          <w:rFonts w:hAnsi="宋体"/>
          <w:kern w:val="0"/>
          <w:sz w:val="24"/>
          <w:szCs w:val="24"/>
        </w:rPr>
      </w:pPr>
      <w:r w:rsidRPr="002C6E18">
        <w:rPr>
          <w:rFonts w:hAnsi="宋体" w:hint="eastAsia"/>
          <w:kern w:val="0"/>
          <w:sz w:val="24"/>
          <w:szCs w:val="24"/>
        </w:rPr>
        <w:t>联系电话：</w:t>
      </w:r>
      <w:r w:rsidRPr="002C6E18">
        <w:rPr>
          <w:rFonts w:hAnsi="宋体" w:hint="eastAsia"/>
          <w:kern w:val="0"/>
          <w:sz w:val="24"/>
          <w:szCs w:val="24"/>
        </w:rPr>
        <w:t>010-68121510</w:t>
      </w:r>
    </w:p>
    <w:p w:rsidR="00783788" w:rsidRPr="002C6E18" w:rsidRDefault="002C6E18" w:rsidP="002C6E18">
      <w:pPr>
        <w:widowControl/>
        <w:adjustRightInd w:val="0"/>
        <w:snapToGrid w:val="0"/>
        <w:spacing w:line="360" w:lineRule="auto"/>
        <w:ind w:firstLineChars="200" w:firstLine="480"/>
        <w:rPr>
          <w:rFonts w:hAnsi="宋体"/>
          <w:kern w:val="0"/>
          <w:sz w:val="24"/>
          <w:szCs w:val="24"/>
        </w:rPr>
      </w:pPr>
      <w:r w:rsidRPr="002C6E18">
        <w:rPr>
          <w:rFonts w:hAnsi="宋体" w:hint="eastAsia"/>
          <w:kern w:val="0"/>
          <w:sz w:val="24"/>
          <w:szCs w:val="24"/>
        </w:rPr>
        <w:t>传真：</w:t>
      </w:r>
      <w:r w:rsidRPr="002C6E18">
        <w:rPr>
          <w:rFonts w:hAnsi="宋体" w:hint="eastAsia"/>
          <w:kern w:val="0"/>
          <w:sz w:val="24"/>
          <w:szCs w:val="24"/>
        </w:rPr>
        <w:t>010-68121816</w:t>
      </w:r>
    </w:p>
    <w:p w:rsidR="00783788" w:rsidRPr="002C6E18" w:rsidRDefault="002C6E18" w:rsidP="002C6E18">
      <w:pPr>
        <w:widowControl/>
        <w:adjustRightInd w:val="0"/>
        <w:snapToGrid w:val="0"/>
        <w:spacing w:line="360" w:lineRule="auto"/>
        <w:ind w:firstLineChars="200" w:firstLine="480"/>
        <w:rPr>
          <w:rFonts w:hAnsi="宋体"/>
          <w:kern w:val="0"/>
          <w:sz w:val="24"/>
          <w:szCs w:val="24"/>
        </w:rPr>
      </w:pPr>
      <w:r w:rsidRPr="002C6E18">
        <w:rPr>
          <w:rFonts w:hAnsi="宋体" w:hint="eastAsia"/>
          <w:kern w:val="0"/>
          <w:sz w:val="24"/>
          <w:szCs w:val="24"/>
        </w:rPr>
        <w:t>联系人：李芳菲</w:t>
      </w:r>
    </w:p>
    <w:p w:rsidR="00783788" w:rsidRPr="002C6E18" w:rsidRDefault="002C6E18" w:rsidP="002C6E18">
      <w:pPr>
        <w:widowControl/>
        <w:adjustRightInd w:val="0"/>
        <w:snapToGrid w:val="0"/>
        <w:spacing w:line="360" w:lineRule="auto"/>
        <w:ind w:firstLineChars="200" w:firstLine="480"/>
        <w:rPr>
          <w:rFonts w:hAnsi="宋体"/>
          <w:kern w:val="0"/>
          <w:sz w:val="24"/>
          <w:szCs w:val="24"/>
        </w:rPr>
      </w:pPr>
      <w:r w:rsidRPr="002C6E18">
        <w:rPr>
          <w:rFonts w:hAnsi="宋体" w:hint="eastAsia"/>
          <w:kern w:val="0"/>
          <w:sz w:val="24"/>
          <w:szCs w:val="24"/>
        </w:rPr>
        <w:t>中国农业银行股份有限公司是中国金融体系的重要组成部分</w:t>
      </w:r>
      <w:r w:rsidRPr="002C6E18">
        <w:rPr>
          <w:rFonts w:hAnsi="宋体" w:hint="eastAsia"/>
          <w:kern w:val="0"/>
          <w:sz w:val="24"/>
          <w:szCs w:val="24"/>
        </w:rPr>
        <w:t>,</w:t>
      </w:r>
      <w:r w:rsidRPr="002C6E18">
        <w:rPr>
          <w:rFonts w:hAnsi="宋体" w:hint="eastAsia"/>
          <w:kern w:val="0"/>
          <w:sz w:val="24"/>
          <w:szCs w:val="24"/>
        </w:rPr>
        <w:t>总行设在北京。</w:t>
      </w:r>
      <w:r w:rsidRPr="002C6E18">
        <w:rPr>
          <w:rFonts w:hAnsi="宋体"/>
          <w:kern w:val="0"/>
          <w:sz w:val="24"/>
          <w:szCs w:val="24"/>
        </w:rPr>
        <w:t>经国务院批准，中国农业银行整体改制为中国农业银行股份有限公司</w:t>
      </w:r>
      <w:r w:rsidRPr="002C6E18">
        <w:rPr>
          <w:rFonts w:hAnsi="宋体" w:hint="eastAsia"/>
          <w:kern w:val="0"/>
          <w:sz w:val="24"/>
          <w:szCs w:val="24"/>
        </w:rPr>
        <w:t>并</w:t>
      </w:r>
      <w:r w:rsidRPr="002C6E18">
        <w:rPr>
          <w:rFonts w:hAnsi="宋体"/>
          <w:kern w:val="0"/>
          <w:sz w:val="24"/>
          <w:szCs w:val="24"/>
        </w:rPr>
        <w:t>于</w:t>
      </w:r>
      <w:r w:rsidRPr="002C6E18">
        <w:rPr>
          <w:rFonts w:hAnsi="宋体"/>
          <w:kern w:val="0"/>
          <w:sz w:val="24"/>
          <w:szCs w:val="24"/>
        </w:rPr>
        <w:t>2009</w:t>
      </w:r>
      <w:r w:rsidRPr="002C6E18">
        <w:rPr>
          <w:rFonts w:hAnsi="宋体"/>
          <w:kern w:val="0"/>
          <w:sz w:val="24"/>
          <w:szCs w:val="24"/>
        </w:rPr>
        <w:t>年</w:t>
      </w:r>
      <w:r w:rsidRPr="002C6E18">
        <w:rPr>
          <w:rFonts w:hAnsi="宋体"/>
          <w:kern w:val="0"/>
          <w:sz w:val="24"/>
          <w:szCs w:val="24"/>
        </w:rPr>
        <w:t>1</w:t>
      </w:r>
      <w:r w:rsidRPr="002C6E18">
        <w:rPr>
          <w:rFonts w:hAnsi="宋体"/>
          <w:kern w:val="0"/>
          <w:sz w:val="24"/>
          <w:szCs w:val="24"/>
        </w:rPr>
        <w:t>月</w:t>
      </w:r>
      <w:r w:rsidRPr="002C6E18">
        <w:rPr>
          <w:rFonts w:hAnsi="宋体"/>
          <w:kern w:val="0"/>
          <w:sz w:val="24"/>
          <w:szCs w:val="24"/>
        </w:rPr>
        <w:t>15</w:t>
      </w:r>
      <w:r w:rsidRPr="002C6E18">
        <w:rPr>
          <w:rFonts w:hAnsi="宋体"/>
          <w:kern w:val="0"/>
          <w:sz w:val="24"/>
          <w:szCs w:val="24"/>
        </w:rPr>
        <w:t>日依法成立。</w:t>
      </w:r>
      <w:r w:rsidRPr="002C6E18">
        <w:rPr>
          <w:rFonts w:hAnsi="宋体" w:hint="eastAsia"/>
          <w:kern w:val="0"/>
          <w:sz w:val="24"/>
          <w:szCs w:val="24"/>
        </w:rPr>
        <w:t>中国农业银行股份有限公司承继原中国农业银行全部资产、负债、业务、机构网点和员工。中国农业银行网点遍布中国城乡，成为国内网点最多、业务辐射范围最广，服务领域最广，服务对象最多，业务功能齐全的大型国有商业银行之一。在海外，中国农业银行同样通过自己的努力赢得了良好的信誉，每年位居《财富》世界</w:t>
      </w:r>
      <w:r w:rsidRPr="002C6E18">
        <w:rPr>
          <w:rFonts w:hAnsi="宋体" w:hint="eastAsia"/>
          <w:kern w:val="0"/>
          <w:sz w:val="24"/>
          <w:szCs w:val="24"/>
        </w:rPr>
        <w:t>500</w:t>
      </w:r>
      <w:r w:rsidRPr="002C6E18">
        <w:rPr>
          <w:rFonts w:hAnsi="宋体" w:hint="eastAsia"/>
          <w:kern w:val="0"/>
          <w:sz w:val="24"/>
          <w:szCs w:val="24"/>
        </w:rPr>
        <w:t>强企业之列。作为一家城乡并举、联通国际、功能齐备的大型国有商业银行，中国农业银行一贯秉承以客户为中心的经营理念，坚持审慎稳健经营、可持续发展，立足县域和城市两大市场，实施差异化竞争策略，着力打造“伴你成长”服务品牌，依托覆盖全国的分支机构、庞大的电子化网络和多元化的金融产品，致力为广大客户提供优质的金融服务，与广大客户共创价值、共同成长。</w:t>
      </w:r>
    </w:p>
    <w:p w:rsidR="00783788" w:rsidRPr="002C6E18" w:rsidRDefault="002C6E18" w:rsidP="002C6E18">
      <w:pPr>
        <w:widowControl/>
        <w:adjustRightInd w:val="0"/>
        <w:snapToGrid w:val="0"/>
        <w:spacing w:line="360" w:lineRule="auto"/>
        <w:ind w:firstLineChars="200" w:firstLine="480"/>
        <w:rPr>
          <w:rFonts w:hAnsi="宋体"/>
          <w:kern w:val="0"/>
          <w:sz w:val="24"/>
          <w:szCs w:val="24"/>
        </w:rPr>
      </w:pPr>
      <w:r w:rsidRPr="002C6E18">
        <w:rPr>
          <w:rFonts w:hAnsi="宋体" w:hint="eastAsia"/>
          <w:kern w:val="0"/>
          <w:sz w:val="24"/>
          <w:szCs w:val="24"/>
        </w:rPr>
        <w:t>中国农业银行是中国第一批开展托管业务的国内商业银行，经验丰富，服务优质，业绩突出，</w:t>
      </w:r>
      <w:r w:rsidRPr="002C6E18">
        <w:rPr>
          <w:rFonts w:hAnsi="宋体" w:hint="eastAsia"/>
          <w:kern w:val="0"/>
          <w:sz w:val="24"/>
          <w:szCs w:val="24"/>
        </w:rPr>
        <w:t>2004</w:t>
      </w:r>
      <w:r w:rsidRPr="002C6E18">
        <w:rPr>
          <w:rFonts w:hAnsi="宋体" w:hint="eastAsia"/>
          <w:kern w:val="0"/>
          <w:sz w:val="24"/>
          <w:szCs w:val="24"/>
        </w:rPr>
        <w:t>年被英国《全球托管人》评为中国“最佳托管银行”。</w:t>
      </w:r>
      <w:r w:rsidRPr="002C6E18">
        <w:rPr>
          <w:rFonts w:hAnsi="宋体" w:hint="eastAsia"/>
          <w:kern w:val="0"/>
          <w:sz w:val="24"/>
          <w:szCs w:val="24"/>
        </w:rPr>
        <w:t>2007</w:t>
      </w:r>
      <w:r w:rsidRPr="002C6E18">
        <w:rPr>
          <w:rFonts w:hAnsi="宋体" w:hint="eastAsia"/>
          <w:kern w:val="0"/>
          <w:sz w:val="24"/>
          <w:szCs w:val="24"/>
        </w:rPr>
        <w:t>年中国农业银行通过了美国</w:t>
      </w:r>
      <w:r w:rsidRPr="002C6E18">
        <w:rPr>
          <w:rFonts w:hAnsi="宋体" w:hint="eastAsia"/>
          <w:kern w:val="0"/>
          <w:sz w:val="24"/>
          <w:szCs w:val="24"/>
        </w:rPr>
        <w:t>SAS70</w:t>
      </w:r>
      <w:r w:rsidRPr="002C6E18">
        <w:rPr>
          <w:rFonts w:hAnsi="宋体" w:hint="eastAsia"/>
          <w:kern w:val="0"/>
          <w:sz w:val="24"/>
          <w:szCs w:val="24"/>
        </w:rPr>
        <w:t>内部控制审计，并获得无保留意见的</w:t>
      </w:r>
      <w:r w:rsidRPr="002C6E18">
        <w:rPr>
          <w:rFonts w:hAnsi="宋体" w:hint="eastAsia"/>
          <w:kern w:val="0"/>
          <w:sz w:val="24"/>
          <w:szCs w:val="24"/>
        </w:rPr>
        <w:t>SAS70</w:t>
      </w:r>
      <w:r w:rsidRPr="002C6E18">
        <w:rPr>
          <w:rFonts w:hAnsi="宋体" w:hint="eastAsia"/>
          <w:kern w:val="0"/>
          <w:sz w:val="24"/>
          <w:szCs w:val="24"/>
        </w:rPr>
        <w:t>审计报告，表明了独立公正第三方对中国农业银行托管服务运作流程的风险管理、内部控制的健全有效性的全面认可。中国农业银行着力加强能力建设，品牌声誉进一步提升，</w:t>
      </w:r>
      <w:r w:rsidRPr="002C6E18">
        <w:rPr>
          <w:rFonts w:hAnsi="宋体"/>
          <w:kern w:val="0"/>
          <w:sz w:val="24"/>
          <w:szCs w:val="24"/>
        </w:rPr>
        <w:t>在</w:t>
      </w:r>
      <w:r w:rsidRPr="002C6E18">
        <w:rPr>
          <w:rFonts w:hAnsi="宋体"/>
          <w:kern w:val="0"/>
          <w:sz w:val="24"/>
          <w:szCs w:val="24"/>
        </w:rPr>
        <w:t>2010</w:t>
      </w:r>
      <w:r w:rsidRPr="002C6E18">
        <w:rPr>
          <w:rFonts w:hAnsi="宋体"/>
          <w:kern w:val="0"/>
          <w:sz w:val="24"/>
          <w:szCs w:val="24"/>
        </w:rPr>
        <w:t>年首届“‘金牌理财’</w:t>
      </w:r>
      <w:r w:rsidRPr="002C6E18">
        <w:rPr>
          <w:rFonts w:hAnsi="宋体"/>
          <w:kern w:val="0"/>
          <w:sz w:val="24"/>
          <w:szCs w:val="24"/>
        </w:rPr>
        <w:t>TOP10</w:t>
      </w:r>
      <w:r w:rsidRPr="002C6E18">
        <w:rPr>
          <w:rFonts w:hAnsi="宋体"/>
          <w:kern w:val="0"/>
          <w:sz w:val="24"/>
          <w:szCs w:val="24"/>
        </w:rPr>
        <w:t>颁奖盛典”中成绩突出，获“最佳托管银行”奖。</w:t>
      </w:r>
      <w:r w:rsidRPr="002C6E18">
        <w:rPr>
          <w:rFonts w:hAnsi="宋体" w:hint="eastAsia"/>
          <w:kern w:val="0"/>
          <w:sz w:val="24"/>
          <w:szCs w:val="24"/>
        </w:rPr>
        <w:t>2010</w:t>
      </w:r>
      <w:r w:rsidRPr="002C6E18">
        <w:rPr>
          <w:rFonts w:hAnsi="宋体" w:hint="eastAsia"/>
          <w:kern w:val="0"/>
          <w:sz w:val="24"/>
          <w:szCs w:val="24"/>
        </w:rPr>
        <w:t>年再次荣获《首席财务官》杂志颁发的“最佳资产托管奖”。</w:t>
      </w:r>
    </w:p>
    <w:p w:rsidR="00783788" w:rsidRPr="002C6E18" w:rsidRDefault="002C6E18" w:rsidP="002C6E18">
      <w:pPr>
        <w:widowControl/>
        <w:adjustRightInd w:val="0"/>
        <w:snapToGrid w:val="0"/>
        <w:spacing w:line="360" w:lineRule="auto"/>
        <w:ind w:firstLineChars="200" w:firstLine="480"/>
        <w:rPr>
          <w:rFonts w:hAnsi="宋体"/>
          <w:kern w:val="0"/>
          <w:sz w:val="24"/>
          <w:szCs w:val="24"/>
        </w:rPr>
      </w:pPr>
      <w:r w:rsidRPr="002C6E18">
        <w:rPr>
          <w:rFonts w:hAnsi="宋体" w:hint="eastAsia"/>
          <w:kern w:val="0"/>
          <w:sz w:val="24"/>
          <w:szCs w:val="24"/>
        </w:rPr>
        <w:t>中国农业银行证券投资基金托管部于</w:t>
      </w:r>
      <w:r w:rsidRPr="002C6E18">
        <w:rPr>
          <w:rFonts w:hAnsi="宋体" w:hint="eastAsia"/>
          <w:kern w:val="0"/>
          <w:sz w:val="24"/>
          <w:szCs w:val="24"/>
        </w:rPr>
        <w:t>1998</w:t>
      </w:r>
      <w:r w:rsidRPr="002C6E18">
        <w:rPr>
          <w:rFonts w:hAnsi="宋体" w:hint="eastAsia"/>
          <w:kern w:val="0"/>
          <w:sz w:val="24"/>
          <w:szCs w:val="24"/>
        </w:rPr>
        <w:t>年</w:t>
      </w:r>
      <w:r w:rsidRPr="002C6E18">
        <w:rPr>
          <w:rFonts w:hAnsi="宋体" w:hint="eastAsia"/>
          <w:kern w:val="0"/>
          <w:sz w:val="24"/>
          <w:szCs w:val="24"/>
        </w:rPr>
        <w:t>5</w:t>
      </w:r>
      <w:r w:rsidRPr="002C6E18">
        <w:rPr>
          <w:rFonts w:hAnsi="宋体" w:hint="eastAsia"/>
          <w:kern w:val="0"/>
          <w:sz w:val="24"/>
          <w:szCs w:val="24"/>
        </w:rPr>
        <w:t>月经中国证监会和中国人民银行批准成立，</w:t>
      </w:r>
      <w:r w:rsidRPr="002C6E18">
        <w:rPr>
          <w:rFonts w:hAnsi="宋体" w:hint="eastAsia"/>
          <w:kern w:val="0"/>
          <w:sz w:val="24"/>
          <w:szCs w:val="24"/>
        </w:rPr>
        <w:t>2004</w:t>
      </w:r>
      <w:r w:rsidRPr="002C6E18">
        <w:rPr>
          <w:rFonts w:hAnsi="宋体" w:hint="eastAsia"/>
          <w:kern w:val="0"/>
          <w:sz w:val="24"/>
          <w:szCs w:val="24"/>
        </w:rPr>
        <w:t>年</w:t>
      </w:r>
      <w:r w:rsidRPr="002C6E18">
        <w:rPr>
          <w:rFonts w:hAnsi="宋体" w:hint="eastAsia"/>
          <w:kern w:val="0"/>
          <w:sz w:val="24"/>
          <w:szCs w:val="24"/>
        </w:rPr>
        <w:t>9</w:t>
      </w:r>
      <w:r w:rsidRPr="002C6E18">
        <w:rPr>
          <w:rFonts w:hAnsi="宋体" w:hint="eastAsia"/>
          <w:kern w:val="0"/>
          <w:sz w:val="24"/>
          <w:szCs w:val="24"/>
        </w:rPr>
        <w:t>月更名为托管业务部，</w:t>
      </w:r>
      <w:r w:rsidRPr="002C6E18">
        <w:rPr>
          <w:rFonts w:hAnsi="宋体"/>
          <w:kern w:val="0"/>
          <w:sz w:val="24"/>
          <w:szCs w:val="24"/>
        </w:rPr>
        <w:t>内设</w:t>
      </w:r>
      <w:r w:rsidRPr="002C6E18">
        <w:rPr>
          <w:rFonts w:hAnsi="宋体" w:hint="eastAsia"/>
          <w:kern w:val="0"/>
          <w:sz w:val="24"/>
          <w:szCs w:val="24"/>
        </w:rPr>
        <w:t>养老金管理中心、技术保障处</w:t>
      </w:r>
      <w:r w:rsidRPr="002C6E18">
        <w:rPr>
          <w:rFonts w:hAnsi="宋体"/>
          <w:kern w:val="0"/>
          <w:sz w:val="24"/>
          <w:szCs w:val="24"/>
        </w:rPr>
        <w:t>、</w:t>
      </w:r>
      <w:r w:rsidRPr="002C6E18">
        <w:rPr>
          <w:rFonts w:hAnsi="宋体" w:hint="eastAsia"/>
          <w:kern w:val="0"/>
          <w:sz w:val="24"/>
          <w:szCs w:val="24"/>
        </w:rPr>
        <w:t>营运中心</w:t>
      </w:r>
      <w:r w:rsidRPr="002C6E18">
        <w:rPr>
          <w:rFonts w:hAnsi="宋体"/>
          <w:kern w:val="0"/>
          <w:sz w:val="24"/>
          <w:szCs w:val="24"/>
        </w:rPr>
        <w:t>、</w:t>
      </w:r>
      <w:r w:rsidRPr="002C6E18">
        <w:rPr>
          <w:rFonts w:hAnsi="宋体" w:hint="eastAsia"/>
          <w:kern w:val="0"/>
          <w:sz w:val="24"/>
          <w:szCs w:val="24"/>
        </w:rPr>
        <w:t>委托资产托管处</w:t>
      </w:r>
      <w:r w:rsidRPr="002C6E18">
        <w:rPr>
          <w:rFonts w:hAnsi="宋体"/>
          <w:kern w:val="0"/>
          <w:sz w:val="24"/>
          <w:szCs w:val="24"/>
        </w:rPr>
        <w:t>、</w:t>
      </w:r>
      <w:r w:rsidRPr="002C6E18">
        <w:rPr>
          <w:rFonts w:hAnsi="宋体" w:hint="eastAsia"/>
          <w:kern w:val="0"/>
          <w:sz w:val="24"/>
          <w:szCs w:val="24"/>
        </w:rPr>
        <w:t>保险资产托管处、证券投资基金托管处、</w:t>
      </w:r>
      <w:r w:rsidRPr="002C6E18">
        <w:rPr>
          <w:rFonts w:hAnsi="宋体"/>
          <w:kern w:val="0"/>
          <w:sz w:val="24"/>
          <w:szCs w:val="24"/>
        </w:rPr>
        <w:t>境外资产托管处、综合管理处、</w:t>
      </w:r>
      <w:r w:rsidRPr="002C6E18">
        <w:rPr>
          <w:rFonts w:hAnsi="宋体" w:hint="eastAsia"/>
          <w:kern w:val="0"/>
          <w:sz w:val="24"/>
          <w:szCs w:val="24"/>
        </w:rPr>
        <w:t>风险管理处，</w:t>
      </w:r>
      <w:r w:rsidRPr="002C6E18">
        <w:rPr>
          <w:rFonts w:hAnsi="宋体"/>
          <w:kern w:val="0"/>
          <w:sz w:val="24"/>
          <w:szCs w:val="24"/>
        </w:rPr>
        <w:t>拥有先进的安全防范设施和</w:t>
      </w:r>
      <w:r w:rsidRPr="002C6E18">
        <w:rPr>
          <w:rFonts w:hAnsi="宋体" w:hint="eastAsia"/>
          <w:kern w:val="0"/>
          <w:sz w:val="24"/>
          <w:szCs w:val="24"/>
        </w:rPr>
        <w:t>基金托管业务</w:t>
      </w:r>
      <w:r w:rsidRPr="002C6E18">
        <w:rPr>
          <w:rFonts w:hAnsi="宋体"/>
          <w:kern w:val="0"/>
          <w:sz w:val="24"/>
          <w:szCs w:val="24"/>
        </w:rPr>
        <w:t>系统。</w:t>
      </w:r>
    </w:p>
    <w:p w:rsidR="00783788" w:rsidRPr="002C6E18" w:rsidRDefault="002C6E18" w:rsidP="002C6E18">
      <w:pPr>
        <w:widowControl/>
        <w:adjustRightInd w:val="0"/>
        <w:snapToGrid w:val="0"/>
        <w:spacing w:line="360" w:lineRule="auto"/>
        <w:ind w:firstLineChars="200" w:firstLine="480"/>
        <w:rPr>
          <w:rFonts w:hAnsi="宋体"/>
          <w:kern w:val="0"/>
          <w:sz w:val="24"/>
          <w:szCs w:val="24"/>
        </w:rPr>
      </w:pPr>
      <w:r w:rsidRPr="002C6E18">
        <w:rPr>
          <w:rFonts w:hAnsi="宋体" w:hint="eastAsia"/>
          <w:kern w:val="0"/>
          <w:sz w:val="24"/>
          <w:szCs w:val="24"/>
        </w:rPr>
        <w:t>2</w:t>
      </w:r>
      <w:r w:rsidRPr="002C6E18">
        <w:rPr>
          <w:rFonts w:hAnsi="宋体" w:hint="eastAsia"/>
          <w:kern w:val="0"/>
          <w:sz w:val="24"/>
          <w:szCs w:val="24"/>
        </w:rPr>
        <w:t>、主要人员情况</w:t>
      </w:r>
    </w:p>
    <w:p w:rsidR="00783788" w:rsidRPr="002C6E18" w:rsidRDefault="002C6E18" w:rsidP="002C6E18">
      <w:pPr>
        <w:widowControl/>
        <w:adjustRightInd w:val="0"/>
        <w:snapToGrid w:val="0"/>
        <w:spacing w:line="360" w:lineRule="auto"/>
        <w:ind w:firstLineChars="200" w:firstLine="480"/>
        <w:rPr>
          <w:rFonts w:hAnsi="宋体"/>
          <w:kern w:val="0"/>
          <w:sz w:val="24"/>
          <w:szCs w:val="24"/>
        </w:rPr>
      </w:pPr>
      <w:r w:rsidRPr="002C6E18">
        <w:rPr>
          <w:rFonts w:hAnsi="宋体" w:hint="eastAsia"/>
          <w:kern w:val="0"/>
          <w:sz w:val="24"/>
          <w:szCs w:val="24"/>
        </w:rPr>
        <w:t>中国农业银行托管业务部现有员工</w:t>
      </w:r>
      <w:r w:rsidRPr="002C6E18">
        <w:rPr>
          <w:rFonts w:hAnsi="宋体" w:hint="eastAsia"/>
          <w:kern w:val="0"/>
          <w:sz w:val="24"/>
          <w:szCs w:val="24"/>
        </w:rPr>
        <w:t>140</w:t>
      </w:r>
      <w:r w:rsidRPr="002C6E18">
        <w:rPr>
          <w:rFonts w:hAnsi="宋体" w:hint="eastAsia"/>
          <w:kern w:val="0"/>
          <w:sz w:val="24"/>
          <w:szCs w:val="24"/>
        </w:rPr>
        <w:t>余名，其中高级会计师、高级经济师、高级工程师、律师等专家</w:t>
      </w:r>
      <w:r w:rsidRPr="002C6E18">
        <w:rPr>
          <w:rFonts w:hAnsi="宋体" w:hint="eastAsia"/>
          <w:kern w:val="0"/>
          <w:sz w:val="24"/>
          <w:szCs w:val="24"/>
        </w:rPr>
        <w:t>10</w:t>
      </w:r>
      <w:r w:rsidRPr="002C6E18">
        <w:rPr>
          <w:rFonts w:hAnsi="宋体" w:hint="eastAsia"/>
          <w:kern w:val="0"/>
          <w:sz w:val="24"/>
          <w:szCs w:val="24"/>
        </w:rPr>
        <w:t>余名，服务团队成员专业水平高、业务素质好、服务能力强，高级管理层均有</w:t>
      </w:r>
      <w:r w:rsidRPr="002C6E18">
        <w:rPr>
          <w:rFonts w:hAnsi="宋体" w:hint="eastAsia"/>
          <w:kern w:val="0"/>
          <w:sz w:val="24"/>
          <w:szCs w:val="24"/>
        </w:rPr>
        <w:t>20</w:t>
      </w:r>
      <w:r w:rsidRPr="002C6E18">
        <w:rPr>
          <w:rFonts w:hAnsi="宋体" w:hint="eastAsia"/>
          <w:kern w:val="0"/>
          <w:sz w:val="24"/>
          <w:szCs w:val="24"/>
        </w:rPr>
        <w:t>年以上金融从业经验和高级技术职称，精通国内外证券市场的运作。</w:t>
      </w:r>
    </w:p>
    <w:p w:rsidR="00783788" w:rsidRPr="002C6E18" w:rsidRDefault="002C6E18" w:rsidP="002C6E18">
      <w:pPr>
        <w:widowControl/>
        <w:adjustRightInd w:val="0"/>
        <w:snapToGrid w:val="0"/>
        <w:spacing w:line="360" w:lineRule="auto"/>
        <w:ind w:firstLineChars="200" w:firstLine="480"/>
        <w:rPr>
          <w:rFonts w:hAnsi="宋体"/>
          <w:kern w:val="0"/>
          <w:sz w:val="24"/>
          <w:szCs w:val="24"/>
        </w:rPr>
      </w:pPr>
      <w:r w:rsidRPr="002C6E18">
        <w:rPr>
          <w:rFonts w:hAnsi="宋体" w:hint="eastAsia"/>
          <w:kern w:val="0"/>
          <w:sz w:val="24"/>
          <w:szCs w:val="24"/>
        </w:rPr>
        <w:t>3</w:t>
      </w:r>
      <w:r w:rsidRPr="002C6E18">
        <w:rPr>
          <w:rFonts w:hAnsi="宋体" w:hint="eastAsia"/>
          <w:kern w:val="0"/>
          <w:sz w:val="24"/>
          <w:szCs w:val="24"/>
        </w:rPr>
        <w:t>、基金托管业务经营情况</w:t>
      </w:r>
    </w:p>
    <w:p w:rsidR="00783788" w:rsidRDefault="002C6E18" w:rsidP="002C6E18">
      <w:pPr>
        <w:widowControl/>
        <w:adjustRightInd w:val="0"/>
        <w:snapToGrid w:val="0"/>
        <w:spacing w:line="360" w:lineRule="auto"/>
        <w:ind w:firstLineChars="200" w:firstLine="480"/>
        <w:rPr>
          <w:rFonts w:ascii="宋体" w:hAnsi="宋体"/>
          <w:szCs w:val="21"/>
        </w:rPr>
      </w:pPr>
      <w:r w:rsidRPr="002C6E18">
        <w:rPr>
          <w:rFonts w:hAnsi="宋体" w:hint="eastAsia"/>
          <w:kern w:val="0"/>
          <w:sz w:val="24"/>
          <w:szCs w:val="24"/>
        </w:rPr>
        <w:t>截止</w:t>
      </w:r>
      <w:r w:rsidRPr="002C6E18">
        <w:rPr>
          <w:rFonts w:hAnsi="宋体" w:hint="eastAsia"/>
          <w:kern w:val="0"/>
          <w:sz w:val="24"/>
          <w:szCs w:val="24"/>
        </w:rPr>
        <w:t>2014</w:t>
      </w:r>
      <w:r w:rsidRPr="002C6E18">
        <w:rPr>
          <w:rFonts w:hAnsi="宋体" w:hint="eastAsia"/>
          <w:kern w:val="0"/>
          <w:sz w:val="24"/>
          <w:szCs w:val="24"/>
        </w:rPr>
        <w:t>年</w:t>
      </w:r>
      <w:r w:rsidRPr="002C6E18">
        <w:rPr>
          <w:rFonts w:hAnsi="宋体" w:hint="eastAsia"/>
          <w:kern w:val="0"/>
          <w:sz w:val="24"/>
          <w:szCs w:val="24"/>
        </w:rPr>
        <w:t>12</w:t>
      </w:r>
      <w:r w:rsidRPr="002C6E18">
        <w:rPr>
          <w:rFonts w:hAnsi="宋体" w:hint="eastAsia"/>
          <w:kern w:val="0"/>
          <w:sz w:val="24"/>
          <w:szCs w:val="24"/>
        </w:rPr>
        <w:t>月</w:t>
      </w:r>
      <w:r w:rsidRPr="002C6E18">
        <w:rPr>
          <w:rFonts w:hAnsi="宋体" w:hint="eastAsia"/>
          <w:kern w:val="0"/>
          <w:sz w:val="24"/>
          <w:szCs w:val="24"/>
        </w:rPr>
        <w:t>31</w:t>
      </w:r>
      <w:r w:rsidRPr="002C6E18">
        <w:rPr>
          <w:rFonts w:hAnsi="宋体" w:hint="eastAsia"/>
          <w:kern w:val="0"/>
          <w:sz w:val="24"/>
          <w:szCs w:val="24"/>
        </w:rPr>
        <w:t>日，中国农业银行托管的封闭式证券投资基金和开放式证券投资基金共</w:t>
      </w:r>
      <w:r w:rsidRPr="002C6E18">
        <w:rPr>
          <w:rFonts w:hAnsi="宋体" w:hint="eastAsia"/>
          <w:kern w:val="0"/>
          <w:sz w:val="24"/>
          <w:szCs w:val="24"/>
        </w:rPr>
        <w:t>243</w:t>
      </w:r>
      <w:r w:rsidRPr="002C6E18">
        <w:rPr>
          <w:rFonts w:hAnsi="宋体" w:hint="eastAsia"/>
          <w:kern w:val="0"/>
          <w:sz w:val="24"/>
          <w:szCs w:val="24"/>
        </w:rPr>
        <w:t>只，包括富国天源平衡混合型证券投资基金、华夏平稳增长混合型证券投资基金、大成积极成长股票型证券投资基金、大成景阳领先股票型证券投资基金、大成创新成长混合型证券投资基金、长盛同德主题增长股票型证券投资基金、博时内需增长灵活配置混合型证券投资基金、汉盛证券投资基金、裕隆证券投资基金、景福证券投资基金、鸿阳证券投资基金、丰和价值证券投资基金、久嘉证券投资基金、长盛成长价值证券投资基金、宝盈鸿利收益证券投资基金、大成价值增长证券投资基金、大成债券投资基金、银河稳健证券投资基金、银河收益证券投资基金、长盛中信全债指数增强型债券投资基金、长信利息收益开放式证券投资基金、长盛动态精选证券投资基金、景顺长城内需增长开放式证券投资基金、万家增强收益债券型证券投资基金、大成精选增值混合型证券投资基金、长信银利精选开放式证券投资基金、富国天瑞强势地区精选混合型证券投资基金、鹏华货币市场证券投资基金、中海分红增利混合型证券投资基金、国泰货币市场证券投资基金、新华优选分红混合型证券投资基金、交银施罗德精选股票证券投资基金、泰达宏利货币市场基金、交银施罗德货币市场证券投资基金、景顺长城资源垄断股票型证券投资基金、大成沪深</w:t>
      </w:r>
      <w:r w:rsidRPr="002C6E18">
        <w:rPr>
          <w:rFonts w:hAnsi="宋体" w:hint="eastAsia"/>
          <w:kern w:val="0"/>
          <w:sz w:val="24"/>
          <w:szCs w:val="24"/>
        </w:rPr>
        <w:t>300</w:t>
      </w:r>
      <w:r w:rsidRPr="002C6E18">
        <w:rPr>
          <w:rFonts w:hAnsi="宋体" w:hint="eastAsia"/>
          <w:kern w:val="0"/>
          <w:sz w:val="24"/>
          <w:szCs w:val="24"/>
        </w:rPr>
        <w:t>指数证券投资基金、信诚四季红混合型证券投资基金、富国天时货币市场基金、富兰克林国海弹性市值股票型证券投资基金、益民货币市场基金、长城安心回报混合型证券投资基金、中邮核心优选股票型证券投资基金、景顺长城内需增长贰号股票型证券投资基金、交银施罗德成长股票证券投资基金、长盛中证</w:t>
      </w:r>
      <w:r w:rsidRPr="002C6E18">
        <w:rPr>
          <w:rFonts w:hAnsi="宋体" w:hint="eastAsia"/>
          <w:kern w:val="0"/>
          <w:sz w:val="24"/>
          <w:szCs w:val="24"/>
        </w:rPr>
        <w:t>100</w:t>
      </w:r>
      <w:r w:rsidRPr="002C6E18">
        <w:rPr>
          <w:rFonts w:hAnsi="宋体" w:hint="eastAsia"/>
          <w:kern w:val="0"/>
          <w:sz w:val="24"/>
          <w:szCs w:val="24"/>
        </w:rPr>
        <w:t>指数证券投资基金、泰达宏利首选企业股票型证券投资基金、东吴价值成长双动力股票型证券投资基金、鹏华动力增长混合型证券投资基金、宝盈策略增长股票型证券投资基金、国泰金牛创新成长股票型证券投资基金、益民创新优势混合型证券投资基金、中邮核心成长股票型证券投资基金、华夏复兴股票型证券投资基金、富国天成红利灵活配置混合型证券投资基金、长信双利优选灵活配置混合型证券投资基金、富兰克林国海深化价值股票型证券投资基金、申万巴黎竞争优势股票型证券投资基金、新华优选成长股票型证券投资基金、金元惠理成长动力灵活配置混合型证券投资基金、天治稳健双盈债券型证券投资基金、中海蓝筹灵活配置混合型证券投资基金、长信利丰债券型证券投资基金、金元惠理丰利债券型证券投资基金、交银施罗德先锋股票证券投资基金、东吴进取策略灵活配置混合型开放式证券投资基金、建信收益增强债券型证券投资基金、银华内需精选股票型证券投资基金</w:t>
      </w:r>
      <w:r w:rsidRPr="002C6E18">
        <w:rPr>
          <w:rFonts w:hAnsi="宋体" w:hint="eastAsia"/>
          <w:kern w:val="0"/>
          <w:sz w:val="24"/>
          <w:szCs w:val="24"/>
        </w:rPr>
        <w:t>(LOF)</w:t>
      </w:r>
      <w:r w:rsidRPr="002C6E18">
        <w:rPr>
          <w:rFonts w:hAnsi="宋体" w:hint="eastAsia"/>
          <w:kern w:val="0"/>
          <w:sz w:val="24"/>
          <w:szCs w:val="24"/>
        </w:rPr>
        <w:t>、大成行业轮动股票型证券投资基金、交银施罗德上证</w:t>
      </w:r>
      <w:r w:rsidRPr="002C6E18">
        <w:rPr>
          <w:rFonts w:hAnsi="宋体" w:hint="eastAsia"/>
          <w:kern w:val="0"/>
          <w:sz w:val="24"/>
          <w:szCs w:val="24"/>
        </w:rPr>
        <w:t>180</w:t>
      </w:r>
      <w:r w:rsidRPr="002C6E18">
        <w:rPr>
          <w:rFonts w:hAnsi="宋体" w:hint="eastAsia"/>
          <w:kern w:val="0"/>
          <w:sz w:val="24"/>
          <w:szCs w:val="24"/>
        </w:rPr>
        <w:t>公司治理交易型开放式指数证券投资基金联接基金、上证</w:t>
      </w:r>
      <w:r w:rsidRPr="002C6E18">
        <w:rPr>
          <w:rFonts w:hAnsi="宋体" w:hint="eastAsia"/>
          <w:kern w:val="0"/>
          <w:sz w:val="24"/>
          <w:szCs w:val="24"/>
        </w:rPr>
        <w:t>180</w:t>
      </w:r>
      <w:r w:rsidRPr="002C6E18">
        <w:rPr>
          <w:rFonts w:hAnsi="宋体" w:hint="eastAsia"/>
          <w:kern w:val="0"/>
          <w:sz w:val="24"/>
          <w:szCs w:val="24"/>
        </w:rPr>
        <w:t>公司治理交易型开放式指数证券投资基金、富兰克林国海沪深</w:t>
      </w:r>
      <w:r w:rsidRPr="002C6E18">
        <w:rPr>
          <w:rFonts w:hAnsi="宋体" w:hint="eastAsia"/>
          <w:kern w:val="0"/>
          <w:sz w:val="24"/>
          <w:szCs w:val="24"/>
        </w:rPr>
        <w:t>300</w:t>
      </w:r>
      <w:r w:rsidRPr="002C6E18">
        <w:rPr>
          <w:rFonts w:hAnsi="宋体" w:hint="eastAsia"/>
          <w:kern w:val="0"/>
          <w:sz w:val="24"/>
          <w:szCs w:val="24"/>
        </w:rPr>
        <w:t>指数增强型证券投资基金、南方中证</w:t>
      </w:r>
      <w:r w:rsidRPr="002C6E18">
        <w:rPr>
          <w:rFonts w:hAnsi="宋体" w:hint="eastAsia"/>
          <w:kern w:val="0"/>
          <w:sz w:val="24"/>
          <w:szCs w:val="24"/>
        </w:rPr>
        <w:t>500</w:t>
      </w:r>
      <w:r w:rsidRPr="002C6E18">
        <w:rPr>
          <w:rFonts w:hAnsi="宋体" w:hint="eastAsia"/>
          <w:kern w:val="0"/>
          <w:sz w:val="24"/>
          <w:szCs w:val="24"/>
        </w:rPr>
        <w:t>交易型开放式指数证券投资基金联接基金</w:t>
      </w:r>
      <w:r w:rsidRPr="002C6E18">
        <w:rPr>
          <w:rFonts w:hAnsi="宋体" w:hint="eastAsia"/>
          <w:kern w:val="0"/>
          <w:sz w:val="24"/>
          <w:szCs w:val="24"/>
        </w:rPr>
        <w:t>(LOF)</w:t>
      </w:r>
      <w:r w:rsidRPr="002C6E18">
        <w:rPr>
          <w:rFonts w:hAnsi="宋体" w:hint="eastAsia"/>
          <w:kern w:val="0"/>
          <w:sz w:val="24"/>
          <w:szCs w:val="24"/>
        </w:rPr>
        <w:t>、景顺长城能源基建股票型证券投资基金、中邮核心优势灵活配置混合型证券投资基金、工银瑞信中小盘成长股票型证券投资基金、东吴货币市场证券投资基金、博时创业成长股票型证券投资基金、招商信用添利债券型证券投资基金、易方达消费行业股票型证券投资基金、富国汇利分级债券型证券投资基金、大成景丰分级债券型证券投资基金、兴全沪深</w:t>
      </w:r>
      <w:r w:rsidRPr="002C6E18">
        <w:rPr>
          <w:rFonts w:hAnsi="宋体" w:hint="eastAsia"/>
          <w:kern w:val="0"/>
          <w:sz w:val="24"/>
          <w:szCs w:val="24"/>
        </w:rPr>
        <w:t>300</w:t>
      </w:r>
      <w:r w:rsidRPr="002C6E18">
        <w:rPr>
          <w:rFonts w:hAnsi="宋体" w:hint="eastAsia"/>
          <w:kern w:val="0"/>
          <w:sz w:val="24"/>
          <w:szCs w:val="24"/>
        </w:rPr>
        <w:t>指数增强型证券投资基金</w:t>
      </w:r>
      <w:r w:rsidRPr="002C6E18">
        <w:rPr>
          <w:rFonts w:hAnsi="宋体" w:hint="eastAsia"/>
          <w:kern w:val="0"/>
          <w:sz w:val="24"/>
          <w:szCs w:val="24"/>
        </w:rPr>
        <w:t>(LOF)</w:t>
      </w:r>
      <w:r w:rsidRPr="002C6E18">
        <w:rPr>
          <w:rFonts w:hAnsi="宋体" w:hint="eastAsia"/>
          <w:kern w:val="0"/>
          <w:sz w:val="24"/>
          <w:szCs w:val="24"/>
        </w:rPr>
        <w:t>、工银瑞信深证红利交易型开放式指数证券投资基金、工银瑞信深证红利交易型开放式指数证券投资基金联接基金、富国可转换债券证券投资基金、大成深证成长</w:t>
      </w:r>
      <w:r w:rsidRPr="002C6E18">
        <w:rPr>
          <w:rFonts w:hAnsi="宋体" w:hint="eastAsia"/>
          <w:kern w:val="0"/>
          <w:sz w:val="24"/>
          <w:szCs w:val="24"/>
        </w:rPr>
        <w:t>40</w:t>
      </w:r>
      <w:r w:rsidRPr="002C6E18">
        <w:rPr>
          <w:rFonts w:hAnsi="宋体" w:hint="eastAsia"/>
          <w:kern w:val="0"/>
          <w:sz w:val="24"/>
          <w:szCs w:val="24"/>
        </w:rPr>
        <w:t>交易型开放式指数证券投资基金、大成深证成长</w:t>
      </w:r>
      <w:r w:rsidRPr="002C6E18">
        <w:rPr>
          <w:rFonts w:hAnsi="宋体" w:hint="eastAsia"/>
          <w:kern w:val="0"/>
          <w:sz w:val="24"/>
          <w:szCs w:val="24"/>
        </w:rPr>
        <w:t>40</w:t>
      </w:r>
      <w:r w:rsidRPr="002C6E18">
        <w:rPr>
          <w:rFonts w:hAnsi="宋体" w:hint="eastAsia"/>
          <w:kern w:val="0"/>
          <w:sz w:val="24"/>
          <w:szCs w:val="24"/>
        </w:rPr>
        <w:t>交易型开放式指数证券投资基金联接基金、泰达宏利领先中小盘股票型证券投资基金、交银施罗德信用添利债券证券投资基金</w:t>
      </w:r>
      <w:r w:rsidRPr="002C6E18">
        <w:rPr>
          <w:rFonts w:hAnsi="宋体" w:hint="eastAsia"/>
          <w:kern w:val="0"/>
          <w:sz w:val="24"/>
          <w:szCs w:val="24"/>
        </w:rPr>
        <w:t>(LOF)</w:t>
      </w:r>
      <w:r w:rsidRPr="002C6E18">
        <w:rPr>
          <w:rFonts w:hAnsi="宋体" w:hint="eastAsia"/>
          <w:kern w:val="0"/>
          <w:sz w:val="24"/>
          <w:szCs w:val="24"/>
        </w:rPr>
        <w:t>、东吴中证新兴产业指数证券投资基金、工银瑞信四季收益债券型证券投资基金、招商安瑞进取债券型证券投资基金、汇添富社会责任股票型证券投资基金、工银瑞信消费服务行业股票型证券投资基金、易方达黄金主题证券投资基金（</w:t>
      </w:r>
      <w:r w:rsidRPr="002C6E18">
        <w:rPr>
          <w:rFonts w:hAnsi="宋体" w:hint="eastAsia"/>
          <w:kern w:val="0"/>
          <w:sz w:val="24"/>
          <w:szCs w:val="24"/>
        </w:rPr>
        <w:t>LOF</w:t>
      </w:r>
      <w:r w:rsidRPr="002C6E18">
        <w:rPr>
          <w:rFonts w:hAnsi="宋体" w:hint="eastAsia"/>
          <w:kern w:val="0"/>
          <w:sz w:val="24"/>
          <w:szCs w:val="24"/>
        </w:rPr>
        <w:t>）、中邮中小盘灵活配置混合型证券投资基金、浙商聚潮产业成长股票型证券投资基金、嘉实领先成长股票型证券投资基金、广发中小板</w:t>
      </w:r>
      <w:r w:rsidRPr="002C6E18">
        <w:rPr>
          <w:rFonts w:hAnsi="宋体" w:hint="eastAsia"/>
          <w:kern w:val="0"/>
          <w:sz w:val="24"/>
          <w:szCs w:val="24"/>
        </w:rPr>
        <w:t>300</w:t>
      </w:r>
      <w:r w:rsidRPr="002C6E18">
        <w:rPr>
          <w:rFonts w:hAnsi="宋体" w:hint="eastAsia"/>
          <w:kern w:val="0"/>
          <w:sz w:val="24"/>
          <w:szCs w:val="24"/>
        </w:rPr>
        <w:t>交易型开放式指数证券投资基金、广发中小板</w:t>
      </w:r>
      <w:r w:rsidRPr="002C6E18">
        <w:rPr>
          <w:rFonts w:hAnsi="宋体" w:hint="eastAsia"/>
          <w:kern w:val="0"/>
          <w:sz w:val="24"/>
          <w:szCs w:val="24"/>
        </w:rPr>
        <w:t>300</w:t>
      </w:r>
      <w:r w:rsidRPr="002C6E18">
        <w:rPr>
          <w:rFonts w:hAnsi="宋体" w:hint="eastAsia"/>
          <w:kern w:val="0"/>
          <w:sz w:val="24"/>
          <w:szCs w:val="24"/>
        </w:rPr>
        <w:t>交易型开放式指数证券投资基金联接基金、南方保本混合型证券投资基金、交银施罗德先进制造股票证券投资基金、上投摩根新兴动力股票型证券投资基金、富兰克林国海策略回报灵活配置混合型证券投资基金、金元惠理保本混合型证券投资基金、招商安达保本混合型证券投资基金、深证</w:t>
      </w:r>
      <w:r w:rsidRPr="002C6E18">
        <w:rPr>
          <w:rFonts w:hAnsi="宋体" w:hint="eastAsia"/>
          <w:kern w:val="0"/>
          <w:sz w:val="24"/>
          <w:szCs w:val="24"/>
        </w:rPr>
        <w:t>300</w:t>
      </w:r>
      <w:r w:rsidRPr="002C6E18">
        <w:rPr>
          <w:rFonts w:hAnsi="宋体" w:hint="eastAsia"/>
          <w:kern w:val="0"/>
          <w:sz w:val="24"/>
          <w:szCs w:val="24"/>
        </w:rPr>
        <w:t>价值交易型开放式指数证券投资基金、南方中国中小盘股票指数证券投资基金（</w:t>
      </w:r>
      <w:r w:rsidRPr="002C6E18">
        <w:rPr>
          <w:rFonts w:hAnsi="宋体" w:hint="eastAsia"/>
          <w:kern w:val="0"/>
          <w:sz w:val="24"/>
          <w:szCs w:val="24"/>
        </w:rPr>
        <w:t>LOF</w:t>
      </w:r>
      <w:r w:rsidRPr="002C6E18">
        <w:rPr>
          <w:rFonts w:hAnsi="宋体" w:hint="eastAsia"/>
          <w:kern w:val="0"/>
          <w:sz w:val="24"/>
          <w:szCs w:val="24"/>
        </w:rPr>
        <w:t>）、交银施罗德深证</w:t>
      </w:r>
      <w:r w:rsidRPr="002C6E18">
        <w:rPr>
          <w:rFonts w:hAnsi="宋体" w:hint="eastAsia"/>
          <w:kern w:val="0"/>
          <w:sz w:val="24"/>
          <w:szCs w:val="24"/>
        </w:rPr>
        <w:t>300</w:t>
      </w:r>
      <w:r w:rsidRPr="002C6E18">
        <w:rPr>
          <w:rFonts w:hAnsi="宋体" w:hint="eastAsia"/>
          <w:kern w:val="0"/>
          <w:sz w:val="24"/>
          <w:szCs w:val="24"/>
        </w:rPr>
        <w:t>价值交易型开放式指数证券投资基金联接基金、富国中证</w:t>
      </w:r>
      <w:r w:rsidRPr="002C6E18">
        <w:rPr>
          <w:rFonts w:hAnsi="宋体" w:hint="eastAsia"/>
          <w:kern w:val="0"/>
          <w:sz w:val="24"/>
          <w:szCs w:val="24"/>
        </w:rPr>
        <w:t>500</w:t>
      </w:r>
      <w:r w:rsidRPr="002C6E18">
        <w:rPr>
          <w:rFonts w:hAnsi="宋体" w:hint="eastAsia"/>
          <w:kern w:val="0"/>
          <w:sz w:val="24"/>
          <w:szCs w:val="24"/>
        </w:rPr>
        <w:t>指数增强型证券投资基金（</w:t>
      </w:r>
      <w:r w:rsidRPr="002C6E18">
        <w:rPr>
          <w:rFonts w:hAnsi="宋体" w:hint="eastAsia"/>
          <w:kern w:val="0"/>
          <w:sz w:val="24"/>
          <w:szCs w:val="24"/>
        </w:rPr>
        <w:t>LOF</w:t>
      </w:r>
      <w:r w:rsidRPr="002C6E18">
        <w:rPr>
          <w:rFonts w:hAnsi="宋体" w:hint="eastAsia"/>
          <w:kern w:val="0"/>
          <w:sz w:val="24"/>
          <w:szCs w:val="24"/>
        </w:rPr>
        <w:t>）、长信内需成长股票型证券投资基金、大成中证内地消费主题指数证券投资基金、中海消费主题精选股票型证券投资基金、长盛同瑞中证</w:t>
      </w:r>
      <w:r w:rsidRPr="002C6E18">
        <w:rPr>
          <w:rFonts w:hAnsi="宋体" w:hint="eastAsia"/>
          <w:kern w:val="0"/>
          <w:sz w:val="24"/>
          <w:szCs w:val="24"/>
        </w:rPr>
        <w:t>200</w:t>
      </w:r>
      <w:r w:rsidRPr="002C6E18">
        <w:rPr>
          <w:rFonts w:hAnsi="宋体" w:hint="eastAsia"/>
          <w:kern w:val="0"/>
          <w:sz w:val="24"/>
          <w:szCs w:val="24"/>
        </w:rPr>
        <w:t>指数分级证券投资基金、景顺长城核心竞争力股票型证券投资基金、汇添富信用债债券型证券投资基金、光大保德信行业轮动股票型证券投资基金、富兰克林国海亚洲（除日本）机会股票型证券投资基金、汇添富逆向投资股票型证券投资基金、大成新锐产业股票型证券投资基金、申万菱信中小板指数分级证券投资基金、广发消费品精选股票型证券投资基金、鹏华金刚保本混合型证券投资基金、汇添富理财</w:t>
      </w:r>
      <w:r w:rsidRPr="002C6E18">
        <w:rPr>
          <w:rFonts w:hAnsi="宋体" w:hint="eastAsia"/>
          <w:kern w:val="0"/>
          <w:sz w:val="24"/>
          <w:szCs w:val="24"/>
        </w:rPr>
        <w:t>14</w:t>
      </w:r>
      <w:r w:rsidRPr="002C6E18">
        <w:rPr>
          <w:rFonts w:hAnsi="宋体" w:hint="eastAsia"/>
          <w:kern w:val="0"/>
          <w:sz w:val="24"/>
          <w:szCs w:val="24"/>
        </w:rPr>
        <w:t>天债券型证券投资基金、嘉实全球房地产证券投资基金、金元惠理新经济主题股票型证券投资基金、东吴保本混合型证券投资基金、建新社会责任股票型证券投资基金、嘉实理财宝</w:t>
      </w:r>
      <w:r w:rsidRPr="002C6E18">
        <w:rPr>
          <w:rFonts w:hAnsi="宋体" w:hint="eastAsia"/>
          <w:kern w:val="0"/>
          <w:sz w:val="24"/>
          <w:szCs w:val="24"/>
        </w:rPr>
        <w:t>7</w:t>
      </w:r>
      <w:r w:rsidRPr="002C6E18">
        <w:rPr>
          <w:rFonts w:hAnsi="宋体" w:hint="eastAsia"/>
          <w:kern w:val="0"/>
          <w:sz w:val="24"/>
          <w:szCs w:val="24"/>
        </w:rPr>
        <w:t>天债券型证券投资基金、富兰克林国海恒久信用债券型证券投资基金、大成月添利理财债券型证券投资基金、安信目标收益债券型证券投资基金、富国</w:t>
      </w:r>
      <w:r w:rsidRPr="002C6E18">
        <w:rPr>
          <w:rFonts w:hAnsi="宋体" w:hint="eastAsia"/>
          <w:kern w:val="0"/>
          <w:sz w:val="24"/>
          <w:szCs w:val="24"/>
        </w:rPr>
        <w:t>7</w:t>
      </w:r>
      <w:r w:rsidRPr="002C6E18">
        <w:rPr>
          <w:rFonts w:hAnsi="宋体" w:hint="eastAsia"/>
          <w:kern w:val="0"/>
          <w:sz w:val="24"/>
          <w:szCs w:val="24"/>
        </w:rPr>
        <w:t>天理财宝债券型证券投资基金、交银施罗德理财</w:t>
      </w:r>
      <w:r w:rsidRPr="002C6E18">
        <w:rPr>
          <w:rFonts w:hAnsi="宋体" w:hint="eastAsia"/>
          <w:kern w:val="0"/>
          <w:sz w:val="24"/>
          <w:szCs w:val="24"/>
        </w:rPr>
        <w:t>21</w:t>
      </w:r>
      <w:r w:rsidRPr="002C6E18">
        <w:rPr>
          <w:rFonts w:hAnsi="宋体" w:hint="eastAsia"/>
          <w:kern w:val="0"/>
          <w:sz w:val="24"/>
          <w:szCs w:val="24"/>
        </w:rPr>
        <w:t>天债券型证券投资基金、易方达中债新综合指数发起式证券投资基金（</w:t>
      </w:r>
      <w:r w:rsidRPr="002C6E18">
        <w:rPr>
          <w:rFonts w:hAnsi="宋体" w:hint="eastAsia"/>
          <w:kern w:val="0"/>
          <w:sz w:val="24"/>
          <w:szCs w:val="24"/>
        </w:rPr>
        <w:t>LOF</w:t>
      </w:r>
      <w:r w:rsidRPr="002C6E18">
        <w:rPr>
          <w:rFonts w:hAnsi="宋体" w:hint="eastAsia"/>
          <w:kern w:val="0"/>
          <w:sz w:val="24"/>
          <w:szCs w:val="24"/>
        </w:rPr>
        <w:t>）、工银瑞信信用纯债债券型证券投资基金、大成现金增利货币市场基金、景顺长城支柱产业股票型证券投资基金、易方达月月利理财债券型证券投资基金、摩根士丹利华鑫量化配置股票型证券投资基金、东方央视财经</w:t>
      </w:r>
      <w:r w:rsidRPr="002C6E18">
        <w:rPr>
          <w:rFonts w:hAnsi="宋体" w:hint="eastAsia"/>
          <w:kern w:val="0"/>
          <w:sz w:val="24"/>
          <w:szCs w:val="24"/>
        </w:rPr>
        <w:t>50</w:t>
      </w:r>
      <w:r w:rsidRPr="002C6E18">
        <w:rPr>
          <w:rFonts w:hAnsi="宋体" w:hint="eastAsia"/>
          <w:kern w:val="0"/>
          <w:sz w:val="24"/>
          <w:szCs w:val="24"/>
        </w:rPr>
        <w:t>指数增强型证券投资基金、交银施罗德纯债债券型发起式证券投资基金、鹏华理财</w:t>
      </w:r>
      <w:r w:rsidRPr="002C6E18">
        <w:rPr>
          <w:rFonts w:hAnsi="宋体" w:hint="eastAsia"/>
          <w:kern w:val="0"/>
          <w:sz w:val="24"/>
          <w:szCs w:val="24"/>
        </w:rPr>
        <w:t>21</w:t>
      </w:r>
      <w:r w:rsidRPr="002C6E18">
        <w:rPr>
          <w:rFonts w:hAnsi="宋体" w:hint="eastAsia"/>
          <w:kern w:val="0"/>
          <w:sz w:val="24"/>
          <w:szCs w:val="24"/>
        </w:rPr>
        <w:t>天债券型证券投资基金、国泰民安增利债券型发起式证券投资基金、万家</w:t>
      </w:r>
      <w:r w:rsidRPr="002C6E18">
        <w:rPr>
          <w:rFonts w:hAnsi="宋体" w:hint="eastAsia"/>
          <w:kern w:val="0"/>
          <w:sz w:val="24"/>
          <w:szCs w:val="24"/>
        </w:rPr>
        <w:t>14</w:t>
      </w:r>
      <w:r w:rsidRPr="002C6E18">
        <w:rPr>
          <w:rFonts w:hAnsi="宋体" w:hint="eastAsia"/>
          <w:kern w:val="0"/>
          <w:sz w:val="24"/>
          <w:szCs w:val="24"/>
        </w:rPr>
        <w:t>天理财债券型证券投资基金、华安纯债债券型发起式证券投资基金、金元惠理惠利保本混合型证券投资基金、南方中证</w:t>
      </w:r>
      <w:r w:rsidRPr="002C6E18">
        <w:rPr>
          <w:rFonts w:hAnsi="宋体" w:hint="eastAsia"/>
          <w:kern w:val="0"/>
          <w:sz w:val="24"/>
          <w:szCs w:val="24"/>
        </w:rPr>
        <w:t>500</w:t>
      </w:r>
      <w:r w:rsidRPr="002C6E18">
        <w:rPr>
          <w:rFonts w:hAnsi="宋体" w:hint="eastAsia"/>
          <w:kern w:val="0"/>
          <w:sz w:val="24"/>
          <w:szCs w:val="24"/>
        </w:rPr>
        <w:t>交易型开放式指数证券投资基金、招商双债增强分级债券型证券投资基金、景顺长城品质投资股票型证券投资基金、中海可转换债券债券型证券投资基金、融通标普中国可转债指数增强型证券投资基金、大成现金宝场内实时申赎货币市场基金、交银施罗德荣祥保本混合型证券投资基金、国泰中国企业境外高收益债券型证券投资基金、富兰克林国海焦点驱动灵活配置混合型证券投资基金、景顺长城沪深</w:t>
      </w:r>
      <w:r w:rsidRPr="002C6E18">
        <w:rPr>
          <w:rFonts w:hAnsi="宋体" w:hint="eastAsia"/>
          <w:kern w:val="0"/>
          <w:sz w:val="24"/>
          <w:szCs w:val="24"/>
        </w:rPr>
        <w:t>300</w:t>
      </w:r>
      <w:r w:rsidRPr="002C6E18">
        <w:rPr>
          <w:rFonts w:hAnsi="宋体" w:hint="eastAsia"/>
          <w:kern w:val="0"/>
          <w:sz w:val="24"/>
          <w:szCs w:val="24"/>
        </w:rPr>
        <w:t>等权重交易型开放式指数证券投资基金、广发聚源定期开放债券型证券投资基金、大成景安短融债券型证券投资基金、嘉实研究阿尔法股票型证券投资基金、新华行业轮换灵活配置混合型证券投资基金、富国目标收益一年期纯债债券型证券投资基金、汇添富高息债债券型证券投资基金、东方利群混合型发起式证券投资基金、南方稳利一年定期开放债券型证券投资基金、景顺长城四季金利纯债债券型证券投资基金、华夏永福养老理财混合型证券投资基金、嘉实丰益信用定期开放债券型证券投资基金、国泰国证医药卫生行业指数分级证券投资基金、交银施罗德定期支付双息平衡混合型证券投资基金、光大保德信现金宝货币市场基金、易方达投资级信用债债券型证券投资基金、广发趋势优选灵活配置混合型证券投资基金、华润元大保本混合型证券投资基金、长盛双月红一年期定期开放债券型证券投资基金、富国国有企业债债券型证券投资基金、富安达信用主题轮动纯债债券型发起式证券投资基金、景顺长城沪深</w:t>
      </w:r>
      <w:r w:rsidRPr="002C6E18">
        <w:rPr>
          <w:rFonts w:hAnsi="宋体" w:hint="eastAsia"/>
          <w:kern w:val="0"/>
          <w:sz w:val="24"/>
          <w:szCs w:val="24"/>
        </w:rPr>
        <w:t>300</w:t>
      </w:r>
      <w:r w:rsidRPr="002C6E18">
        <w:rPr>
          <w:rFonts w:hAnsi="宋体" w:hint="eastAsia"/>
          <w:kern w:val="0"/>
          <w:sz w:val="24"/>
          <w:szCs w:val="24"/>
        </w:rPr>
        <w:t>指数增强型证券投资基金、中邮定期开放债券型证券投资基金、安信永利信用定期开放债券型证券投资基金、工银瑞信信息产业股票型证券投资基金、大成景祥分级债券型证券投资基金、富兰克林国海岁岁恒丰定期开放债券型证券投资基金、景顺长城景益货币市场基金、万家市政纯债定期开放债券型证券投资基金、建信稳定添利债券型证券投资基金、上投摩根双债增利债券型证券投资基金、嘉实活期宝货币市场基金、融通通源一年目标触发式灵活配置混合型证券投资基金、大成信用增利一年定期开放债券型证券投资基金、鹏华品牌传承灵活配置混合型证券投资基金、国泰浓益灵活配置混合型证券投资基金、汇添富恒生指数分级证券投资基金、长盛航天海工装备灵活配置混合型证券投资基金、广发新动力股票型证券投资基金、东吴阿尔法灵活配置混合型证券投资基金、诺安天天宝货币市场基金、前海开源可转债债券型发起式证券投资基金、新华鑫利灵活配置混合型证券投资基金、富国天盛灵活配置混合型证券投资基金、景顺长城中小板创业板精选股票型证券投资基金、中邮双动力混合型证券投资基金、建信改革红利股票型证券投资基金、交银施罗德周期回报灵活配置混合型证券投资基金、中海积极收益灵活配置混合型证券投资基金、申万菱信中证环保产业指数分级证券投资基金、博时裕隆灵活配置混合型证券投资基金、国寿安保沪深</w:t>
      </w:r>
      <w:r w:rsidRPr="002C6E18">
        <w:rPr>
          <w:rFonts w:hAnsi="宋体" w:hint="eastAsia"/>
          <w:kern w:val="0"/>
          <w:sz w:val="24"/>
          <w:szCs w:val="24"/>
        </w:rPr>
        <w:t>300</w:t>
      </w:r>
      <w:r w:rsidRPr="002C6E18">
        <w:rPr>
          <w:rFonts w:hAnsi="宋体" w:hint="eastAsia"/>
          <w:kern w:val="0"/>
          <w:sz w:val="24"/>
          <w:szCs w:val="24"/>
        </w:rPr>
        <w:t>指数型证券投资基金、前海开源沪深</w:t>
      </w:r>
      <w:r w:rsidRPr="002C6E18">
        <w:rPr>
          <w:rFonts w:hAnsi="宋体" w:hint="eastAsia"/>
          <w:kern w:val="0"/>
          <w:sz w:val="24"/>
          <w:szCs w:val="24"/>
        </w:rPr>
        <w:t>300</w:t>
      </w:r>
      <w:r w:rsidRPr="002C6E18">
        <w:rPr>
          <w:rFonts w:hAnsi="宋体" w:hint="eastAsia"/>
          <w:kern w:val="0"/>
          <w:sz w:val="24"/>
          <w:szCs w:val="24"/>
        </w:rPr>
        <w:t>指数型证券投资基金、天弘季加利理财债券型证券投资基金、新华鑫安保本一号混合型证券投资基金、诺安永鑫收益一年定期开放债券型证券投资基金、大成景益平稳收益混合型证券投资基金、南方稳利</w:t>
      </w:r>
      <w:r w:rsidRPr="002C6E18">
        <w:rPr>
          <w:rFonts w:hAnsi="宋体" w:hint="eastAsia"/>
          <w:kern w:val="0"/>
          <w:sz w:val="24"/>
          <w:szCs w:val="24"/>
        </w:rPr>
        <w:t>1</w:t>
      </w:r>
      <w:r w:rsidRPr="002C6E18">
        <w:rPr>
          <w:rFonts w:hAnsi="宋体" w:hint="eastAsia"/>
          <w:kern w:val="0"/>
          <w:sz w:val="24"/>
          <w:szCs w:val="24"/>
        </w:rPr>
        <w:t>年定期开放债券型证券投资基金、申万菱信中证军工指数分级证券投资基金、招商可转债分级债券型证券投资基金、泰达宏利货币市场基金、宝盈科技</w:t>
      </w:r>
      <w:r w:rsidRPr="002C6E18">
        <w:rPr>
          <w:rFonts w:hAnsi="宋体" w:hint="eastAsia"/>
          <w:kern w:val="0"/>
          <w:sz w:val="24"/>
          <w:szCs w:val="24"/>
        </w:rPr>
        <w:t>30</w:t>
      </w:r>
      <w:r w:rsidRPr="002C6E18">
        <w:rPr>
          <w:rFonts w:hAnsi="宋体" w:hint="eastAsia"/>
          <w:kern w:val="0"/>
          <w:sz w:val="24"/>
          <w:szCs w:val="24"/>
        </w:rPr>
        <w:t>灵活配置混合型证券投资基金、华润元大医疗保健量化股票型证券投资基金、融通月月添利定期开放债券型证券投资基金、中海惠祥分级债券型证券投资基金、建信稳定添利债券型证券投资基金、东方新兴成长混合型证券投资基金、银华双月定期理财债券型证券投资基金、嘉实新兴产业股票型证券投资基金、诺安天天宝货币市场基金、招商招利</w:t>
      </w:r>
      <w:r w:rsidRPr="002C6E18">
        <w:rPr>
          <w:rFonts w:hAnsi="宋体" w:hint="eastAsia"/>
          <w:kern w:val="0"/>
          <w:sz w:val="24"/>
          <w:szCs w:val="24"/>
        </w:rPr>
        <w:t>1</w:t>
      </w:r>
      <w:r w:rsidRPr="002C6E18">
        <w:rPr>
          <w:rFonts w:hAnsi="宋体" w:hint="eastAsia"/>
          <w:kern w:val="0"/>
          <w:sz w:val="24"/>
          <w:szCs w:val="24"/>
        </w:rPr>
        <w:t>个月期理财债券型证券投资基金、工银瑞信高端制造行业股票型证券投资基金、工银瑞信添益快线货币市场基金、国泰国证食品饮料行业指数分级证券投资基金、中证</w:t>
      </w:r>
      <w:r w:rsidRPr="002C6E18">
        <w:rPr>
          <w:rFonts w:hAnsi="宋体" w:hint="eastAsia"/>
          <w:kern w:val="0"/>
          <w:sz w:val="24"/>
          <w:szCs w:val="24"/>
        </w:rPr>
        <w:t>500</w:t>
      </w:r>
      <w:r w:rsidRPr="002C6E18">
        <w:rPr>
          <w:rFonts w:hAnsi="宋体" w:hint="eastAsia"/>
          <w:kern w:val="0"/>
          <w:sz w:val="24"/>
          <w:szCs w:val="24"/>
        </w:rPr>
        <w:t>医药卫生指数交易型开放式指数证券投资基金、富国天时货币市场基金、鹏华先进制造股票型证券投资基金、大成纳斯达克</w:t>
      </w:r>
      <w:r w:rsidRPr="002C6E18">
        <w:rPr>
          <w:rFonts w:hAnsi="宋体" w:hint="eastAsia"/>
          <w:kern w:val="0"/>
          <w:sz w:val="24"/>
          <w:szCs w:val="24"/>
        </w:rPr>
        <w:t>100</w:t>
      </w:r>
      <w:r w:rsidRPr="002C6E18">
        <w:rPr>
          <w:rFonts w:hAnsi="宋体" w:hint="eastAsia"/>
          <w:kern w:val="0"/>
          <w:sz w:val="24"/>
          <w:szCs w:val="24"/>
        </w:rPr>
        <w:t>指数证券投资基金、银华惠增利货币市场基金、华润元大富时中国</w:t>
      </w:r>
      <w:r w:rsidRPr="002C6E18">
        <w:rPr>
          <w:rFonts w:hAnsi="宋体" w:hint="eastAsia"/>
          <w:kern w:val="0"/>
          <w:sz w:val="24"/>
          <w:szCs w:val="24"/>
        </w:rPr>
        <w:t>A50</w:t>
      </w:r>
      <w:r w:rsidRPr="002C6E18">
        <w:rPr>
          <w:rFonts w:hAnsi="宋体" w:hint="eastAsia"/>
          <w:kern w:val="0"/>
          <w:sz w:val="24"/>
          <w:szCs w:val="24"/>
        </w:rPr>
        <w:t>指数型证券投资基金、安信现金增利货币市场基金、南方理财金交易型货币市场基金、工银瑞信创新动力股票型证券投资基金、东方添益债券型证券投资基金、富国中证国有企业改革指数分级证券投资基金、华夏沪港通恒生交易型开放式指数证券投资基金、大成产业升级股票型证券投资基金</w:t>
      </w:r>
      <w:r w:rsidRPr="002C6E18">
        <w:rPr>
          <w:rFonts w:hAnsi="宋体" w:hint="eastAsia"/>
          <w:kern w:val="0"/>
          <w:sz w:val="24"/>
          <w:szCs w:val="24"/>
        </w:rPr>
        <w:t>(LOF)</w:t>
      </w:r>
      <w:r w:rsidRPr="002C6E18">
        <w:rPr>
          <w:rFonts w:hAnsi="宋体" w:hint="eastAsia"/>
          <w:kern w:val="0"/>
          <w:sz w:val="24"/>
          <w:szCs w:val="24"/>
        </w:rPr>
        <w:t>。</w:t>
      </w:r>
    </w:p>
    <w:p w:rsidR="00783788" w:rsidRPr="002C6E18" w:rsidRDefault="002C6E18" w:rsidP="002C6E18">
      <w:pPr>
        <w:widowControl/>
        <w:adjustRightInd w:val="0"/>
        <w:snapToGrid w:val="0"/>
        <w:spacing w:line="360" w:lineRule="auto"/>
        <w:ind w:firstLineChars="200" w:firstLine="482"/>
        <w:outlineLvl w:val="1"/>
        <w:rPr>
          <w:rFonts w:hAnsi="宋体"/>
          <w:b/>
          <w:kern w:val="0"/>
          <w:sz w:val="24"/>
          <w:szCs w:val="24"/>
        </w:rPr>
      </w:pPr>
      <w:r w:rsidRPr="002C6E18">
        <w:rPr>
          <w:rFonts w:hAnsi="宋体" w:hint="eastAsia"/>
          <w:b/>
          <w:kern w:val="0"/>
          <w:sz w:val="24"/>
          <w:szCs w:val="24"/>
        </w:rPr>
        <w:t>（二）基金托管人的内部风险控制制度说明</w:t>
      </w:r>
    </w:p>
    <w:p w:rsidR="00783788" w:rsidRPr="002C6E18" w:rsidRDefault="002C6E18" w:rsidP="002C6E18">
      <w:pPr>
        <w:adjustRightInd w:val="0"/>
        <w:snapToGrid w:val="0"/>
        <w:spacing w:line="360" w:lineRule="auto"/>
        <w:ind w:firstLineChars="200" w:firstLine="480"/>
        <w:rPr>
          <w:sz w:val="24"/>
          <w:szCs w:val="24"/>
        </w:rPr>
      </w:pPr>
      <w:r w:rsidRPr="002C6E18">
        <w:rPr>
          <w:rFonts w:hint="eastAsia"/>
          <w:sz w:val="24"/>
          <w:szCs w:val="24"/>
        </w:rPr>
        <w:t>1</w:t>
      </w:r>
      <w:r w:rsidRPr="002C6E18">
        <w:rPr>
          <w:rFonts w:hint="eastAsia"/>
          <w:sz w:val="24"/>
          <w:szCs w:val="24"/>
        </w:rPr>
        <w:t>、内部控制目标</w:t>
      </w:r>
    </w:p>
    <w:p w:rsidR="00783788" w:rsidRPr="002C6E18" w:rsidRDefault="002C6E18" w:rsidP="002C6E18">
      <w:pPr>
        <w:adjustRightInd w:val="0"/>
        <w:snapToGrid w:val="0"/>
        <w:spacing w:line="360" w:lineRule="auto"/>
        <w:ind w:firstLineChars="200" w:firstLine="480"/>
        <w:rPr>
          <w:sz w:val="24"/>
          <w:szCs w:val="24"/>
        </w:rPr>
      </w:pPr>
      <w:r w:rsidRPr="002C6E18">
        <w:rPr>
          <w:rFonts w:hint="eastAsia"/>
          <w:sz w:val="24"/>
          <w:szCs w:val="24"/>
        </w:rPr>
        <w:t>严格遵守国家有关托管业务的法律法规、行业监管规章和行内有关管理规定</w:t>
      </w:r>
      <w:r w:rsidRPr="002C6E18">
        <w:rPr>
          <w:rFonts w:hint="eastAsia"/>
          <w:sz w:val="24"/>
          <w:szCs w:val="24"/>
        </w:rPr>
        <w:t>,</w:t>
      </w:r>
      <w:r w:rsidRPr="002C6E18">
        <w:rPr>
          <w:rFonts w:hint="eastAsia"/>
          <w:sz w:val="24"/>
          <w:szCs w:val="24"/>
        </w:rPr>
        <w:t>守法经营、规范运作、严格监察</w:t>
      </w:r>
      <w:r w:rsidRPr="002C6E18">
        <w:rPr>
          <w:rFonts w:hint="eastAsia"/>
          <w:sz w:val="24"/>
          <w:szCs w:val="24"/>
        </w:rPr>
        <w:t>,</w:t>
      </w:r>
      <w:r w:rsidRPr="002C6E18">
        <w:rPr>
          <w:rFonts w:hint="eastAsia"/>
          <w:sz w:val="24"/>
          <w:szCs w:val="24"/>
        </w:rPr>
        <w:t>确保业务的稳健运行</w:t>
      </w:r>
      <w:r w:rsidRPr="002C6E18">
        <w:rPr>
          <w:rFonts w:hint="eastAsia"/>
          <w:sz w:val="24"/>
          <w:szCs w:val="24"/>
        </w:rPr>
        <w:t>,</w:t>
      </w:r>
      <w:r w:rsidRPr="002C6E18">
        <w:rPr>
          <w:rFonts w:hint="eastAsia"/>
          <w:sz w:val="24"/>
          <w:szCs w:val="24"/>
        </w:rPr>
        <w:t>保证基金财产的安全完整</w:t>
      </w:r>
      <w:r w:rsidRPr="002C6E18">
        <w:rPr>
          <w:rFonts w:hint="eastAsia"/>
          <w:sz w:val="24"/>
          <w:szCs w:val="24"/>
        </w:rPr>
        <w:t>,</w:t>
      </w:r>
      <w:r w:rsidRPr="002C6E18">
        <w:rPr>
          <w:rFonts w:hint="eastAsia"/>
          <w:sz w:val="24"/>
          <w:szCs w:val="24"/>
        </w:rPr>
        <w:t>确保有关信息的真实、准确、完整、及时</w:t>
      </w:r>
      <w:r w:rsidRPr="002C6E18">
        <w:rPr>
          <w:rFonts w:hint="eastAsia"/>
          <w:sz w:val="24"/>
          <w:szCs w:val="24"/>
        </w:rPr>
        <w:t>,</w:t>
      </w:r>
      <w:r w:rsidRPr="002C6E18">
        <w:rPr>
          <w:rFonts w:hint="eastAsia"/>
          <w:sz w:val="24"/>
          <w:szCs w:val="24"/>
        </w:rPr>
        <w:t>保护基金份额持有人的合法权益。</w:t>
      </w:r>
    </w:p>
    <w:p w:rsidR="00783788" w:rsidRPr="002C6E18" w:rsidRDefault="002C6E18" w:rsidP="002C6E18">
      <w:pPr>
        <w:adjustRightInd w:val="0"/>
        <w:snapToGrid w:val="0"/>
        <w:spacing w:line="360" w:lineRule="auto"/>
        <w:ind w:firstLineChars="200" w:firstLine="480"/>
        <w:rPr>
          <w:sz w:val="24"/>
          <w:szCs w:val="24"/>
        </w:rPr>
      </w:pPr>
      <w:r w:rsidRPr="002C6E18">
        <w:rPr>
          <w:rFonts w:hint="eastAsia"/>
          <w:sz w:val="24"/>
          <w:szCs w:val="24"/>
        </w:rPr>
        <w:t>2</w:t>
      </w:r>
      <w:r w:rsidRPr="002C6E18">
        <w:rPr>
          <w:rFonts w:hint="eastAsia"/>
          <w:sz w:val="24"/>
          <w:szCs w:val="24"/>
        </w:rPr>
        <w:t>、内部控制组织结构</w:t>
      </w:r>
    </w:p>
    <w:p w:rsidR="00783788" w:rsidRPr="002C6E18" w:rsidRDefault="002C6E18" w:rsidP="002C6E18">
      <w:pPr>
        <w:adjustRightInd w:val="0"/>
        <w:snapToGrid w:val="0"/>
        <w:spacing w:line="360" w:lineRule="auto"/>
        <w:ind w:firstLineChars="200" w:firstLine="480"/>
        <w:rPr>
          <w:sz w:val="24"/>
          <w:szCs w:val="24"/>
        </w:rPr>
      </w:pPr>
      <w:r w:rsidRPr="002C6E18">
        <w:rPr>
          <w:sz w:val="24"/>
          <w:szCs w:val="24"/>
        </w:rPr>
        <w:t>风险管理委员会</w:t>
      </w:r>
      <w:r w:rsidRPr="002C6E18">
        <w:rPr>
          <w:rFonts w:hint="eastAsia"/>
          <w:sz w:val="24"/>
          <w:szCs w:val="24"/>
        </w:rPr>
        <w:t>总体负责中国农业银行的风险管理与内部控制工作</w:t>
      </w:r>
      <w:r w:rsidRPr="002C6E18">
        <w:rPr>
          <w:rFonts w:hint="eastAsia"/>
          <w:sz w:val="24"/>
          <w:szCs w:val="24"/>
        </w:rPr>
        <w:t>,</w:t>
      </w:r>
      <w:r w:rsidRPr="002C6E18">
        <w:rPr>
          <w:rFonts w:hint="eastAsia"/>
          <w:sz w:val="24"/>
          <w:szCs w:val="24"/>
        </w:rPr>
        <w:t>对托管业务风险管理和内部控制工作</w:t>
      </w:r>
      <w:r w:rsidRPr="002C6E18">
        <w:rPr>
          <w:sz w:val="24"/>
          <w:szCs w:val="24"/>
        </w:rPr>
        <w:t>进行监督和评价</w:t>
      </w:r>
      <w:r w:rsidRPr="002C6E18">
        <w:rPr>
          <w:rFonts w:hint="eastAsia"/>
          <w:sz w:val="24"/>
          <w:szCs w:val="24"/>
        </w:rPr>
        <w:t>。托管业务部专门设置了风险管理处</w:t>
      </w:r>
      <w:r w:rsidRPr="002C6E18">
        <w:rPr>
          <w:rFonts w:hint="eastAsia"/>
          <w:sz w:val="24"/>
          <w:szCs w:val="24"/>
        </w:rPr>
        <w:t>,</w:t>
      </w:r>
      <w:r w:rsidRPr="002C6E18">
        <w:rPr>
          <w:rFonts w:hint="eastAsia"/>
          <w:sz w:val="24"/>
          <w:szCs w:val="24"/>
        </w:rPr>
        <w:t>配备了专职内控监督人员负责托管业务的内控监督工作</w:t>
      </w:r>
      <w:r w:rsidRPr="002C6E18">
        <w:rPr>
          <w:rFonts w:hint="eastAsia"/>
          <w:sz w:val="24"/>
          <w:szCs w:val="24"/>
        </w:rPr>
        <w:t>,</w:t>
      </w:r>
      <w:r w:rsidRPr="002C6E18">
        <w:rPr>
          <w:rFonts w:hint="eastAsia"/>
          <w:sz w:val="24"/>
          <w:szCs w:val="24"/>
        </w:rPr>
        <w:t>独立行使监督稽核职权。</w:t>
      </w:r>
    </w:p>
    <w:p w:rsidR="00783788" w:rsidRPr="002C6E18" w:rsidRDefault="002C6E18" w:rsidP="002C6E18">
      <w:pPr>
        <w:adjustRightInd w:val="0"/>
        <w:snapToGrid w:val="0"/>
        <w:spacing w:line="360" w:lineRule="auto"/>
        <w:ind w:firstLineChars="200" w:firstLine="480"/>
        <w:rPr>
          <w:sz w:val="24"/>
          <w:szCs w:val="24"/>
        </w:rPr>
      </w:pPr>
      <w:r w:rsidRPr="002C6E18">
        <w:rPr>
          <w:rFonts w:hint="eastAsia"/>
          <w:sz w:val="24"/>
          <w:szCs w:val="24"/>
        </w:rPr>
        <w:t>3</w:t>
      </w:r>
      <w:r w:rsidRPr="002C6E18">
        <w:rPr>
          <w:rFonts w:hint="eastAsia"/>
          <w:sz w:val="24"/>
          <w:szCs w:val="24"/>
        </w:rPr>
        <w:t>、内部控制制度及措施</w:t>
      </w:r>
    </w:p>
    <w:p w:rsidR="00783788" w:rsidRDefault="002C6E18">
      <w:pPr>
        <w:snapToGrid w:val="0"/>
        <w:spacing w:line="360" w:lineRule="auto"/>
        <w:ind w:firstLine="540"/>
        <w:rPr>
          <w:rFonts w:ascii="宋体" w:hAnsi="宋体"/>
          <w:szCs w:val="21"/>
        </w:rPr>
      </w:pPr>
      <w:r w:rsidRPr="002C6E18">
        <w:rPr>
          <w:rFonts w:hint="eastAsia"/>
          <w:sz w:val="24"/>
          <w:szCs w:val="24"/>
        </w:rPr>
        <w:t>具备系统、完善的制度控制体系，建立了管理制度、控制制度、岗位职责、业务操作流程，可以保证托管业务的规范操作和顺利进行；业务人员具备从业资格；业务管理实行严格的复核、审核、检查制度，授权工作实行集中控制，业务印章按规程保管、存放、使用，账户资料严格保管，制约机制严格有效；业务操作区专门设置，封闭管理</w:t>
      </w:r>
      <w:r w:rsidRPr="002C6E18">
        <w:rPr>
          <w:rFonts w:hint="eastAsia"/>
          <w:sz w:val="24"/>
          <w:szCs w:val="24"/>
        </w:rPr>
        <w:t>,</w:t>
      </w:r>
      <w:r w:rsidRPr="002C6E18">
        <w:rPr>
          <w:rFonts w:hint="eastAsia"/>
          <w:sz w:val="24"/>
          <w:szCs w:val="24"/>
        </w:rPr>
        <w:t>实施音像监控；业务信息由专职信息披露人负责</w:t>
      </w:r>
      <w:r w:rsidRPr="002C6E18">
        <w:rPr>
          <w:rFonts w:hint="eastAsia"/>
          <w:sz w:val="24"/>
          <w:szCs w:val="24"/>
        </w:rPr>
        <w:t>,</w:t>
      </w:r>
      <w:r w:rsidRPr="002C6E18">
        <w:rPr>
          <w:rFonts w:hint="eastAsia"/>
          <w:sz w:val="24"/>
          <w:szCs w:val="24"/>
        </w:rPr>
        <w:t>防止泄密；业务实现自动化操作，防止人为事故的发生，技术系统完整、独立。</w:t>
      </w:r>
    </w:p>
    <w:p w:rsidR="00783788" w:rsidRPr="002C6E18" w:rsidRDefault="002C6E18" w:rsidP="002C6E18">
      <w:pPr>
        <w:widowControl/>
        <w:adjustRightInd w:val="0"/>
        <w:snapToGrid w:val="0"/>
        <w:spacing w:line="360" w:lineRule="auto"/>
        <w:ind w:firstLineChars="200" w:firstLine="482"/>
        <w:outlineLvl w:val="1"/>
        <w:rPr>
          <w:rFonts w:hAnsi="宋体"/>
          <w:b/>
          <w:kern w:val="0"/>
          <w:sz w:val="24"/>
          <w:szCs w:val="24"/>
        </w:rPr>
      </w:pPr>
      <w:r w:rsidRPr="002C6E18">
        <w:rPr>
          <w:rFonts w:hAnsi="宋体" w:hint="eastAsia"/>
          <w:b/>
          <w:kern w:val="0"/>
          <w:sz w:val="24"/>
          <w:szCs w:val="24"/>
        </w:rPr>
        <w:t>（三）基金托管人对基金管理人运作基金进行监督的方法和程序</w:t>
      </w:r>
    </w:p>
    <w:p w:rsidR="00783788" w:rsidRPr="002C6E18" w:rsidRDefault="002C6E18" w:rsidP="002C6E18">
      <w:pPr>
        <w:adjustRightInd w:val="0"/>
        <w:snapToGrid w:val="0"/>
        <w:spacing w:line="360" w:lineRule="auto"/>
        <w:ind w:firstLineChars="200" w:firstLine="480"/>
        <w:rPr>
          <w:sz w:val="24"/>
          <w:szCs w:val="24"/>
        </w:rPr>
      </w:pPr>
      <w:r w:rsidRPr="002C6E18">
        <w:rPr>
          <w:rFonts w:hint="eastAsia"/>
          <w:sz w:val="24"/>
          <w:szCs w:val="24"/>
        </w:rPr>
        <w:t>基金托管人通过参数设置将《基金法》、《运作办法》、基金合同、托管协议规定的投资比例和禁止投资品种输入监控系统，每日登录监控系统监督基金管理人的投资运作，并通过基金资金账户、基金管理人的投资指令等监督基金管理人的其他行为。</w:t>
      </w:r>
    </w:p>
    <w:p w:rsidR="00783788" w:rsidRPr="002C6E18" w:rsidRDefault="002C6E18" w:rsidP="002C6E18">
      <w:pPr>
        <w:adjustRightInd w:val="0"/>
        <w:snapToGrid w:val="0"/>
        <w:spacing w:line="360" w:lineRule="auto"/>
        <w:ind w:firstLineChars="200" w:firstLine="480"/>
        <w:rPr>
          <w:sz w:val="24"/>
          <w:szCs w:val="24"/>
        </w:rPr>
      </w:pPr>
      <w:r w:rsidRPr="002C6E18">
        <w:rPr>
          <w:rFonts w:hint="eastAsia"/>
          <w:sz w:val="24"/>
          <w:szCs w:val="24"/>
        </w:rPr>
        <w:t>当基金出现异常交易行为时，基金托管人应当针对不同情况进行以下方式的处理：</w:t>
      </w:r>
    </w:p>
    <w:p w:rsidR="00783788" w:rsidRPr="002C6E18" w:rsidRDefault="002C6E18" w:rsidP="002C6E18">
      <w:pPr>
        <w:adjustRightInd w:val="0"/>
        <w:snapToGrid w:val="0"/>
        <w:spacing w:line="360" w:lineRule="auto"/>
        <w:ind w:firstLineChars="200" w:firstLine="480"/>
        <w:rPr>
          <w:sz w:val="24"/>
          <w:szCs w:val="24"/>
        </w:rPr>
      </w:pPr>
      <w:r w:rsidRPr="002C6E18">
        <w:rPr>
          <w:rFonts w:hint="eastAsia"/>
          <w:sz w:val="24"/>
          <w:szCs w:val="24"/>
        </w:rPr>
        <w:t>1</w:t>
      </w:r>
      <w:r w:rsidRPr="002C6E18">
        <w:rPr>
          <w:rFonts w:hint="eastAsia"/>
          <w:sz w:val="24"/>
          <w:szCs w:val="24"/>
        </w:rPr>
        <w:t>、电话提示。对媒体和舆论反映集中的问题，电话提示基金管理人；</w:t>
      </w:r>
    </w:p>
    <w:p w:rsidR="00783788" w:rsidRPr="002C6E18" w:rsidRDefault="002C6E18" w:rsidP="002C6E18">
      <w:pPr>
        <w:adjustRightInd w:val="0"/>
        <w:snapToGrid w:val="0"/>
        <w:spacing w:line="360" w:lineRule="auto"/>
        <w:ind w:firstLineChars="200" w:firstLine="480"/>
        <w:rPr>
          <w:sz w:val="24"/>
          <w:szCs w:val="24"/>
        </w:rPr>
      </w:pPr>
      <w:r w:rsidRPr="002C6E18">
        <w:rPr>
          <w:rFonts w:hint="eastAsia"/>
          <w:sz w:val="24"/>
          <w:szCs w:val="24"/>
        </w:rPr>
        <w:t>2</w:t>
      </w:r>
      <w:r w:rsidRPr="002C6E18">
        <w:rPr>
          <w:rFonts w:hint="eastAsia"/>
          <w:sz w:val="24"/>
          <w:szCs w:val="24"/>
        </w:rPr>
        <w:t>、书面警示。对本基金投资比例接近超标、资金头寸不足等问题，以书面方式对基金管理人进行提示；</w:t>
      </w:r>
    </w:p>
    <w:p w:rsidR="00783788" w:rsidRPr="003C5A3A" w:rsidRDefault="002C6E18" w:rsidP="003C5A3A">
      <w:pPr>
        <w:adjustRightInd w:val="0"/>
        <w:snapToGrid w:val="0"/>
        <w:spacing w:line="360" w:lineRule="auto"/>
        <w:ind w:firstLineChars="200" w:firstLine="480"/>
        <w:rPr>
          <w:sz w:val="24"/>
          <w:szCs w:val="24"/>
        </w:rPr>
      </w:pPr>
      <w:r w:rsidRPr="002C6E18">
        <w:rPr>
          <w:rFonts w:hint="eastAsia"/>
          <w:sz w:val="24"/>
          <w:szCs w:val="24"/>
        </w:rPr>
        <w:t>3</w:t>
      </w:r>
      <w:r w:rsidRPr="002C6E18">
        <w:rPr>
          <w:rFonts w:hint="eastAsia"/>
          <w:sz w:val="24"/>
          <w:szCs w:val="24"/>
        </w:rPr>
        <w:t>、书面报告。对投资比例超标、清算资金透支以及其他涉嫌违规交易等行为，书面提示有关基金管理人并报中国证监会。</w:t>
      </w:r>
      <w:bookmarkEnd w:id="11"/>
      <w:bookmarkEnd w:id="12"/>
      <w:bookmarkEnd w:id="13"/>
    </w:p>
    <w:bookmarkEnd w:id="14"/>
    <w:p w:rsidR="00783788" w:rsidRDefault="00783788">
      <w:pPr>
        <w:adjustRightInd w:val="0"/>
        <w:snapToGrid w:val="0"/>
        <w:spacing w:line="360" w:lineRule="auto"/>
        <w:ind w:firstLineChars="200" w:firstLine="480"/>
        <w:rPr>
          <w:sz w:val="24"/>
        </w:rPr>
      </w:pPr>
    </w:p>
    <w:p w:rsidR="00783788" w:rsidRDefault="002C6E18">
      <w:pPr>
        <w:widowControl/>
        <w:adjustRightInd w:val="0"/>
        <w:snapToGrid w:val="0"/>
        <w:spacing w:beforeLines="100" w:before="240" w:afterLines="50" w:after="120" w:line="360" w:lineRule="auto"/>
        <w:ind w:firstLineChars="200" w:firstLine="602"/>
        <w:jc w:val="center"/>
        <w:outlineLvl w:val="0"/>
        <w:rPr>
          <w:rFonts w:ascii="宋体" w:hAnsi="宋体"/>
          <w:b/>
          <w:kern w:val="0"/>
          <w:sz w:val="30"/>
        </w:rPr>
      </w:pPr>
      <w:bookmarkStart w:id="15" w:name="_Toc109537383"/>
      <w:bookmarkStart w:id="16" w:name="_Toc382321316"/>
      <w:r>
        <w:rPr>
          <w:rFonts w:ascii="宋体" w:hAnsi="宋体" w:hint="eastAsia"/>
          <w:b/>
          <w:kern w:val="0"/>
          <w:sz w:val="30"/>
        </w:rPr>
        <w:t>五、相关服务机构</w:t>
      </w:r>
      <w:bookmarkEnd w:id="15"/>
      <w:bookmarkEnd w:id="16"/>
    </w:p>
    <w:p w:rsidR="00783788" w:rsidRDefault="002C6E18">
      <w:pPr>
        <w:widowControl/>
        <w:adjustRightInd w:val="0"/>
        <w:snapToGrid w:val="0"/>
        <w:spacing w:line="360" w:lineRule="auto"/>
        <w:ind w:firstLineChars="200" w:firstLine="482"/>
        <w:outlineLvl w:val="1"/>
        <w:rPr>
          <w:b/>
          <w:kern w:val="0"/>
          <w:sz w:val="24"/>
          <w:szCs w:val="24"/>
        </w:rPr>
      </w:pPr>
      <w:r>
        <w:rPr>
          <w:rFonts w:hAnsi="宋体"/>
          <w:b/>
          <w:kern w:val="0"/>
          <w:sz w:val="24"/>
          <w:szCs w:val="24"/>
        </w:rPr>
        <w:t>（一）基金份额销售机构</w:t>
      </w:r>
      <w:r>
        <w:rPr>
          <w:b/>
          <w:kern w:val="0"/>
          <w:sz w:val="24"/>
          <w:szCs w:val="24"/>
        </w:rPr>
        <w:t xml:space="preserve"> </w:t>
      </w:r>
    </w:p>
    <w:p w:rsidR="00783788" w:rsidRDefault="002C6E18">
      <w:pPr>
        <w:adjustRightInd w:val="0"/>
        <w:snapToGrid w:val="0"/>
        <w:spacing w:line="360" w:lineRule="auto"/>
        <w:ind w:firstLineChars="200" w:firstLine="480"/>
        <w:rPr>
          <w:sz w:val="24"/>
          <w:szCs w:val="24"/>
        </w:rPr>
      </w:pPr>
      <w:r>
        <w:rPr>
          <w:sz w:val="24"/>
          <w:szCs w:val="24"/>
        </w:rPr>
        <w:t>1</w:t>
      </w:r>
      <w:r>
        <w:rPr>
          <w:rFonts w:hAnsi="宋体"/>
          <w:sz w:val="24"/>
          <w:szCs w:val="24"/>
        </w:rPr>
        <w:t>、直销机构</w:t>
      </w:r>
      <w:r>
        <w:rPr>
          <w:sz w:val="24"/>
          <w:szCs w:val="24"/>
        </w:rPr>
        <w:t xml:space="preserve"> </w:t>
      </w:r>
    </w:p>
    <w:p w:rsidR="00783788" w:rsidRDefault="002C6E18">
      <w:pPr>
        <w:widowControl/>
        <w:adjustRightInd w:val="0"/>
        <w:snapToGrid w:val="0"/>
        <w:spacing w:line="360" w:lineRule="auto"/>
        <w:rPr>
          <w:kern w:val="0"/>
          <w:sz w:val="24"/>
          <w:szCs w:val="24"/>
        </w:rPr>
      </w:pPr>
      <w:r>
        <w:rPr>
          <w:kern w:val="0"/>
          <w:sz w:val="24"/>
          <w:szCs w:val="24"/>
        </w:rPr>
        <w:t xml:space="preserve">    </w:t>
      </w:r>
      <w:r>
        <w:rPr>
          <w:rFonts w:hAnsi="宋体"/>
          <w:kern w:val="0"/>
          <w:sz w:val="24"/>
          <w:szCs w:val="24"/>
        </w:rPr>
        <w:t>本基金直销机构为本公司以及本公司的网上直销交易平台。</w:t>
      </w:r>
    </w:p>
    <w:p w:rsidR="00783788" w:rsidRDefault="002C6E18">
      <w:pPr>
        <w:adjustRightInd w:val="0"/>
        <w:snapToGrid w:val="0"/>
        <w:spacing w:line="360" w:lineRule="auto"/>
        <w:rPr>
          <w:sz w:val="24"/>
          <w:szCs w:val="24"/>
        </w:rPr>
      </w:pPr>
      <w:r>
        <w:rPr>
          <w:sz w:val="24"/>
          <w:szCs w:val="24"/>
        </w:rPr>
        <w:t xml:space="preserve">    </w:t>
      </w:r>
      <w:r>
        <w:rPr>
          <w:rFonts w:hAnsi="宋体"/>
          <w:sz w:val="24"/>
          <w:szCs w:val="24"/>
        </w:rPr>
        <w:t>机构名称：交银施罗德基金管理有限公司</w:t>
      </w:r>
    </w:p>
    <w:p w:rsidR="00783788" w:rsidRDefault="002C6E18">
      <w:pPr>
        <w:adjustRightInd w:val="0"/>
        <w:snapToGrid w:val="0"/>
        <w:spacing w:line="360" w:lineRule="auto"/>
        <w:rPr>
          <w:sz w:val="24"/>
          <w:szCs w:val="24"/>
        </w:rPr>
      </w:pPr>
      <w:r>
        <w:rPr>
          <w:sz w:val="24"/>
          <w:szCs w:val="24"/>
        </w:rPr>
        <w:t xml:space="preserve">    </w:t>
      </w:r>
      <w:r>
        <w:rPr>
          <w:rFonts w:hAnsi="宋体"/>
          <w:sz w:val="24"/>
          <w:szCs w:val="24"/>
        </w:rPr>
        <w:t>住所：上海市浦东新区银城中路</w:t>
      </w:r>
      <w:r>
        <w:rPr>
          <w:sz w:val="24"/>
          <w:szCs w:val="24"/>
        </w:rPr>
        <w:t>188</w:t>
      </w:r>
      <w:r>
        <w:rPr>
          <w:rFonts w:hAnsi="宋体"/>
          <w:sz w:val="24"/>
          <w:szCs w:val="24"/>
        </w:rPr>
        <w:t>号交通银行大楼二层（裙）</w:t>
      </w:r>
    </w:p>
    <w:p w:rsidR="00783788" w:rsidRDefault="002C6E18">
      <w:pPr>
        <w:adjustRightInd w:val="0"/>
        <w:snapToGrid w:val="0"/>
        <w:spacing w:line="360" w:lineRule="auto"/>
        <w:ind w:firstLineChars="200" w:firstLine="480"/>
        <w:rPr>
          <w:sz w:val="24"/>
          <w:szCs w:val="24"/>
        </w:rPr>
      </w:pPr>
      <w:r>
        <w:rPr>
          <w:rFonts w:hAnsi="宋体"/>
          <w:sz w:val="24"/>
          <w:szCs w:val="24"/>
        </w:rPr>
        <w:t>办公地址：</w:t>
      </w:r>
      <w:r>
        <w:rPr>
          <w:rFonts w:hAnsi="宋体" w:hint="eastAsia"/>
          <w:sz w:val="24"/>
          <w:szCs w:val="24"/>
        </w:rPr>
        <w:t>上海浦东新区世纪大道</w:t>
      </w:r>
      <w:r>
        <w:rPr>
          <w:rFonts w:hAnsi="宋体" w:hint="eastAsia"/>
          <w:sz w:val="24"/>
          <w:szCs w:val="24"/>
        </w:rPr>
        <w:t>8</w:t>
      </w:r>
      <w:r>
        <w:rPr>
          <w:rFonts w:hAnsi="宋体" w:hint="eastAsia"/>
          <w:sz w:val="24"/>
          <w:szCs w:val="24"/>
        </w:rPr>
        <w:t>号国金中心二期</w:t>
      </w:r>
      <w:r>
        <w:rPr>
          <w:rFonts w:hAnsi="宋体" w:hint="eastAsia"/>
          <w:sz w:val="24"/>
          <w:szCs w:val="24"/>
        </w:rPr>
        <w:t>21-22</w:t>
      </w:r>
      <w:r>
        <w:rPr>
          <w:rFonts w:hAnsi="宋体" w:hint="eastAsia"/>
          <w:sz w:val="24"/>
          <w:szCs w:val="24"/>
        </w:rPr>
        <w:t>楼</w:t>
      </w:r>
    </w:p>
    <w:p w:rsidR="00783788" w:rsidRDefault="002C6E18">
      <w:pPr>
        <w:adjustRightInd w:val="0"/>
        <w:snapToGrid w:val="0"/>
        <w:spacing w:line="360" w:lineRule="auto"/>
        <w:ind w:firstLineChars="200" w:firstLine="480"/>
        <w:rPr>
          <w:sz w:val="24"/>
          <w:szCs w:val="24"/>
        </w:rPr>
      </w:pPr>
      <w:r>
        <w:rPr>
          <w:rFonts w:hAnsi="宋体"/>
          <w:sz w:val="24"/>
          <w:szCs w:val="24"/>
        </w:rPr>
        <w:t>法定代表人：</w:t>
      </w:r>
      <w:r w:rsidR="00233137">
        <w:rPr>
          <w:rFonts w:hAnsi="宋体" w:hint="eastAsia"/>
          <w:sz w:val="24"/>
          <w:szCs w:val="24"/>
        </w:rPr>
        <w:t>苏</w:t>
      </w:r>
      <w:r w:rsidR="00233137">
        <w:rPr>
          <w:rFonts w:hAnsi="宋体"/>
          <w:sz w:val="24"/>
          <w:szCs w:val="24"/>
        </w:rPr>
        <w:t>奋</w:t>
      </w:r>
      <w:r w:rsidR="00233137">
        <w:rPr>
          <w:rFonts w:hAnsi="宋体" w:hint="eastAsia"/>
          <w:sz w:val="24"/>
          <w:szCs w:val="24"/>
        </w:rPr>
        <w:t>（代任</w:t>
      </w:r>
      <w:r w:rsidR="00233137">
        <w:rPr>
          <w:rFonts w:hAnsi="宋体"/>
          <w:sz w:val="24"/>
          <w:szCs w:val="24"/>
        </w:rPr>
        <w:t>）</w:t>
      </w:r>
    </w:p>
    <w:p w:rsidR="00783788" w:rsidRDefault="002C6E18">
      <w:pPr>
        <w:adjustRightInd w:val="0"/>
        <w:snapToGrid w:val="0"/>
        <w:spacing w:line="360" w:lineRule="auto"/>
        <w:ind w:firstLineChars="200" w:firstLine="480"/>
        <w:rPr>
          <w:sz w:val="24"/>
          <w:szCs w:val="24"/>
        </w:rPr>
      </w:pPr>
      <w:r>
        <w:rPr>
          <w:rFonts w:hAnsi="宋体"/>
          <w:sz w:val="24"/>
          <w:szCs w:val="24"/>
        </w:rPr>
        <w:t>成立时间：</w:t>
      </w:r>
      <w:r>
        <w:rPr>
          <w:sz w:val="24"/>
          <w:szCs w:val="24"/>
        </w:rPr>
        <w:t>2005</w:t>
      </w:r>
      <w:r>
        <w:rPr>
          <w:rFonts w:hAnsi="宋体"/>
          <w:sz w:val="24"/>
          <w:szCs w:val="24"/>
        </w:rPr>
        <w:t>年</w:t>
      </w:r>
      <w:r>
        <w:rPr>
          <w:sz w:val="24"/>
          <w:szCs w:val="24"/>
        </w:rPr>
        <w:t>8</w:t>
      </w:r>
      <w:r>
        <w:rPr>
          <w:rFonts w:hAnsi="宋体"/>
          <w:sz w:val="24"/>
          <w:szCs w:val="24"/>
        </w:rPr>
        <w:t>月</w:t>
      </w:r>
      <w:r>
        <w:rPr>
          <w:sz w:val="24"/>
          <w:szCs w:val="24"/>
        </w:rPr>
        <w:t>4</w:t>
      </w:r>
      <w:r>
        <w:rPr>
          <w:rFonts w:hAnsi="宋体"/>
          <w:sz w:val="24"/>
          <w:szCs w:val="24"/>
        </w:rPr>
        <w:t>日</w:t>
      </w:r>
      <w:r>
        <w:rPr>
          <w:sz w:val="24"/>
          <w:szCs w:val="24"/>
        </w:rPr>
        <w:t xml:space="preserve"> </w:t>
      </w:r>
    </w:p>
    <w:p w:rsidR="00783788" w:rsidRDefault="002C6E18">
      <w:pPr>
        <w:adjustRightInd w:val="0"/>
        <w:snapToGrid w:val="0"/>
        <w:spacing w:line="360" w:lineRule="auto"/>
        <w:ind w:firstLineChars="200" w:firstLine="480"/>
        <w:rPr>
          <w:sz w:val="24"/>
          <w:szCs w:val="24"/>
        </w:rPr>
      </w:pPr>
      <w:r>
        <w:rPr>
          <w:rFonts w:hAnsi="宋体"/>
          <w:sz w:val="24"/>
          <w:szCs w:val="24"/>
        </w:rPr>
        <w:t>电话：（</w:t>
      </w:r>
      <w:r>
        <w:rPr>
          <w:sz w:val="24"/>
          <w:szCs w:val="24"/>
        </w:rPr>
        <w:t>021</w:t>
      </w:r>
      <w:r>
        <w:rPr>
          <w:rFonts w:hAnsi="宋体"/>
          <w:sz w:val="24"/>
          <w:szCs w:val="24"/>
        </w:rPr>
        <w:t>）</w:t>
      </w:r>
      <w:r>
        <w:rPr>
          <w:sz w:val="24"/>
          <w:szCs w:val="24"/>
        </w:rPr>
        <w:t>61055027</w:t>
      </w:r>
    </w:p>
    <w:p w:rsidR="00783788" w:rsidRDefault="002C6E18">
      <w:pPr>
        <w:adjustRightInd w:val="0"/>
        <w:snapToGrid w:val="0"/>
        <w:spacing w:line="360" w:lineRule="auto"/>
        <w:ind w:firstLineChars="200" w:firstLine="480"/>
        <w:rPr>
          <w:sz w:val="24"/>
          <w:szCs w:val="24"/>
        </w:rPr>
      </w:pPr>
      <w:r>
        <w:rPr>
          <w:rFonts w:hAnsi="宋体"/>
          <w:sz w:val="24"/>
          <w:szCs w:val="24"/>
        </w:rPr>
        <w:t>传真：（</w:t>
      </w:r>
      <w:r>
        <w:rPr>
          <w:sz w:val="24"/>
          <w:szCs w:val="24"/>
        </w:rPr>
        <w:t>021</w:t>
      </w:r>
      <w:r>
        <w:rPr>
          <w:rFonts w:hAnsi="宋体"/>
          <w:sz w:val="24"/>
          <w:szCs w:val="24"/>
        </w:rPr>
        <w:t>）</w:t>
      </w:r>
      <w:r>
        <w:rPr>
          <w:sz w:val="24"/>
          <w:szCs w:val="24"/>
        </w:rPr>
        <w:t>61055054</w:t>
      </w:r>
    </w:p>
    <w:p w:rsidR="00783788" w:rsidRDefault="002C6E18">
      <w:pPr>
        <w:adjustRightInd w:val="0"/>
        <w:snapToGrid w:val="0"/>
        <w:spacing w:line="360" w:lineRule="auto"/>
        <w:ind w:firstLineChars="200" w:firstLine="480"/>
        <w:rPr>
          <w:sz w:val="24"/>
          <w:szCs w:val="24"/>
        </w:rPr>
      </w:pPr>
      <w:r>
        <w:rPr>
          <w:rFonts w:hAnsi="宋体"/>
          <w:sz w:val="24"/>
          <w:szCs w:val="24"/>
        </w:rPr>
        <w:t>联系人：许野</w:t>
      </w:r>
      <w:r>
        <w:rPr>
          <w:sz w:val="24"/>
          <w:szCs w:val="24"/>
        </w:rPr>
        <w:t xml:space="preserve">  </w:t>
      </w:r>
    </w:p>
    <w:p w:rsidR="00783788" w:rsidRDefault="002C6E18">
      <w:pPr>
        <w:adjustRightInd w:val="0"/>
        <w:snapToGrid w:val="0"/>
        <w:spacing w:line="360" w:lineRule="auto"/>
        <w:ind w:firstLineChars="200" w:firstLine="480"/>
        <w:rPr>
          <w:sz w:val="24"/>
          <w:szCs w:val="24"/>
        </w:rPr>
      </w:pPr>
      <w:r>
        <w:rPr>
          <w:rFonts w:hAnsi="宋体"/>
          <w:sz w:val="24"/>
          <w:szCs w:val="24"/>
        </w:rPr>
        <w:t>客户服务电话：</w:t>
      </w:r>
      <w:r>
        <w:rPr>
          <w:sz w:val="24"/>
          <w:szCs w:val="24"/>
        </w:rPr>
        <w:t>400-700-5000</w:t>
      </w:r>
      <w:r>
        <w:rPr>
          <w:rFonts w:hAnsi="宋体"/>
          <w:sz w:val="24"/>
          <w:szCs w:val="24"/>
        </w:rPr>
        <w:t>（免长途话费），（</w:t>
      </w:r>
      <w:r>
        <w:rPr>
          <w:sz w:val="24"/>
          <w:szCs w:val="24"/>
        </w:rPr>
        <w:t>021</w:t>
      </w:r>
      <w:r>
        <w:rPr>
          <w:rFonts w:hAnsi="宋体"/>
          <w:sz w:val="24"/>
          <w:szCs w:val="24"/>
        </w:rPr>
        <w:t>）</w:t>
      </w:r>
      <w:r>
        <w:rPr>
          <w:sz w:val="24"/>
          <w:szCs w:val="24"/>
        </w:rPr>
        <w:t>61055000</w:t>
      </w:r>
    </w:p>
    <w:p w:rsidR="00783788" w:rsidRDefault="002C6E18">
      <w:pPr>
        <w:adjustRightInd w:val="0"/>
        <w:snapToGrid w:val="0"/>
        <w:spacing w:line="360" w:lineRule="auto"/>
        <w:ind w:firstLineChars="200" w:firstLine="480"/>
        <w:rPr>
          <w:rStyle w:val="af2"/>
          <w:color w:val="auto"/>
          <w:sz w:val="24"/>
          <w:szCs w:val="24"/>
          <w:u w:val="none"/>
        </w:rPr>
      </w:pPr>
      <w:r>
        <w:rPr>
          <w:rFonts w:hAnsi="宋体"/>
          <w:sz w:val="24"/>
          <w:szCs w:val="24"/>
        </w:rPr>
        <w:t>网址：</w:t>
      </w:r>
      <w:r>
        <w:rPr>
          <w:rStyle w:val="af2"/>
          <w:color w:val="auto"/>
          <w:sz w:val="24"/>
          <w:szCs w:val="24"/>
          <w:u w:val="none"/>
        </w:rPr>
        <w:t>www.fund</w:t>
      </w:r>
      <w:r>
        <w:rPr>
          <w:rStyle w:val="af2"/>
          <w:rFonts w:hint="eastAsia"/>
          <w:color w:val="auto"/>
          <w:sz w:val="24"/>
          <w:szCs w:val="24"/>
          <w:u w:val="none"/>
        </w:rPr>
        <w:t>001</w:t>
      </w:r>
      <w:r>
        <w:rPr>
          <w:rStyle w:val="af2"/>
          <w:color w:val="auto"/>
          <w:sz w:val="24"/>
          <w:szCs w:val="24"/>
          <w:u w:val="none"/>
        </w:rPr>
        <w:t>.com</w:t>
      </w:r>
      <w:r>
        <w:rPr>
          <w:rStyle w:val="af2"/>
          <w:rFonts w:hAnsi="宋体"/>
          <w:color w:val="auto"/>
          <w:sz w:val="24"/>
          <w:szCs w:val="24"/>
          <w:u w:val="none"/>
        </w:rPr>
        <w:t>，</w:t>
      </w:r>
      <w:r>
        <w:rPr>
          <w:rStyle w:val="af2"/>
          <w:color w:val="auto"/>
          <w:sz w:val="24"/>
          <w:szCs w:val="24"/>
          <w:u w:val="none"/>
        </w:rPr>
        <w:t>www.bocomschroder.com</w:t>
      </w:r>
    </w:p>
    <w:p w:rsidR="00783788" w:rsidRDefault="002C6E18">
      <w:pPr>
        <w:widowControl/>
        <w:adjustRightInd w:val="0"/>
        <w:snapToGrid w:val="0"/>
        <w:spacing w:line="360" w:lineRule="auto"/>
        <w:ind w:firstLineChars="200" w:firstLine="480"/>
        <w:rPr>
          <w:rStyle w:val="af2"/>
          <w:color w:val="auto"/>
          <w:kern w:val="0"/>
          <w:sz w:val="24"/>
          <w:szCs w:val="24"/>
          <w:u w:val="none"/>
        </w:rPr>
      </w:pPr>
      <w:r>
        <w:rPr>
          <w:rFonts w:hAnsi="宋体"/>
          <w:kern w:val="0"/>
          <w:sz w:val="24"/>
          <w:szCs w:val="24"/>
        </w:rPr>
        <w:t>个人投资者可以通过本公司网上直销交易平台办理开户、本基金的申购、赎回</w:t>
      </w:r>
      <w:r>
        <w:rPr>
          <w:rFonts w:hAnsi="宋体" w:hint="eastAsia"/>
          <w:kern w:val="0"/>
          <w:sz w:val="24"/>
          <w:szCs w:val="24"/>
        </w:rPr>
        <w:t>、定期定额投资、转换</w:t>
      </w:r>
      <w:r>
        <w:rPr>
          <w:rFonts w:hAnsi="宋体"/>
          <w:kern w:val="0"/>
          <w:sz w:val="24"/>
          <w:szCs w:val="24"/>
        </w:rPr>
        <w:t>等业务，具体交易细则请参阅本公司网站。网上直销交易平台网址：</w:t>
      </w:r>
      <w:r>
        <w:rPr>
          <w:sz w:val="24"/>
          <w:szCs w:val="24"/>
        </w:rPr>
        <w:t>www.fund</w:t>
      </w:r>
      <w:r>
        <w:rPr>
          <w:rFonts w:hint="eastAsia"/>
          <w:sz w:val="24"/>
          <w:szCs w:val="24"/>
        </w:rPr>
        <w:t>001</w:t>
      </w:r>
      <w:r>
        <w:rPr>
          <w:sz w:val="24"/>
          <w:szCs w:val="24"/>
        </w:rPr>
        <w:t>.com</w:t>
      </w:r>
      <w:r>
        <w:rPr>
          <w:rStyle w:val="af2"/>
          <w:rFonts w:hAnsi="宋体"/>
          <w:color w:val="auto"/>
          <w:sz w:val="24"/>
          <w:szCs w:val="24"/>
          <w:u w:val="none"/>
        </w:rPr>
        <w:t>，</w:t>
      </w:r>
      <w:hyperlink r:id="rId9" w:history="1">
        <w:r>
          <w:rPr>
            <w:rStyle w:val="af2"/>
            <w:color w:val="auto"/>
            <w:sz w:val="24"/>
            <w:szCs w:val="24"/>
            <w:u w:val="none"/>
          </w:rPr>
          <w:t>www.bocomschroder.com</w:t>
        </w:r>
      </w:hyperlink>
      <w:r>
        <w:rPr>
          <w:rStyle w:val="af2"/>
          <w:rFonts w:hAnsi="宋体"/>
          <w:color w:val="auto"/>
          <w:sz w:val="24"/>
          <w:szCs w:val="24"/>
          <w:u w:val="none"/>
        </w:rPr>
        <w:t>。</w:t>
      </w:r>
    </w:p>
    <w:p w:rsidR="00783788" w:rsidRDefault="002C6E18">
      <w:pPr>
        <w:adjustRightInd w:val="0"/>
        <w:snapToGrid w:val="0"/>
        <w:spacing w:line="360" w:lineRule="auto"/>
        <w:ind w:firstLineChars="200" w:firstLine="480"/>
        <w:rPr>
          <w:sz w:val="24"/>
        </w:rPr>
      </w:pPr>
      <w:r>
        <w:rPr>
          <w:sz w:val="24"/>
        </w:rPr>
        <w:t>2</w:t>
      </w:r>
      <w:r>
        <w:rPr>
          <w:rFonts w:hAnsi="宋体"/>
          <w:sz w:val="24"/>
        </w:rPr>
        <w:t>、代销机构</w:t>
      </w:r>
    </w:p>
    <w:p w:rsidR="00783788" w:rsidRDefault="002C6E18">
      <w:pPr>
        <w:spacing w:line="360" w:lineRule="auto"/>
        <w:ind w:firstLineChars="200" w:firstLine="480"/>
        <w:rPr>
          <w:sz w:val="24"/>
          <w:szCs w:val="24"/>
        </w:rPr>
      </w:pPr>
      <w:r>
        <w:rPr>
          <w:rFonts w:hint="eastAsia"/>
          <w:sz w:val="24"/>
          <w:szCs w:val="24"/>
        </w:rPr>
        <w:t>（</w:t>
      </w:r>
      <w:r>
        <w:rPr>
          <w:rFonts w:hint="eastAsia"/>
          <w:sz w:val="24"/>
          <w:szCs w:val="24"/>
        </w:rPr>
        <w:t>1</w:t>
      </w:r>
      <w:r>
        <w:rPr>
          <w:rFonts w:hint="eastAsia"/>
          <w:sz w:val="24"/>
          <w:szCs w:val="24"/>
        </w:rPr>
        <w:t>）</w:t>
      </w:r>
      <w:r>
        <w:rPr>
          <w:rFonts w:hint="eastAsia"/>
          <w:sz w:val="24"/>
          <w:szCs w:val="24"/>
        </w:rPr>
        <w:t xml:space="preserve"> </w:t>
      </w:r>
      <w:r>
        <w:rPr>
          <w:rFonts w:hint="eastAsia"/>
          <w:sz w:val="24"/>
          <w:szCs w:val="24"/>
        </w:rPr>
        <w:t>中国农业银行股份有限公司</w:t>
      </w:r>
    </w:p>
    <w:p w:rsidR="00783788" w:rsidRDefault="002C6E18">
      <w:pPr>
        <w:spacing w:line="360" w:lineRule="auto"/>
        <w:ind w:firstLineChars="200" w:firstLine="480"/>
        <w:rPr>
          <w:sz w:val="24"/>
          <w:szCs w:val="24"/>
        </w:rPr>
      </w:pPr>
      <w:r>
        <w:rPr>
          <w:rFonts w:hint="eastAsia"/>
          <w:sz w:val="24"/>
          <w:szCs w:val="24"/>
        </w:rPr>
        <w:t>住所：北京市东城区建国门内大街</w:t>
      </w:r>
      <w:r>
        <w:rPr>
          <w:rFonts w:hint="eastAsia"/>
          <w:sz w:val="24"/>
          <w:szCs w:val="24"/>
        </w:rPr>
        <w:t>69</w:t>
      </w:r>
      <w:r>
        <w:rPr>
          <w:rFonts w:hint="eastAsia"/>
          <w:sz w:val="24"/>
          <w:szCs w:val="24"/>
        </w:rPr>
        <w:t>号</w:t>
      </w:r>
    </w:p>
    <w:p w:rsidR="00783788" w:rsidRDefault="002C6E18">
      <w:pPr>
        <w:spacing w:line="360" w:lineRule="auto"/>
        <w:ind w:firstLineChars="200" w:firstLine="480"/>
        <w:rPr>
          <w:sz w:val="24"/>
          <w:szCs w:val="24"/>
        </w:rPr>
      </w:pPr>
      <w:r>
        <w:rPr>
          <w:rFonts w:hint="eastAsia"/>
          <w:sz w:val="24"/>
          <w:szCs w:val="24"/>
        </w:rPr>
        <w:t>办公地址：北京市东城区建国门内大街</w:t>
      </w:r>
      <w:r>
        <w:rPr>
          <w:rFonts w:hint="eastAsia"/>
          <w:sz w:val="24"/>
          <w:szCs w:val="24"/>
        </w:rPr>
        <w:t>69</w:t>
      </w:r>
      <w:r>
        <w:rPr>
          <w:rFonts w:hint="eastAsia"/>
          <w:sz w:val="24"/>
          <w:szCs w:val="24"/>
        </w:rPr>
        <w:t>号</w:t>
      </w:r>
    </w:p>
    <w:p w:rsidR="00783788" w:rsidRDefault="002C6E18">
      <w:pPr>
        <w:spacing w:line="360" w:lineRule="auto"/>
        <w:ind w:firstLineChars="200" w:firstLine="480"/>
        <w:rPr>
          <w:sz w:val="24"/>
          <w:szCs w:val="24"/>
        </w:rPr>
      </w:pPr>
      <w:r>
        <w:rPr>
          <w:rFonts w:hint="eastAsia"/>
          <w:sz w:val="24"/>
          <w:szCs w:val="24"/>
        </w:rPr>
        <w:t>法定代表人：刘士余</w:t>
      </w:r>
    </w:p>
    <w:p w:rsidR="00783788" w:rsidRDefault="002C6E18">
      <w:pPr>
        <w:spacing w:line="360" w:lineRule="auto"/>
        <w:ind w:firstLineChars="200" w:firstLine="480"/>
        <w:rPr>
          <w:sz w:val="24"/>
          <w:szCs w:val="24"/>
        </w:rPr>
      </w:pPr>
      <w:r>
        <w:rPr>
          <w:rFonts w:hint="eastAsia"/>
          <w:sz w:val="24"/>
          <w:szCs w:val="24"/>
        </w:rPr>
        <w:t>传真：（</w:t>
      </w:r>
      <w:r>
        <w:rPr>
          <w:rFonts w:hint="eastAsia"/>
          <w:sz w:val="24"/>
          <w:szCs w:val="24"/>
        </w:rPr>
        <w:t>010</w:t>
      </w:r>
      <w:r>
        <w:rPr>
          <w:rFonts w:hint="eastAsia"/>
          <w:sz w:val="24"/>
          <w:szCs w:val="24"/>
        </w:rPr>
        <w:t>）</w:t>
      </w:r>
      <w:r>
        <w:rPr>
          <w:rFonts w:hint="eastAsia"/>
          <w:sz w:val="24"/>
          <w:szCs w:val="24"/>
        </w:rPr>
        <w:t>85109219</w:t>
      </w:r>
    </w:p>
    <w:p w:rsidR="00783788" w:rsidRDefault="002C6E18">
      <w:pPr>
        <w:spacing w:line="360" w:lineRule="auto"/>
        <w:ind w:firstLineChars="200" w:firstLine="480"/>
        <w:rPr>
          <w:sz w:val="24"/>
          <w:szCs w:val="24"/>
        </w:rPr>
      </w:pPr>
      <w:r>
        <w:rPr>
          <w:rFonts w:hint="eastAsia"/>
          <w:sz w:val="24"/>
          <w:szCs w:val="24"/>
        </w:rPr>
        <w:t>客户服务电话：</w:t>
      </w:r>
      <w:r>
        <w:rPr>
          <w:rFonts w:hint="eastAsia"/>
          <w:sz w:val="24"/>
          <w:szCs w:val="24"/>
        </w:rPr>
        <w:t>95599</w:t>
      </w:r>
    </w:p>
    <w:p w:rsidR="00783788" w:rsidRDefault="002C6E18">
      <w:pPr>
        <w:spacing w:line="360" w:lineRule="auto"/>
        <w:ind w:firstLineChars="200" w:firstLine="480"/>
        <w:rPr>
          <w:sz w:val="24"/>
          <w:szCs w:val="24"/>
        </w:rPr>
      </w:pPr>
      <w:r>
        <w:rPr>
          <w:rFonts w:hint="eastAsia"/>
          <w:sz w:val="24"/>
          <w:szCs w:val="24"/>
        </w:rPr>
        <w:t>网址：</w:t>
      </w:r>
      <w:r>
        <w:rPr>
          <w:rFonts w:hint="eastAsia"/>
          <w:sz w:val="24"/>
          <w:szCs w:val="24"/>
        </w:rPr>
        <w:t>www.abchina.com</w:t>
      </w:r>
    </w:p>
    <w:p w:rsidR="00783788" w:rsidRDefault="002C6E18">
      <w:pPr>
        <w:spacing w:line="360" w:lineRule="auto"/>
        <w:ind w:firstLineChars="200" w:firstLine="480"/>
        <w:rPr>
          <w:sz w:val="24"/>
          <w:szCs w:val="24"/>
        </w:rPr>
      </w:pPr>
      <w:r>
        <w:rPr>
          <w:rFonts w:hint="eastAsia"/>
          <w:sz w:val="24"/>
          <w:szCs w:val="24"/>
        </w:rPr>
        <w:t>（</w:t>
      </w:r>
      <w:r>
        <w:rPr>
          <w:rFonts w:hint="eastAsia"/>
          <w:sz w:val="24"/>
          <w:szCs w:val="24"/>
        </w:rPr>
        <w:t>2</w:t>
      </w:r>
      <w:r>
        <w:rPr>
          <w:rFonts w:hint="eastAsia"/>
          <w:sz w:val="24"/>
          <w:szCs w:val="24"/>
        </w:rPr>
        <w:t>）</w:t>
      </w:r>
      <w:r>
        <w:rPr>
          <w:rFonts w:hint="eastAsia"/>
          <w:sz w:val="24"/>
          <w:szCs w:val="24"/>
        </w:rPr>
        <w:t xml:space="preserve"> </w:t>
      </w:r>
      <w:r>
        <w:rPr>
          <w:rFonts w:hint="eastAsia"/>
          <w:sz w:val="24"/>
          <w:szCs w:val="24"/>
        </w:rPr>
        <w:t>交通银行股份有限公司</w:t>
      </w:r>
      <w:r>
        <w:rPr>
          <w:rFonts w:hint="eastAsia"/>
          <w:sz w:val="24"/>
          <w:szCs w:val="24"/>
        </w:rPr>
        <w:t xml:space="preserve">  </w:t>
      </w:r>
    </w:p>
    <w:p w:rsidR="00783788" w:rsidRDefault="002C6E18">
      <w:pPr>
        <w:spacing w:line="360" w:lineRule="auto"/>
        <w:ind w:firstLineChars="200" w:firstLine="480"/>
        <w:rPr>
          <w:sz w:val="24"/>
          <w:szCs w:val="24"/>
        </w:rPr>
      </w:pPr>
      <w:r>
        <w:rPr>
          <w:rFonts w:hint="eastAsia"/>
          <w:sz w:val="24"/>
          <w:szCs w:val="24"/>
        </w:rPr>
        <w:t>住所：上海市浦东新区银城中路</w:t>
      </w:r>
      <w:r>
        <w:rPr>
          <w:rFonts w:hint="eastAsia"/>
          <w:sz w:val="24"/>
          <w:szCs w:val="24"/>
        </w:rPr>
        <w:t>188</w:t>
      </w:r>
      <w:r>
        <w:rPr>
          <w:rFonts w:hint="eastAsia"/>
          <w:sz w:val="24"/>
          <w:szCs w:val="24"/>
        </w:rPr>
        <w:t>号</w:t>
      </w:r>
      <w:r>
        <w:rPr>
          <w:rFonts w:hint="eastAsia"/>
          <w:sz w:val="24"/>
          <w:szCs w:val="24"/>
        </w:rPr>
        <w:t xml:space="preserve"> </w:t>
      </w:r>
    </w:p>
    <w:p w:rsidR="00783788" w:rsidRDefault="002C6E18">
      <w:pPr>
        <w:spacing w:line="360" w:lineRule="auto"/>
        <w:ind w:firstLineChars="200" w:firstLine="480"/>
        <w:rPr>
          <w:sz w:val="24"/>
          <w:szCs w:val="24"/>
        </w:rPr>
      </w:pPr>
      <w:r>
        <w:rPr>
          <w:rFonts w:hint="eastAsia"/>
          <w:sz w:val="24"/>
          <w:szCs w:val="24"/>
        </w:rPr>
        <w:t>办公地址：上海市浦东新区银城中路</w:t>
      </w:r>
      <w:r>
        <w:rPr>
          <w:rFonts w:hint="eastAsia"/>
          <w:sz w:val="24"/>
          <w:szCs w:val="24"/>
        </w:rPr>
        <w:t>188</w:t>
      </w:r>
      <w:r>
        <w:rPr>
          <w:rFonts w:hint="eastAsia"/>
          <w:sz w:val="24"/>
          <w:szCs w:val="24"/>
        </w:rPr>
        <w:t>号</w:t>
      </w:r>
    </w:p>
    <w:p w:rsidR="00783788" w:rsidRDefault="002C6E18">
      <w:pPr>
        <w:spacing w:line="360" w:lineRule="auto"/>
        <w:ind w:firstLineChars="200" w:firstLine="480"/>
        <w:rPr>
          <w:sz w:val="24"/>
          <w:szCs w:val="24"/>
        </w:rPr>
      </w:pPr>
      <w:r>
        <w:rPr>
          <w:rFonts w:hint="eastAsia"/>
          <w:sz w:val="24"/>
          <w:szCs w:val="24"/>
        </w:rPr>
        <w:t>法定代表人：牛锡明</w:t>
      </w:r>
    </w:p>
    <w:p w:rsidR="00783788" w:rsidRDefault="002C6E18">
      <w:pPr>
        <w:spacing w:line="360" w:lineRule="auto"/>
        <w:ind w:firstLineChars="200" w:firstLine="480"/>
        <w:rPr>
          <w:sz w:val="24"/>
          <w:szCs w:val="24"/>
        </w:rPr>
      </w:pPr>
      <w:r>
        <w:rPr>
          <w:rFonts w:hint="eastAsia"/>
          <w:sz w:val="24"/>
          <w:szCs w:val="24"/>
        </w:rPr>
        <w:t>电话：（</w:t>
      </w:r>
      <w:r>
        <w:rPr>
          <w:rFonts w:hint="eastAsia"/>
          <w:sz w:val="24"/>
          <w:szCs w:val="24"/>
        </w:rPr>
        <w:t>021</w:t>
      </w:r>
      <w:r>
        <w:rPr>
          <w:rFonts w:hint="eastAsia"/>
          <w:sz w:val="24"/>
          <w:szCs w:val="24"/>
        </w:rPr>
        <w:t>）</w:t>
      </w:r>
      <w:r>
        <w:rPr>
          <w:rFonts w:hint="eastAsia"/>
          <w:sz w:val="24"/>
          <w:szCs w:val="24"/>
        </w:rPr>
        <w:t xml:space="preserve">58781234 </w:t>
      </w:r>
    </w:p>
    <w:p w:rsidR="00783788" w:rsidRDefault="002C6E18">
      <w:pPr>
        <w:spacing w:line="360" w:lineRule="auto"/>
        <w:ind w:firstLineChars="200" w:firstLine="480"/>
        <w:rPr>
          <w:sz w:val="24"/>
          <w:szCs w:val="24"/>
        </w:rPr>
      </w:pPr>
      <w:r>
        <w:rPr>
          <w:rFonts w:hint="eastAsia"/>
          <w:sz w:val="24"/>
          <w:szCs w:val="24"/>
        </w:rPr>
        <w:t>传真：（</w:t>
      </w:r>
      <w:r>
        <w:rPr>
          <w:rFonts w:hint="eastAsia"/>
          <w:sz w:val="24"/>
          <w:szCs w:val="24"/>
        </w:rPr>
        <w:t>021</w:t>
      </w:r>
      <w:r>
        <w:rPr>
          <w:rFonts w:hint="eastAsia"/>
          <w:sz w:val="24"/>
          <w:szCs w:val="24"/>
        </w:rPr>
        <w:t>）</w:t>
      </w:r>
      <w:r>
        <w:rPr>
          <w:rFonts w:hint="eastAsia"/>
          <w:sz w:val="24"/>
          <w:szCs w:val="24"/>
        </w:rPr>
        <w:t xml:space="preserve">58408483 </w:t>
      </w:r>
    </w:p>
    <w:p w:rsidR="00783788" w:rsidRDefault="002C6E18">
      <w:pPr>
        <w:spacing w:line="360" w:lineRule="auto"/>
        <w:ind w:firstLineChars="200" w:firstLine="480"/>
        <w:rPr>
          <w:sz w:val="24"/>
          <w:szCs w:val="24"/>
        </w:rPr>
      </w:pPr>
      <w:r>
        <w:rPr>
          <w:rFonts w:hint="eastAsia"/>
          <w:sz w:val="24"/>
          <w:szCs w:val="24"/>
        </w:rPr>
        <w:t>联系人：曹榕</w:t>
      </w:r>
    </w:p>
    <w:p w:rsidR="00783788" w:rsidRDefault="002C6E18">
      <w:pPr>
        <w:spacing w:line="360" w:lineRule="auto"/>
        <w:ind w:firstLineChars="200" w:firstLine="480"/>
        <w:rPr>
          <w:sz w:val="24"/>
          <w:szCs w:val="24"/>
        </w:rPr>
      </w:pPr>
      <w:r>
        <w:rPr>
          <w:rFonts w:hint="eastAsia"/>
          <w:sz w:val="24"/>
          <w:szCs w:val="24"/>
        </w:rPr>
        <w:t>客户服务电话：</w:t>
      </w:r>
      <w:r>
        <w:rPr>
          <w:rFonts w:hint="eastAsia"/>
          <w:sz w:val="24"/>
          <w:szCs w:val="24"/>
        </w:rPr>
        <w:t>95559</w:t>
      </w:r>
    </w:p>
    <w:p w:rsidR="00783788" w:rsidRDefault="002C6E18">
      <w:pPr>
        <w:spacing w:line="360" w:lineRule="auto"/>
        <w:ind w:firstLineChars="200" w:firstLine="480"/>
        <w:rPr>
          <w:sz w:val="24"/>
          <w:szCs w:val="24"/>
        </w:rPr>
      </w:pPr>
      <w:r>
        <w:rPr>
          <w:rFonts w:hint="eastAsia"/>
          <w:sz w:val="24"/>
          <w:szCs w:val="24"/>
        </w:rPr>
        <w:t>网址：</w:t>
      </w:r>
      <w:r>
        <w:rPr>
          <w:rFonts w:hint="eastAsia"/>
          <w:sz w:val="24"/>
          <w:szCs w:val="24"/>
        </w:rPr>
        <w:t>www.bankcomm.com</w:t>
      </w:r>
    </w:p>
    <w:p w:rsidR="00783788" w:rsidRDefault="002C6E18">
      <w:pPr>
        <w:spacing w:line="360" w:lineRule="auto"/>
        <w:ind w:firstLineChars="200" w:firstLine="480"/>
        <w:rPr>
          <w:sz w:val="24"/>
          <w:szCs w:val="24"/>
        </w:rPr>
      </w:pPr>
      <w:r>
        <w:rPr>
          <w:rFonts w:hint="eastAsia"/>
          <w:sz w:val="24"/>
          <w:szCs w:val="24"/>
        </w:rPr>
        <w:t>（</w:t>
      </w:r>
      <w:r>
        <w:rPr>
          <w:rFonts w:hint="eastAsia"/>
          <w:sz w:val="24"/>
          <w:szCs w:val="24"/>
        </w:rPr>
        <w:t>3</w:t>
      </w:r>
      <w:r>
        <w:rPr>
          <w:rFonts w:hint="eastAsia"/>
          <w:sz w:val="24"/>
          <w:szCs w:val="24"/>
        </w:rPr>
        <w:t>）</w:t>
      </w:r>
      <w:r>
        <w:rPr>
          <w:rFonts w:hint="eastAsia"/>
          <w:sz w:val="24"/>
          <w:szCs w:val="24"/>
        </w:rPr>
        <w:t xml:space="preserve"> </w:t>
      </w:r>
      <w:r>
        <w:rPr>
          <w:rFonts w:hint="eastAsia"/>
          <w:sz w:val="24"/>
          <w:szCs w:val="24"/>
        </w:rPr>
        <w:t>招商银行股份有限公司</w:t>
      </w:r>
    </w:p>
    <w:p w:rsidR="00783788" w:rsidRDefault="002C6E18">
      <w:pPr>
        <w:spacing w:line="360" w:lineRule="auto"/>
        <w:ind w:firstLineChars="200" w:firstLine="480"/>
        <w:rPr>
          <w:sz w:val="24"/>
          <w:szCs w:val="24"/>
        </w:rPr>
      </w:pPr>
      <w:r>
        <w:rPr>
          <w:rFonts w:hint="eastAsia"/>
          <w:sz w:val="24"/>
          <w:szCs w:val="24"/>
        </w:rPr>
        <w:t>住所：深圳市福田区深南大道</w:t>
      </w:r>
      <w:r>
        <w:rPr>
          <w:rFonts w:hint="eastAsia"/>
          <w:sz w:val="24"/>
          <w:szCs w:val="24"/>
        </w:rPr>
        <w:t>7088</w:t>
      </w:r>
      <w:r>
        <w:rPr>
          <w:rFonts w:hint="eastAsia"/>
          <w:sz w:val="24"/>
          <w:szCs w:val="24"/>
        </w:rPr>
        <w:t>号</w:t>
      </w:r>
    </w:p>
    <w:p w:rsidR="00783788" w:rsidRDefault="002C6E18">
      <w:pPr>
        <w:spacing w:line="360" w:lineRule="auto"/>
        <w:ind w:firstLineChars="200" w:firstLine="480"/>
        <w:rPr>
          <w:sz w:val="24"/>
          <w:szCs w:val="24"/>
        </w:rPr>
      </w:pPr>
      <w:r>
        <w:rPr>
          <w:rFonts w:hint="eastAsia"/>
          <w:sz w:val="24"/>
          <w:szCs w:val="24"/>
        </w:rPr>
        <w:t>办公地址：深圳市福田区深南大道</w:t>
      </w:r>
      <w:r>
        <w:rPr>
          <w:rFonts w:hint="eastAsia"/>
          <w:sz w:val="24"/>
          <w:szCs w:val="24"/>
        </w:rPr>
        <w:t>7088</w:t>
      </w:r>
      <w:r>
        <w:rPr>
          <w:rFonts w:hint="eastAsia"/>
          <w:sz w:val="24"/>
          <w:szCs w:val="24"/>
        </w:rPr>
        <w:t>号</w:t>
      </w:r>
    </w:p>
    <w:p w:rsidR="00783788" w:rsidRDefault="002C6E18">
      <w:pPr>
        <w:spacing w:line="360" w:lineRule="auto"/>
        <w:ind w:firstLineChars="200" w:firstLine="480"/>
        <w:rPr>
          <w:sz w:val="24"/>
          <w:szCs w:val="24"/>
        </w:rPr>
      </w:pPr>
      <w:r>
        <w:rPr>
          <w:rFonts w:hint="eastAsia"/>
          <w:sz w:val="24"/>
          <w:szCs w:val="24"/>
        </w:rPr>
        <w:t>法定代表人：李建红</w:t>
      </w:r>
    </w:p>
    <w:p w:rsidR="00783788" w:rsidRDefault="002C6E18">
      <w:pPr>
        <w:spacing w:line="360" w:lineRule="auto"/>
        <w:ind w:firstLineChars="200" w:firstLine="480"/>
        <w:rPr>
          <w:sz w:val="24"/>
          <w:szCs w:val="24"/>
        </w:rPr>
      </w:pPr>
      <w:r>
        <w:rPr>
          <w:rFonts w:hint="eastAsia"/>
          <w:sz w:val="24"/>
          <w:szCs w:val="24"/>
        </w:rPr>
        <w:t>电话：（</w:t>
      </w:r>
      <w:r>
        <w:rPr>
          <w:rFonts w:hint="eastAsia"/>
          <w:sz w:val="24"/>
          <w:szCs w:val="24"/>
        </w:rPr>
        <w:t>0755</w:t>
      </w:r>
      <w:r>
        <w:rPr>
          <w:rFonts w:hint="eastAsia"/>
          <w:sz w:val="24"/>
          <w:szCs w:val="24"/>
        </w:rPr>
        <w:t>）</w:t>
      </w:r>
      <w:r>
        <w:rPr>
          <w:rFonts w:hint="eastAsia"/>
          <w:sz w:val="24"/>
          <w:szCs w:val="24"/>
        </w:rPr>
        <w:t>83198888</w:t>
      </w:r>
    </w:p>
    <w:p w:rsidR="00783788" w:rsidRDefault="002C6E18">
      <w:pPr>
        <w:spacing w:line="360" w:lineRule="auto"/>
        <w:ind w:firstLineChars="200" w:firstLine="480"/>
        <w:rPr>
          <w:sz w:val="24"/>
          <w:szCs w:val="24"/>
        </w:rPr>
      </w:pPr>
      <w:r>
        <w:rPr>
          <w:rFonts w:hint="eastAsia"/>
          <w:sz w:val="24"/>
          <w:szCs w:val="24"/>
        </w:rPr>
        <w:t>传真：（</w:t>
      </w:r>
      <w:r>
        <w:rPr>
          <w:rFonts w:hint="eastAsia"/>
          <w:sz w:val="24"/>
          <w:szCs w:val="24"/>
        </w:rPr>
        <w:t>0755</w:t>
      </w:r>
      <w:r>
        <w:rPr>
          <w:rFonts w:hint="eastAsia"/>
          <w:sz w:val="24"/>
          <w:szCs w:val="24"/>
        </w:rPr>
        <w:t>）</w:t>
      </w:r>
      <w:r>
        <w:rPr>
          <w:rFonts w:hint="eastAsia"/>
          <w:sz w:val="24"/>
          <w:szCs w:val="24"/>
        </w:rPr>
        <w:t>83195109</w:t>
      </w:r>
    </w:p>
    <w:p w:rsidR="00783788" w:rsidRDefault="002C6E18">
      <w:pPr>
        <w:spacing w:line="360" w:lineRule="auto"/>
        <w:ind w:firstLineChars="200" w:firstLine="480"/>
        <w:rPr>
          <w:sz w:val="24"/>
          <w:szCs w:val="24"/>
        </w:rPr>
      </w:pPr>
      <w:r>
        <w:rPr>
          <w:rFonts w:hint="eastAsia"/>
          <w:sz w:val="24"/>
          <w:szCs w:val="24"/>
        </w:rPr>
        <w:t>联系人：邓炯鹏</w:t>
      </w:r>
    </w:p>
    <w:p w:rsidR="00783788" w:rsidRDefault="002C6E18">
      <w:pPr>
        <w:spacing w:line="360" w:lineRule="auto"/>
        <w:ind w:firstLineChars="200" w:firstLine="480"/>
        <w:rPr>
          <w:sz w:val="24"/>
          <w:szCs w:val="24"/>
        </w:rPr>
      </w:pPr>
      <w:r>
        <w:rPr>
          <w:rFonts w:hint="eastAsia"/>
          <w:sz w:val="24"/>
          <w:szCs w:val="24"/>
        </w:rPr>
        <w:t>客户服务电话：</w:t>
      </w:r>
      <w:r>
        <w:rPr>
          <w:rFonts w:hint="eastAsia"/>
          <w:sz w:val="24"/>
          <w:szCs w:val="24"/>
        </w:rPr>
        <w:t>95555</w:t>
      </w:r>
    </w:p>
    <w:p w:rsidR="00783788" w:rsidRDefault="002C6E18">
      <w:pPr>
        <w:spacing w:line="360" w:lineRule="auto"/>
        <w:ind w:firstLineChars="200" w:firstLine="480"/>
        <w:rPr>
          <w:sz w:val="24"/>
          <w:szCs w:val="24"/>
        </w:rPr>
      </w:pPr>
      <w:r>
        <w:rPr>
          <w:rFonts w:hint="eastAsia"/>
          <w:sz w:val="24"/>
          <w:szCs w:val="24"/>
        </w:rPr>
        <w:t>网址：</w:t>
      </w:r>
      <w:r>
        <w:rPr>
          <w:rFonts w:hint="eastAsia"/>
          <w:sz w:val="24"/>
          <w:szCs w:val="24"/>
        </w:rPr>
        <w:t>www.cmbchina.com</w:t>
      </w:r>
    </w:p>
    <w:p w:rsidR="00783788" w:rsidRDefault="002C6E18">
      <w:pPr>
        <w:spacing w:line="360" w:lineRule="auto"/>
        <w:ind w:firstLineChars="200" w:firstLine="480"/>
        <w:rPr>
          <w:sz w:val="24"/>
          <w:szCs w:val="24"/>
        </w:rPr>
      </w:pPr>
      <w:r>
        <w:rPr>
          <w:rFonts w:hint="eastAsia"/>
          <w:sz w:val="24"/>
          <w:szCs w:val="24"/>
        </w:rPr>
        <w:t>（</w:t>
      </w:r>
      <w:r>
        <w:rPr>
          <w:rFonts w:hint="eastAsia"/>
          <w:sz w:val="24"/>
          <w:szCs w:val="24"/>
        </w:rPr>
        <w:t>4</w:t>
      </w:r>
      <w:r>
        <w:rPr>
          <w:rFonts w:hint="eastAsia"/>
          <w:sz w:val="24"/>
          <w:szCs w:val="24"/>
        </w:rPr>
        <w:t>）</w:t>
      </w:r>
      <w:r>
        <w:rPr>
          <w:rFonts w:hint="eastAsia"/>
          <w:sz w:val="24"/>
          <w:szCs w:val="24"/>
        </w:rPr>
        <w:t xml:space="preserve"> </w:t>
      </w:r>
      <w:r>
        <w:rPr>
          <w:rFonts w:hint="eastAsia"/>
          <w:sz w:val="24"/>
          <w:szCs w:val="24"/>
        </w:rPr>
        <w:t>中信银行股份有限公司</w:t>
      </w:r>
    </w:p>
    <w:p w:rsidR="00783788" w:rsidRDefault="002C6E18">
      <w:pPr>
        <w:spacing w:line="360" w:lineRule="auto"/>
        <w:ind w:firstLineChars="200" w:firstLine="480"/>
        <w:rPr>
          <w:sz w:val="24"/>
          <w:szCs w:val="24"/>
        </w:rPr>
      </w:pPr>
      <w:r>
        <w:rPr>
          <w:rFonts w:hint="eastAsia"/>
          <w:sz w:val="24"/>
          <w:szCs w:val="24"/>
        </w:rPr>
        <w:t>住所：北京市东城区朝阳门北大街</w:t>
      </w:r>
      <w:r>
        <w:rPr>
          <w:rFonts w:hint="eastAsia"/>
          <w:sz w:val="24"/>
          <w:szCs w:val="24"/>
        </w:rPr>
        <w:t>8</w:t>
      </w:r>
      <w:r>
        <w:rPr>
          <w:rFonts w:hint="eastAsia"/>
          <w:sz w:val="24"/>
          <w:szCs w:val="24"/>
        </w:rPr>
        <w:t>号富华大厦</w:t>
      </w:r>
      <w:r>
        <w:rPr>
          <w:rFonts w:hint="eastAsia"/>
          <w:sz w:val="24"/>
          <w:szCs w:val="24"/>
        </w:rPr>
        <w:t>C</w:t>
      </w:r>
      <w:r>
        <w:rPr>
          <w:rFonts w:hint="eastAsia"/>
          <w:sz w:val="24"/>
          <w:szCs w:val="24"/>
        </w:rPr>
        <w:t>座</w:t>
      </w:r>
      <w:r>
        <w:rPr>
          <w:rFonts w:hint="eastAsia"/>
          <w:sz w:val="24"/>
          <w:szCs w:val="24"/>
        </w:rPr>
        <w:t xml:space="preserve">     </w:t>
      </w:r>
    </w:p>
    <w:p w:rsidR="00783788" w:rsidRDefault="002C6E18">
      <w:pPr>
        <w:spacing w:line="360" w:lineRule="auto"/>
        <w:ind w:firstLineChars="200" w:firstLine="480"/>
        <w:rPr>
          <w:sz w:val="24"/>
          <w:szCs w:val="24"/>
        </w:rPr>
      </w:pPr>
      <w:r>
        <w:rPr>
          <w:rFonts w:hint="eastAsia"/>
          <w:sz w:val="24"/>
          <w:szCs w:val="24"/>
        </w:rPr>
        <w:t>办公地址：北京市东城区朝阳门北大街</w:t>
      </w:r>
      <w:r>
        <w:rPr>
          <w:rFonts w:hint="eastAsia"/>
          <w:sz w:val="24"/>
          <w:szCs w:val="24"/>
        </w:rPr>
        <w:t>8</w:t>
      </w:r>
      <w:r>
        <w:rPr>
          <w:rFonts w:hint="eastAsia"/>
          <w:sz w:val="24"/>
          <w:szCs w:val="24"/>
        </w:rPr>
        <w:t>号富华大厦</w:t>
      </w:r>
      <w:r>
        <w:rPr>
          <w:rFonts w:hint="eastAsia"/>
          <w:sz w:val="24"/>
          <w:szCs w:val="24"/>
        </w:rPr>
        <w:t>C</w:t>
      </w:r>
      <w:r>
        <w:rPr>
          <w:rFonts w:hint="eastAsia"/>
          <w:sz w:val="24"/>
          <w:szCs w:val="24"/>
        </w:rPr>
        <w:t>座</w:t>
      </w:r>
      <w:r>
        <w:rPr>
          <w:rFonts w:hint="eastAsia"/>
          <w:sz w:val="24"/>
          <w:szCs w:val="24"/>
        </w:rPr>
        <w:t xml:space="preserve">     </w:t>
      </w:r>
    </w:p>
    <w:p w:rsidR="00783788" w:rsidRDefault="002C6E18">
      <w:pPr>
        <w:spacing w:line="360" w:lineRule="auto"/>
        <w:ind w:firstLineChars="200" w:firstLine="480"/>
        <w:rPr>
          <w:sz w:val="24"/>
          <w:szCs w:val="24"/>
        </w:rPr>
      </w:pPr>
      <w:r>
        <w:rPr>
          <w:rFonts w:hint="eastAsia"/>
          <w:sz w:val="24"/>
          <w:szCs w:val="24"/>
        </w:rPr>
        <w:t>法定代表人：常振明</w:t>
      </w:r>
    </w:p>
    <w:p w:rsidR="00783788" w:rsidRDefault="002C6E18">
      <w:pPr>
        <w:spacing w:line="360" w:lineRule="auto"/>
        <w:ind w:firstLineChars="200" w:firstLine="480"/>
        <w:rPr>
          <w:sz w:val="24"/>
          <w:szCs w:val="24"/>
        </w:rPr>
      </w:pPr>
      <w:r>
        <w:rPr>
          <w:rFonts w:hint="eastAsia"/>
          <w:sz w:val="24"/>
          <w:szCs w:val="24"/>
        </w:rPr>
        <w:t>电话：（</w:t>
      </w:r>
      <w:r>
        <w:rPr>
          <w:rFonts w:hint="eastAsia"/>
          <w:sz w:val="24"/>
          <w:szCs w:val="24"/>
        </w:rPr>
        <w:t>010</w:t>
      </w:r>
      <w:r>
        <w:rPr>
          <w:rFonts w:hint="eastAsia"/>
          <w:sz w:val="24"/>
          <w:szCs w:val="24"/>
        </w:rPr>
        <w:t>）</w:t>
      </w:r>
      <w:r>
        <w:rPr>
          <w:rFonts w:hint="eastAsia"/>
          <w:sz w:val="24"/>
          <w:szCs w:val="24"/>
        </w:rPr>
        <w:t>65557083</w:t>
      </w:r>
    </w:p>
    <w:p w:rsidR="00783788" w:rsidRDefault="002C6E18">
      <w:pPr>
        <w:spacing w:line="360" w:lineRule="auto"/>
        <w:ind w:firstLineChars="200" w:firstLine="480"/>
        <w:rPr>
          <w:sz w:val="24"/>
          <w:szCs w:val="24"/>
        </w:rPr>
      </w:pPr>
      <w:r>
        <w:rPr>
          <w:rFonts w:hint="eastAsia"/>
          <w:sz w:val="24"/>
          <w:szCs w:val="24"/>
        </w:rPr>
        <w:t>传真：（</w:t>
      </w:r>
      <w:r>
        <w:rPr>
          <w:rFonts w:hint="eastAsia"/>
          <w:sz w:val="24"/>
          <w:szCs w:val="24"/>
        </w:rPr>
        <w:t>010</w:t>
      </w:r>
      <w:r>
        <w:rPr>
          <w:rFonts w:hint="eastAsia"/>
          <w:sz w:val="24"/>
          <w:szCs w:val="24"/>
        </w:rPr>
        <w:t>）</w:t>
      </w:r>
      <w:r>
        <w:rPr>
          <w:rFonts w:hint="eastAsia"/>
          <w:sz w:val="24"/>
          <w:szCs w:val="24"/>
        </w:rPr>
        <w:t xml:space="preserve">65550827 </w:t>
      </w:r>
    </w:p>
    <w:p w:rsidR="00783788" w:rsidRDefault="002C6E18">
      <w:pPr>
        <w:spacing w:line="360" w:lineRule="auto"/>
        <w:ind w:firstLineChars="200" w:firstLine="480"/>
        <w:rPr>
          <w:sz w:val="24"/>
          <w:szCs w:val="24"/>
        </w:rPr>
      </w:pPr>
      <w:r>
        <w:rPr>
          <w:rFonts w:hint="eastAsia"/>
          <w:sz w:val="24"/>
          <w:szCs w:val="24"/>
        </w:rPr>
        <w:t>联系人：丰靖</w:t>
      </w:r>
    </w:p>
    <w:p w:rsidR="00783788" w:rsidRDefault="002C6E18">
      <w:pPr>
        <w:spacing w:line="360" w:lineRule="auto"/>
        <w:ind w:firstLineChars="200" w:firstLine="480"/>
        <w:rPr>
          <w:sz w:val="24"/>
          <w:szCs w:val="24"/>
        </w:rPr>
      </w:pPr>
      <w:r>
        <w:rPr>
          <w:rFonts w:hint="eastAsia"/>
          <w:sz w:val="24"/>
          <w:szCs w:val="24"/>
        </w:rPr>
        <w:t>客户服务电话：</w:t>
      </w:r>
      <w:r>
        <w:rPr>
          <w:rFonts w:hint="eastAsia"/>
          <w:sz w:val="24"/>
          <w:szCs w:val="24"/>
        </w:rPr>
        <w:t>95558</w:t>
      </w:r>
    </w:p>
    <w:p w:rsidR="00783788" w:rsidRDefault="002C6E18">
      <w:pPr>
        <w:spacing w:line="360" w:lineRule="auto"/>
        <w:ind w:firstLineChars="200" w:firstLine="480"/>
        <w:rPr>
          <w:sz w:val="24"/>
          <w:szCs w:val="24"/>
        </w:rPr>
      </w:pPr>
      <w:r>
        <w:rPr>
          <w:rFonts w:hint="eastAsia"/>
          <w:sz w:val="24"/>
          <w:szCs w:val="24"/>
        </w:rPr>
        <w:t>网址：</w:t>
      </w:r>
      <w:r>
        <w:rPr>
          <w:rFonts w:hint="eastAsia"/>
          <w:sz w:val="24"/>
          <w:szCs w:val="24"/>
        </w:rPr>
        <w:t>bank.ecitic.com</w:t>
      </w:r>
    </w:p>
    <w:p w:rsidR="00783788" w:rsidRDefault="002C6E18">
      <w:pPr>
        <w:spacing w:line="360" w:lineRule="auto"/>
        <w:ind w:firstLineChars="200" w:firstLine="480"/>
        <w:rPr>
          <w:sz w:val="24"/>
          <w:szCs w:val="24"/>
        </w:rPr>
      </w:pPr>
      <w:r>
        <w:rPr>
          <w:rFonts w:hint="eastAsia"/>
          <w:sz w:val="24"/>
          <w:szCs w:val="24"/>
        </w:rPr>
        <w:t>（</w:t>
      </w:r>
      <w:r>
        <w:rPr>
          <w:rFonts w:hint="eastAsia"/>
          <w:sz w:val="24"/>
          <w:szCs w:val="24"/>
        </w:rPr>
        <w:t>5</w:t>
      </w:r>
      <w:r>
        <w:rPr>
          <w:rFonts w:hint="eastAsia"/>
          <w:sz w:val="24"/>
          <w:szCs w:val="24"/>
        </w:rPr>
        <w:t>）江苏常熟农村商业银行股份有限公司</w:t>
      </w:r>
    </w:p>
    <w:p w:rsidR="00783788" w:rsidRDefault="002C6E18">
      <w:pPr>
        <w:spacing w:line="360" w:lineRule="auto"/>
        <w:ind w:firstLineChars="200" w:firstLine="480"/>
        <w:rPr>
          <w:sz w:val="24"/>
          <w:szCs w:val="24"/>
        </w:rPr>
      </w:pPr>
      <w:r>
        <w:rPr>
          <w:rFonts w:hint="eastAsia"/>
          <w:sz w:val="24"/>
          <w:szCs w:val="24"/>
        </w:rPr>
        <w:t>住所：江苏省常熟市新世纪大道</w:t>
      </w:r>
      <w:r>
        <w:rPr>
          <w:rFonts w:hint="eastAsia"/>
          <w:sz w:val="24"/>
          <w:szCs w:val="24"/>
        </w:rPr>
        <w:t>58</w:t>
      </w:r>
      <w:r>
        <w:rPr>
          <w:rFonts w:hint="eastAsia"/>
          <w:sz w:val="24"/>
          <w:szCs w:val="24"/>
        </w:rPr>
        <w:t>号</w:t>
      </w:r>
    </w:p>
    <w:p w:rsidR="00783788" w:rsidRDefault="002C6E18">
      <w:pPr>
        <w:spacing w:line="360" w:lineRule="auto"/>
        <w:ind w:firstLineChars="200" w:firstLine="480"/>
        <w:rPr>
          <w:sz w:val="24"/>
          <w:szCs w:val="24"/>
        </w:rPr>
      </w:pPr>
      <w:r>
        <w:rPr>
          <w:rFonts w:hint="eastAsia"/>
          <w:sz w:val="24"/>
          <w:szCs w:val="24"/>
        </w:rPr>
        <w:t>办公地址：江苏省常熟市新世纪大道</w:t>
      </w:r>
      <w:r>
        <w:rPr>
          <w:rFonts w:hint="eastAsia"/>
          <w:sz w:val="24"/>
          <w:szCs w:val="24"/>
        </w:rPr>
        <w:t>58</w:t>
      </w:r>
      <w:r>
        <w:rPr>
          <w:rFonts w:hint="eastAsia"/>
          <w:sz w:val="24"/>
          <w:szCs w:val="24"/>
        </w:rPr>
        <w:t>号</w:t>
      </w:r>
    </w:p>
    <w:p w:rsidR="00783788" w:rsidRDefault="002C6E18">
      <w:pPr>
        <w:spacing w:line="360" w:lineRule="auto"/>
        <w:ind w:firstLineChars="200" w:firstLine="480"/>
        <w:rPr>
          <w:sz w:val="24"/>
          <w:szCs w:val="24"/>
        </w:rPr>
      </w:pPr>
      <w:r>
        <w:rPr>
          <w:rFonts w:hint="eastAsia"/>
          <w:sz w:val="24"/>
          <w:szCs w:val="24"/>
        </w:rPr>
        <w:t>法定代表人：宋建明</w:t>
      </w:r>
    </w:p>
    <w:p w:rsidR="00783788" w:rsidRDefault="002C6E18">
      <w:pPr>
        <w:spacing w:line="360" w:lineRule="auto"/>
        <w:ind w:firstLineChars="200" w:firstLine="480"/>
        <w:rPr>
          <w:sz w:val="24"/>
          <w:szCs w:val="24"/>
        </w:rPr>
      </w:pPr>
      <w:r>
        <w:rPr>
          <w:rFonts w:hint="eastAsia"/>
          <w:sz w:val="24"/>
          <w:szCs w:val="24"/>
        </w:rPr>
        <w:t>联系电话：（</w:t>
      </w:r>
      <w:r>
        <w:rPr>
          <w:rFonts w:hint="eastAsia"/>
          <w:sz w:val="24"/>
          <w:szCs w:val="24"/>
        </w:rPr>
        <w:t>0512</w:t>
      </w:r>
      <w:r>
        <w:rPr>
          <w:rFonts w:hint="eastAsia"/>
          <w:sz w:val="24"/>
          <w:szCs w:val="24"/>
        </w:rPr>
        <w:t>）</w:t>
      </w:r>
      <w:r>
        <w:rPr>
          <w:rFonts w:hint="eastAsia"/>
          <w:sz w:val="24"/>
          <w:szCs w:val="24"/>
        </w:rPr>
        <w:t>52909128</w:t>
      </w:r>
    </w:p>
    <w:p w:rsidR="00783788" w:rsidRDefault="002C6E18">
      <w:pPr>
        <w:spacing w:line="360" w:lineRule="auto"/>
        <w:ind w:firstLineChars="200" w:firstLine="480"/>
        <w:rPr>
          <w:sz w:val="24"/>
          <w:szCs w:val="24"/>
        </w:rPr>
      </w:pPr>
      <w:r>
        <w:rPr>
          <w:rFonts w:hint="eastAsia"/>
          <w:sz w:val="24"/>
          <w:szCs w:val="24"/>
        </w:rPr>
        <w:t>传真：（</w:t>
      </w:r>
      <w:r>
        <w:rPr>
          <w:rFonts w:hint="eastAsia"/>
          <w:sz w:val="24"/>
          <w:szCs w:val="24"/>
        </w:rPr>
        <w:t>0512</w:t>
      </w:r>
      <w:r>
        <w:rPr>
          <w:rFonts w:hint="eastAsia"/>
          <w:sz w:val="24"/>
          <w:szCs w:val="24"/>
        </w:rPr>
        <w:t>）</w:t>
      </w:r>
      <w:r>
        <w:rPr>
          <w:rFonts w:hint="eastAsia"/>
          <w:sz w:val="24"/>
          <w:szCs w:val="24"/>
        </w:rPr>
        <w:t>52909122</w:t>
      </w:r>
    </w:p>
    <w:p w:rsidR="00783788" w:rsidRDefault="002C6E18">
      <w:pPr>
        <w:spacing w:line="360" w:lineRule="auto"/>
        <w:ind w:firstLineChars="200" w:firstLine="480"/>
        <w:rPr>
          <w:sz w:val="24"/>
          <w:szCs w:val="24"/>
        </w:rPr>
      </w:pPr>
      <w:r>
        <w:rPr>
          <w:rFonts w:hint="eastAsia"/>
          <w:sz w:val="24"/>
          <w:szCs w:val="24"/>
        </w:rPr>
        <w:t>联系人：黄晓</w:t>
      </w:r>
    </w:p>
    <w:p w:rsidR="00783788" w:rsidRDefault="002C6E18">
      <w:pPr>
        <w:spacing w:line="360" w:lineRule="auto"/>
        <w:ind w:firstLineChars="200" w:firstLine="480"/>
        <w:rPr>
          <w:sz w:val="24"/>
          <w:szCs w:val="24"/>
        </w:rPr>
      </w:pPr>
      <w:r>
        <w:rPr>
          <w:rFonts w:hint="eastAsia"/>
          <w:sz w:val="24"/>
          <w:szCs w:val="24"/>
        </w:rPr>
        <w:t>客户服务电话：</w:t>
      </w:r>
      <w:r>
        <w:rPr>
          <w:rFonts w:hint="eastAsia"/>
          <w:sz w:val="24"/>
          <w:szCs w:val="24"/>
        </w:rPr>
        <w:t>962000</w:t>
      </w:r>
    </w:p>
    <w:p w:rsidR="00783788" w:rsidRDefault="002C6E18">
      <w:pPr>
        <w:spacing w:line="360" w:lineRule="auto"/>
        <w:ind w:firstLineChars="200" w:firstLine="480"/>
        <w:rPr>
          <w:sz w:val="24"/>
          <w:szCs w:val="24"/>
        </w:rPr>
      </w:pPr>
      <w:r>
        <w:rPr>
          <w:rFonts w:hint="eastAsia"/>
          <w:sz w:val="24"/>
          <w:szCs w:val="24"/>
        </w:rPr>
        <w:t>网址：</w:t>
      </w:r>
      <w:r>
        <w:rPr>
          <w:rFonts w:hint="eastAsia"/>
          <w:sz w:val="24"/>
          <w:szCs w:val="24"/>
        </w:rPr>
        <w:t>www.csrcbank.com</w:t>
      </w:r>
    </w:p>
    <w:p w:rsidR="00783788" w:rsidRDefault="002C6E18">
      <w:pPr>
        <w:spacing w:line="360" w:lineRule="auto"/>
        <w:ind w:firstLineChars="200" w:firstLine="480"/>
        <w:rPr>
          <w:sz w:val="24"/>
          <w:szCs w:val="24"/>
        </w:rPr>
      </w:pPr>
      <w:r>
        <w:rPr>
          <w:rFonts w:hint="eastAsia"/>
          <w:sz w:val="24"/>
          <w:szCs w:val="24"/>
        </w:rPr>
        <w:t>（</w:t>
      </w:r>
      <w:r>
        <w:rPr>
          <w:rFonts w:hint="eastAsia"/>
          <w:sz w:val="24"/>
          <w:szCs w:val="24"/>
        </w:rPr>
        <w:t>6</w:t>
      </w:r>
      <w:r>
        <w:rPr>
          <w:rFonts w:hint="eastAsia"/>
          <w:sz w:val="24"/>
          <w:szCs w:val="24"/>
        </w:rPr>
        <w:t>）</w:t>
      </w:r>
      <w:r>
        <w:rPr>
          <w:rFonts w:hint="eastAsia"/>
          <w:sz w:val="24"/>
          <w:szCs w:val="24"/>
        </w:rPr>
        <w:t xml:space="preserve"> </w:t>
      </w:r>
      <w:r>
        <w:rPr>
          <w:rFonts w:hint="eastAsia"/>
          <w:sz w:val="24"/>
          <w:szCs w:val="24"/>
        </w:rPr>
        <w:t>光大证券股份有限公司</w:t>
      </w:r>
    </w:p>
    <w:p w:rsidR="00783788" w:rsidRDefault="002C6E18">
      <w:pPr>
        <w:spacing w:line="360" w:lineRule="auto"/>
        <w:ind w:firstLineChars="200" w:firstLine="480"/>
        <w:rPr>
          <w:sz w:val="24"/>
          <w:szCs w:val="24"/>
        </w:rPr>
      </w:pPr>
      <w:r>
        <w:rPr>
          <w:rFonts w:hint="eastAsia"/>
          <w:sz w:val="24"/>
          <w:szCs w:val="24"/>
        </w:rPr>
        <w:t>住所：上海市静安区新闸路</w:t>
      </w:r>
      <w:r>
        <w:rPr>
          <w:rFonts w:hint="eastAsia"/>
          <w:sz w:val="24"/>
          <w:szCs w:val="24"/>
        </w:rPr>
        <w:t>1508</w:t>
      </w:r>
      <w:r>
        <w:rPr>
          <w:rFonts w:hint="eastAsia"/>
          <w:sz w:val="24"/>
          <w:szCs w:val="24"/>
        </w:rPr>
        <w:t>号</w:t>
      </w:r>
    </w:p>
    <w:p w:rsidR="00783788" w:rsidRDefault="002C6E18">
      <w:pPr>
        <w:spacing w:line="360" w:lineRule="auto"/>
        <w:ind w:firstLineChars="200" w:firstLine="480"/>
        <w:rPr>
          <w:sz w:val="24"/>
          <w:szCs w:val="24"/>
        </w:rPr>
      </w:pPr>
      <w:r>
        <w:rPr>
          <w:rFonts w:hint="eastAsia"/>
          <w:sz w:val="24"/>
          <w:szCs w:val="24"/>
        </w:rPr>
        <w:t>办公地址：上海市静安区新闸路</w:t>
      </w:r>
      <w:r>
        <w:rPr>
          <w:rFonts w:hint="eastAsia"/>
          <w:sz w:val="24"/>
          <w:szCs w:val="24"/>
        </w:rPr>
        <w:t>1508</w:t>
      </w:r>
      <w:r>
        <w:rPr>
          <w:rFonts w:hint="eastAsia"/>
          <w:sz w:val="24"/>
          <w:szCs w:val="24"/>
        </w:rPr>
        <w:t>号</w:t>
      </w:r>
    </w:p>
    <w:p w:rsidR="00783788" w:rsidRDefault="002C6E18">
      <w:pPr>
        <w:spacing w:line="360" w:lineRule="auto"/>
        <w:ind w:firstLineChars="200" w:firstLine="480"/>
        <w:rPr>
          <w:sz w:val="24"/>
          <w:szCs w:val="24"/>
        </w:rPr>
      </w:pPr>
      <w:r>
        <w:rPr>
          <w:rFonts w:hint="eastAsia"/>
          <w:sz w:val="24"/>
          <w:szCs w:val="24"/>
        </w:rPr>
        <w:t>法定代表人：薛峰</w:t>
      </w:r>
    </w:p>
    <w:p w:rsidR="00783788" w:rsidRDefault="002C6E18">
      <w:pPr>
        <w:spacing w:line="360" w:lineRule="auto"/>
        <w:ind w:firstLineChars="200" w:firstLine="480"/>
        <w:rPr>
          <w:sz w:val="24"/>
          <w:szCs w:val="24"/>
        </w:rPr>
      </w:pPr>
      <w:r>
        <w:rPr>
          <w:rFonts w:hint="eastAsia"/>
          <w:sz w:val="24"/>
          <w:szCs w:val="24"/>
        </w:rPr>
        <w:t>电话：（</w:t>
      </w:r>
      <w:r>
        <w:rPr>
          <w:rFonts w:hint="eastAsia"/>
          <w:sz w:val="24"/>
          <w:szCs w:val="24"/>
        </w:rPr>
        <w:t>021</w:t>
      </w:r>
      <w:r>
        <w:rPr>
          <w:rFonts w:hint="eastAsia"/>
          <w:sz w:val="24"/>
          <w:szCs w:val="24"/>
        </w:rPr>
        <w:t>）</w:t>
      </w:r>
      <w:r>
        <w:rPr>
          <w:rFonts w:hint="eastAsia"/>
          <w:sz w:val="24"/>
          <w:szCs w:val="24"/>
        </w:rPr>
        <w:t>22169999</w:t>
      </w:r>
    </w:p>
    <w:p w:rsidR="00783788" w:rsidRDefault="002C6E18">
      <w:pPr>
        <w:spacing w:line="360" w:lineRule="auto"/>
        <w:ind w:firstLineChars="200" w:firstLine="480"/>
        <w:rPr>
          <w:sz w:val="24"/>
          <w:szCs w:val="24"/>
        </w:rPr>
      </w:pPr>
      <w:r>
        <w:rPr>
          <w:rFonts w:hint="eastAsia"/>
          <w:sz w:val="24"/>
          <w:szCs w:val="24"/>
        </w:rPr>
        <w:t>传真：（</w:t>
      </w:r>
      <w:r>
        <w:rPr>
          <w:rFonts w:hint="eastAsia"/>
          <w:sz w:val="24"/>
          <w:szCs w:val="24"/>
        </w:rPr>
        <w:t>021</w:t>
      </w:r>
      <w:r>
        <w:rPr>
          <w:rFonts w:hint="eastAsia"/>
          <w:sz w:val="24"/>
          <w:szCs w:val="24"/>
        </w:rPr>
        <w:t>）</w:t>
      </w:r>
      <w:r>
        <w:rPr>
          <w:rFonts w:hint="eastAsia"/>
          <w:sz w:val="24"/>
          <w:szCs w:val="24"/>
        </w:rPr>
        <w:t>22169134</w:t>
      </w:r>
    </w:p>
    <w:p w:rsidR="00783788" w:rsidRDefault="002C6E18">
      <w:pPr>
        <w:spacing w:line="360" w:lineRule="auto"/>
        <w:ind w:firstLineChars="200" w:firstLine="480"/>
        <w:rPr>
          <w:sz w:val="24"/>
          <w:szCs w:val="24"/>
        </w:rPr>
      </w:pPr>
      <w:r>
        <w:rPr>
          <w:rFonts w:hint="eastAsia"/>
          <w:sz w:val="24"/>
          <w:szCs w:val="24"/>
        </w:rPr>
        <w:t>联系人：刘晨</w:t>
      </w:r>
    </w:p>
    <w:p w:rsidR="00783788" w:rsidRDefault="002C6E18">
      <w:pPr>
        <w:spacing w:line="360" w:lineRule="auto"/>
        <w:ind w:firstLineChars="200" w:firstLine="480"/>
        <w:rPr>
          <w:sz w:val="24"/>
          <w:szCs w:val="24"/>
        </w:rPr>
      </w:pPr>
      <w:r>
        <w:rPr>
          <w:rFonts w:hint="eastAsia"/>
          <w:sz w:val="24"/>
          <w:szCs w:val="24"/>
        </w:rPr>
        <w:t>客户服务电话：</w:t>
      </w:r>
      <w:r>
        <w:rPr>
          <w:rFonts w:hint="eastAsia"/>
          <w:sz w:val="24"/>
          <w:szCs w:val="24"/>
        </w:rPr>
        <w:t xml:space="preserve"> 10108998</w:t>
      </w:r>
    </w:p>
    <w:p w:rsidR="00783788" w:rsidRDefault="002C6E18">
      <w:pPr>
        <w:spacing w:line="360" w:lineRule="auto"/>
        <w:ind w:firstLineChars="200" w:firstLine="480"/>
        <w:rPr>
          <w:sz w:val="24"/>
          <w:szCs w:val="24"/>
        </w:rPr>
      </w:pPr>
      <w:r>
        <w:rPr>
          <w:rFonts w:hint="eastAsia"/>
          <w:sz w:val="24"/>
          <w:szCs w:val="24"/>
        </w:rPr>
        <w:t>网址：</w:t>
      </w:r>
      <w:r>
        <w:rPr>
          <w:rFonts w:hint="eastAsia"/>
          <w:sz w:val="24"/>
          <w:szCs w:val="24"/>
        </w:rPr>
        <w:t>www.ebscn.com</w:t>
      </w:r>
    </w:p>
    <w:p w:rsidR="00783788" w:rsidRDefault="002C6E18">
      <w:pPr>
        <w:spacing w:line="360" w:lineRule="auto"/>
        <w:ind w:firstLineChars="200" w:firstLine="480"/>
        <w:rPr>
          <w:sz w:val="24"/>
          <w:szCs w:val="24"/>
        </w:rPr>
      </w:pPr>
      <w:r>
        <w:rPr>
          <w:rFonts w:hint="eastAsia"/>
          <w:sz w:val="24"/>
          <w:szCs w:val="24"/>
        </w:rPr>
        <w:t>（</w:t>
      </w:r>
      <w:r>
        <w:rPr>
          <w:rFonts w:hint="eastAsia"/>
          <w:sz w:val="24"/>
          <w:szCs w:val="24"/>
        </w:rPr>
        <w:t>7</w:t>
      </w:r>
      <w:r>
        <w:rPr>
          <w:rFonts w:hint="eastAsia"/>
          <w:sz w:val="24"/>
          <w:szCs w:val="24"/>
        </w:rPr>
        <w:t>）</w:t>
      </w:r>
      <w:r>
        <w:rPr>
          <w:rFonts w:hint="eastAsia"/>
          <w:sz w:val="24"/>
          <w:szCs w:val="24"/>
        </w:rPr>
        <w:t xml:space="preserve"> </w:t>
      </w:r>
      <w:r>
        <w:rPr>
          <w:rFonts w:hint="eastAsia"/>
          <w:sz w:val="24"/>
          <w:szCs w:val="24"/>
        </w:rPr>
        <w:t>中信建投证券股份有限公司</w:t>
      </w:r>
    </w:p>
    <w:p w:rsidR="00783788" w:rsidRDefault="002C6E18">
      <w:pPr>
        <w:spacing w:line="360" w:lineRule="auto"/>
        <w:ind w:firstLineChars="200" w:firstLine="480"/>
        <w:rPr>
          <w:sz w:val="24"/>
          <w:szCs w:val="24"/>
        </w:rPr>
      </w:pPr>
      <w:r>
        <w:rPr>
          <w:rFonts w:hint="eastAsia"/>
          <w:sz w:val="24"/>
          <w:szCs w:val="24"/>
        </w:rPr>
        <w:t>住所：北京市朝阳区安立路</w:t>
      </w:r>
      <w:r>
        <w:rPr>
          <w:rFonts w:hint="eastAsia"/>
          <w:sz w:val="24"/>
          <w:szCs w:val="24"/>
        </w:rPr>
        <w:t>66</w:t>
      </w:r>
      <w:r>
        <w:rPr>
          <w:rFonts w:hint="eastAsia"/>
          <w:sz w:val="24"/>
          <w:szCs w:val="24"/>
        </w:rPr>
        <w:t>号</w:t>
      </w:r>
      <w:r>
        <w:rPr>
          <w:rFonts w:hint="eastAsia"/>
          <w:sz w:val="24"/>
          <w:szCs w:val="24"/>
        </w:rPr>
        <w:t>4</w:t>
      </w:r>
      <w:r>
        <w:rPr>
          <w:rFonts w:hint="eastAsia"/>
          <w:sz w:val="24"/>
          <w:szCs w:val="24"/>
        </w:rPr>
        <w:t>号楼</w:t>
      </w:r>
    </w:p>
    <w:p w:rsidR="00783788" w:rsidRDefault="002C6E18">
      <w:pPr>
        <w:spacing w:line="360" w:lineRule="auto"/>
        <w:ind w:firstLineChars="200" w:firstLine="480"/>
        <w:rPr>
          <w:sz w:val="24"/>
          <w:szCs w:val="24"/>
        </w:rPr>
      </w:pPr>
      <w:r>
        <w:rPr>
          <w:rFonts w:hint="eastAsia"/>
          <w:sz w:val="24"/>
          <w:szCs w:val="24"/>
        </w:rPr>
        <w:t>办公地址：北京市朝阳门内大街</w:t>
      </w:r>
      <w:r>
        <w:rPr>
          <w:rFonts w:hint="eastAsia"/>
          <w:sz w:val="24"/>
          <w:szCs w:val="24"/>
        </w:rPr>
        <w:t>188</w:t>
      </w:r>
      <w:r>
        <w:rPr>
          <w:rFonts w:hint="eastAsia"/>
          <w:sz w:val="24"/>
          <w:szCs w:val="24"/>
        </w:rPr>
        <w:t>号</w:t>
      </w:r>
    </w:p>
    <w:p w:rsidR="00783788" w:rsidRDefault="002C6E18">
      <w:pPr>
        <w:spacing w:line="360" w:lineRule="auto"/>
        <w:ind w:firstLineChars="200" w:firstLine="480"/>
        <w:rPr>
          <w:sz w:val="24"/>
          <w:szCs w:val="24"/>
        </w:rPr>
      </w:pPr>
      <w:r>
        <w:rPr>
          <w:rFonts w:hint="eastAsia"/>
          <w:sz w:val="24"/>
          <w:szCs w:val="24"/>
        </w:rPr>
        <w:t>法定代表人：张佑君</w:t>
      </w:r>
      <w:r>
        <w:rPr>
          <w:rFonts w:hint="eastAsia"/>
          <w:sz w:val="24"/>
          <w:szCs w:val="24"/>
        </w:rPr>
        <w:t xml:space="preserve"> </w:t>
      </w:r>
    </w:p>
    <w:p w:rsidR="00783788" w:rsidRDefault="002C6E18">
      <w:pPr>
        <w:spacing w:line="360" w:lineRule="auto"/>
        <w:ind w:firstLineChars="200" w:firstLine="480"/>
        <w:rPr>
          <w:sz w:val="24"/>
          <w:szCs w:val="24"/>
        </w:rPr>
      </w:pPr>
      <w:r>
        <w:rPr>
          <w:rFonts w:hint="eastAsia"/>
          <w:sz w:val="24"/>
          <w:szCs w:val="24"/>
        </w:rPr>
        <w:t>电话：（</w:t>
      </w:r>
      <w:r>
        <w:rPr>
          <w:rFonts w:hint="eastAsia"/>
          <w:sz w:val="24"/>
          <w:szCs w:val="24"/>
        </w:rPr>
        <w:t>010</w:t>
      </w:r>
      <w:r>
        <w:rPr>
          <w:rFonts w:hint="eastAsia"/>
          <w:sz w:val="24"/>
          <w:szCs w:val="24"/>
        </w:rPr>
        <w:t>）</w:t>
      </w:r>
      <w:r>
        <w:rPr>
          <w:rFonts w:hint="eastAsia"/>
          <w:sz w:val="24"/>
          <w:szCs w:val="24"/>
        </w:rPr>
        <w:t xml:space="preserve">85130588 </w:t>
      </w:r>
    </w:p>
    <w:p w:rsidR="00783788" w:rsidRDefault="002C6E18">
      <w:pPr>
        <w:spacing w:line="360" w:lineRule="auto"/>
        <w:ind w:firstLineChars="200" w:firstLine="480"/>
        <w:rPr>
          <w:sz w:val="24"/>
          <w:szCs w:val="24"/>
        </w:rPr>
      </w:pPr>
      <w:r>
        <w:rPr>
          <w:rFonts w:hint="eastAsia"/>
          <w:sz w:val="24"/>
          <w:szCs w:val="24"/>
        </w:rPr>
        <w:t>传真：（</w:t>
      </w:r>
      <w:r>
        <w:rPr>
          <w:rFonts w:hint="eastAsia"/>
          <w:sz w:val="24"/>
          <w:szCs w:val="24"/>
        </w:rPr>
        <w:t>010</w:t>
      </w:r>
      <w:r>
        <w:rPr>
          <w:rFonts w:hint="eastAsia"/>
          <w:sz w:val="24"/>
          <w:szCs w:val="24"/>
        </w:rPr>
        <w:t>）</w:t>
      </w:r>
      <w:r>
        <w:rPr>
          <w:rFonts w:hint="eastAsia"/>
          <w:sz w:val="24"/>
          <w:szCs w:val="24"/>
        </w:rPr>
        <w:t xml:space="preserve">65182261 </w:t>
      </w:r>
    </w:p>
    <w:p w:rsidR="00783788" w:rsidRDefault="002C6E18">
      <w:pPr>
        <w:spacing w:line="360" w:lineRule="auto"/>
        <w:ind w:firstLineChars="200" w:firstLine="480"/>
        <w:rPr>
          <w:sz w:val="24"/>
          <w:szCs w:val="24"/>
        </w:rPr>
      </w:pPr>
      <w:r>
        <w:rPr>
          <w:rFonts w:hint="eastAsia"/>
          <w:sz w:val="24"/>
          <w:szCs w:val="24"/>
        </w:rPr>
        <w:t>联系人：魏明</w:t>
      </w:r>
      <w:r>
        <w:rPr>
          <w:rFonts w:hint="eastAsia"/>
          <w:sz w:val="24"/>
          <w:szCs w:val="24"/>
        </w:rPr>
        <w:t xml:space="preserve"> </w:t>
      </w:r>
    </w:p>
    <w:p w:rsidR="00783788" w:rsidRDefault="002C6E18">
      <w:pPr>
        <w:spacing w:line="360" w:lineRule="auto"/>
        <w:ind w:firstLineChars="200" w:firstLine="480"/>
        <w:rPr>
          <w:sz w:val="24"/>
          <w:szCs w:val="24"/>
        </w:rPr>
      </w:pPr>
      <w:r>
        <w:rPr>
          <w:rFonts w:hint="eastAsia"/>
          <w:sz w:val="24"/>
          <w:szCs w:val="24"/>
        </w:rPr>
        <w:t>客户服务电话：</w:t>
      </w:r>
      <w:r>
        <w:rPr>
          <w:rFonts w:hint="eastAsia"/>
          <w:sz w:val="24"/>
          <w:szCs w:val="24"/>
        </w:rPr>
        <w:t>4008-888-108</w:t>
      </w:r>
    </w:p>
    <w:p w:rsidR="00783788" w:rsidRDefault="002C6E18">
      <w:pPr>
        <w:spacing w:line="360" w:lineRule="auto"/>
        <w:ind w:firstLineChars="200" w:firstLine="480"/>
        <w:rPr>
          <w:sz w:val="24"/>
          <w:szCs w:val="24"/>
        </w:rPr>
      </w:pPr>
      <w:r>
        <w:rPr>
          <w:rFonts w:hint="eastAsia"/>
          <w:sz w:val="24"/>
          <w:szCs w:val="24"/>
        </w:rPr>
        <w:t>网址：</w:t>
      </w:r>
      <w:r>
        <w:rPr>
          <w:rFonts w:hint="eastAsia"/>
          <w:sz w:val="24"/>
          <w:szCs w:val="24"/>
        </w:rPr>
        <w:t>www.csc108.com</w:t>
      </w:r>
    </w:p>
    <w:p w:rsidR="00783788" w:rsidRDefault="002C6E18">
      <w:pPr>
        <w:spacing w:line="360" w:lineRule="auto"/>
        <w:ind w:firstLineChars="200" w:firstLine="480"/>
        <w:rPr>
          <w:sz w:val="24"/>
          <w:szCs w:val="24"/>
        </w:rPr>
      </w:pPr>
      <w:r>
        <w:rPr>
          <w:rFonts w:hint="eastAsia"/>
          <w:sz w:val="24"/>
          <w:szCs w:val="24"/>
        </w:rPr>
        <w:t>（</w:t>
      </w:r>
      <w:r>
        <w:rPr>
          <w:rFonts w:hint="eastAsia"/>
          <w:sz w:val="24"/>
          <w:szCs w:val="24"/>
        </w:rPr>
        <w:t>8</w:t>
      </w:r>
      <w:r>
        <w:rPr>
          <w:rFonts w:hint="eastAsia"/>
          <w:sz w:val="24"/>
          <w:szCs w:val="24"/>
        </w:rPr>
        <w:t>）</w:t>
      </w:r>
      <w:r>
        <w:rPr>
          <w:rFonts w:hint="eastAsia"/>
          <w:sz w:val="24"/>
          <w:szCs w:val="24"/>
        </w:rPr>
        <w:t xml:space="preserve"> </w:t>
      </w:r>
      <w:r>
        <w:rPr>
          <w:rFonts w:hint="eastAsia"/>
          <w:sz w:val="24"/>
          <w:szCs w:val="24"/>
        </w:rPr>
        <w:t>中国银河证券股份有限公司</w:t>
      </w:r>
    </w:p>
    <w:p w:rsidR="00783788" w:rsidRDefault="002C6E18">
      <w:pPr>
        <w:spacing w:line="360" w:lineRule="auto"/>
        <w:ind w:firstLineChars="200" w:firstLine="480"/>
        <w:rPr>
          <w:sz w:val="24"/>
          <w:szCs w:val="24"/>
        </w:rPr>
      </w:pPr>
      <w:r>
        <w:rPr>
          <w:rFonts w:hint="eastAsia"/>
          <w:sz w:val="24"/>
          <w:szCs w:val="24"/>
        </w:rPr>
        <w:t>住所：北京市西城区金融大街</w:t>
      </w:r>
      <w:r>
        <w:rPr>
          <w:rFonts w:hint="eastAsia"/>
          <w:sz w:val="24"/>
          <w:szCs w:val="24"/>
        </w:rPr>
        <w:t>35</w:t>
      </w:r>
      <w:r>
        <w:rPr>
          <w:rFonts w:hint="eastAsia"/>
          <w:sz w:val="24"/>
          <w:szCs w:val="24"/>
        </w:rPr>
        <w:t>号国际企业大厦</w:t>
      </w:r>
      <w:r>
        <w:rPr>
          <w:rFonts w:hint="eastAsia"/>
          <w:sz w:val="24"/>
          <w:szCs w:val="24"/>
        </w:rPr>
        <w:t>C</w:t>
      </w:r>
      <w:r>
        <w:rPr>
          <w:rFonts w:hint="eastAsia"/>
          <w:sz w:val="24"/>
          <w:szCs w:val="24"/>
        </w:rPr>
        <w:t>座</w:t>
      </w:r>
    </w:p>
    <w:p w:rsidR="00783788" w:rsidRDefault="002C6E18">
      <w:pPr>
        <w:spacing w:line="360" w:lineRule="auto"/>
        <w:ind w:firstLineChars="200" w:firstLine="480"/>
        <w:rPr>
          <w:sz w:val="24"/>
          <w:szCs w:val="24"/>
        </w:rPr>
      </w:pPr>
      <w:r>
        <w:rPr>
          <w:rFonts w:hint="eastAsia"/>
          <w:sz w:val="24"/>
          <w:szCs w:val="24"/>
        </w:rPr>
        <w:t>办公地址：北京市西城区金融大街</w:t>
      </w:r>
      <w:r>
        <w:rPr>
          <w:rFonts w:hint="eastAsia"/>
          <w:sz w:val="24"/>
          <w:szCs w:val="24"/>
        </w:rPr>
        <w:t>35</w:t>
      </w:r>
      <w:r>
        <w:rPr>
          <w:rFonts w:hint="eastAsia"/>
          <w:sz w:val="24"/>
          <w:szCs w:val="24"/>
        </w:rPr>
        <w:t>号国际企业大厦</w:t>
      </w:r>
      <w:r>
        <w:rPr>
          <w:rFonts w:hint="eastAsia"/>
          <w:sz w:val="24"/>
          <w:szCs w:val="24"/>
        </w:rPr>
        <w:t>C</w:t>
      </w:r>
      <w:r>
        <w:rPr>
          <w:rFonts w:hint="eastAsia"/>
          <w:sz w:val="24"/>
          <w:szCs w:val="24"/>
        </w:rPr>
        <w:t>座</w:t>
      </w:r>
    </w:p>
    <w:p w:rsidR="00783788" w:rsidRDefault="002C6E18">
      <w:pPr>
        <w:spacing w:line="360" w:lineRule="auto"/>
        <w:ind w:firstLineChars="200" w:firstLine="480"/>
        <w:rPr>
          <w:sz w:val="24"/>
          <w:szCs w:val="24"/>
        </w:rPr>
      </w:pPr>
      <w:r>
        <w:rPr>
          <w:rFonts w:hint="eastAsia"/>
          <w:sz w:val="24"/>
          <w:szCs w:val="24"/>
        </w:rPr>
        <w:t>法定代表人：顾伟国</w:t>
      </w:r>
    </w:p>
    <w:p w:rsidR="00783788" w:rsidRDefault="002C6E18">
      <w:pPr>
        <w:spacing w:line="360" w:lineRule="auto"/>
        <w:ind w:firstLineChars="200" w:firstLine="480"/>
        <w:rPr>
          <w:sz w:val="24"/>
          <w:szCs w:val="24"/>
        </w:rPr>
      </w:pPr>
      <w:r>
        <w:rPr>
          <w:rFonts w:hint="eastAsia"/>
          <w:sz w:val="24"/>
          <w:szCs w:val="24"/>
        </w:rPr>
        <w:t>电话：（</w:t>
      </w:r>
      <w:r>
        <w:rPr>
          <w:rFonts w:hint="eastAsia"/>
          <w:sz w:val="24"/>
          <w:szCs w:val="24"/>
        </w:rPr>
        <w:t>010</w:t>
      </w:r>
      <w:r>
        <w:rPr>
          <w:rFonts w:hint="eastAsia"/>
          <w:sz w:val="24"/>
          <w:szCs w:val="24"/>
        </w:rPr>
        <w:t>）</w:t>
      </w:r>
      <w:r>
        <w:rPr>
          <w:rFonts w:hint="eastAsia"/>
          <w:sz w:val="24"/>
          <w:szCs w:val="24"/>
        </w:rPr>
        <w:t xml:space="preserve">66568430 </w:t>
      </w:r>
    </w:p>
    <w:p w:rsidR="00783788" w:rsidRDefault="002C6E18">
      <w:pPr>
        <w:spacing w:line="360" w:lineRule="auto"/>
        <w:ind w:firstLineChars="200" w:firstLine="480"/>
        <w:rPr>
          <w:sz w:val="24"/>
          <w:szCs w:val="24"/>
        </w:rPr>
      </w:pPr>
      <w:r>
        <w:rPr>
          <w:rFonts w:hint="eastAsia"/>
          <w:sz w:val="24"/>
          <w:szCs w:val="24"/>
        </w:rPr>
        <w:t>联系人：田薇</w:t>
      </w:r>
    </w:p>
    <w:p w:rsidR="00783788" w:rsidRDefault="002C6E18">
      <w:pPr>
        <w:spacing w:line="360" w:lineRule="auto"/>
        <w:ind w:firstLineChars="200" w:firstLine="480"/>
        <w:rPr>
          <w:sz w:val="24"/>
          <w:szCs w:val="24"/>
        </w:rPr>
      </w:pPr>
      <w:r>
        <w:rPr>
          <w:rFonts w:hint="eastAsia"/>
          <w:sz w:val="24"/>
          <w:szCs w:val="24"/>
        </w:rPr>
        <w:t>客户服务电话：</w:t>
      </w:r>
      <w:r>
        <w:rPr>
          <w:rFonts w:hint="eastAsia"/>
          <w:sz w:val="24"/>
          <w:szCs w:val="24"/>
        </w:rPr>
        <w:t>400-888-8888</w:t>
      </w:r>
    </w:p>
    <w:p w:rsidR="00783788" w:rsidRDefault="002C6E18">
      <w:pPr>
        <w:spacing w:line="360" w:lineRule="auto"/>
        <w:ind w:firstLineChars="200" w:firstLine="480"/>
        <w:rPr>
          <w:sz w:val="24"/>
          <w:szCs w:val="24"/>
        </w:rPr>
      </w:pPr>
      <w:r>
        <w:rPr>
          <w:rFonts w:hint="eastAsia"/>
          <w:sz w:val="24"/>
          <w:szCs w:val="24"/>
        </w:rPr>
        <w:t>网址：</w:t>
      </w:r>
      <w:r>
        <w:rPr>
          <w:rFonts w:hint="eastAsia"/>
          <w:sz w:val="24"/>
          <w:szCs w:val="24"/>
        </w:rPr>
        <w:t xml:space="preserve">www.chinastock.com.cn </w:t>
      </w:r>
    </w:p>
    <w:p w:rsidR="00783788" w:rsidRDefault="002C6E18">
      <w:pPr>
        <w:spacing w:line="360" w:lineRule="auto"/>
        <w:ind w:firstLineChars="200" w:firstLine="480"/>
        <w:rPr>
          <w:sz w:val="24"/>
          <w:szCs w:val="24"/>
        </w:rPr>
      </w:pPr>
      <w:r>
        <w:rPr>
          <w:rFonts w:hint="eastAsia"/>
          <w:sz w:val="24"/>
          <w:szCs w:val="24"/>
        </w:rPr>
        <w:t>（</w:t>
      </w:r>
      <w:r>
        <w:rPr>
          <w:rFonts w:hint="eastAsia"/>
          <w:sz w:val="24"/>
          <w:szCs w:val="24"/>
        </w:rPr>
        <w:t>9</w:t>
      </w:r>
      <w:r>
        <w:rPr>
          <w:rFonts w:hint="eastAsia"/>
          <w:sz w:val="24"/>
          <w:szCs w:val="24"/>
        </w:rPr>
        <w:t>）</w:t>
      </w:r>
      <w:r>
        <w:rPr>
          <w:rFonts w:hint="eastAsia"/>
          <w:sz w:val="24"/>
          <w:szCs w:val="24"/>
        </w:rPr>
        <w:t xml:space="preserve"> </w:t>
      </w:r>
      <w:r>
        <w:rPr>
          <w:rFonts w:hint="eastAsia"/>
          <w:sz w:val="24"/>
          <w:szCs w:val="24"/>
        </w:rPr>
        <w:t>兴业证券股份有限公司</w:t>
      </w:r>
      <w:r>
        <w:rPr>
          <w:rFonts w:hint="eastAsia"/>
          <w:sz w:val="24"/>
          <w:szCs w:val="24"/>
        </w:rPr>
        <w:t xml:space="preserve"> </w:t>
      </w:r>
    </w:p>
    <w:p w:rsidR="00783788" w:rsidRDefault="002C6E18">
      <w:pPr>
        <w:spacing w:line="360" w:lineRule="auto"/>
        <w:ind w:firstLineChars="200" w:firstLine="480"/>
        <w:rPr>
          <w:sz w:val="24"/>
          <w:szCs w:val="24"/>
        </w:rPr>
      </w:pPr>
      <w:r>
        <w:rPr>
          <w:rFonts w:hint="eastAsia"/>
          <w:sz w:val="24"/>
          <w:szCs w:val="24"/>
        </w:rPr>
        <w:t>住所：福州市湖东路</w:t>
      </w:r>
      <w:r>
        <w:rPr>
          <w:rFonts w:hint="eastAsia"/>
          <w:sz w:val="24"/>
          <w:szCs w:val="24"/>
        </w:rPr>
        <w:t>268</w:t>
      </w:r>
      <w:r>
        <w:rPr>
          <w:rFonts w:hint="eastAsia"/>
          <w:sz w:val="24"/>
          <w:szCs w:val="24"/>
        </w:rPr>
        <w:t>号</w:t>
      </w:r>
    </w:p>
    <w:p w:rsidR="00783788" w:rsidRDefault="002C6E18">
      <w:pPr>
        <w:spacing w:line="360" w:lineRule="auto"/>
        <w:ind w:firstLineChars="200" w:firstLine="480"/>
        <w:rPr>
          <w:sz w:val="24"/>
          <w:szCs w:val="24"/>
        </w:rPr>
      </w:pPr>
      <w:r>
        <w:rPr>
          <w:rFonts w:hint="eastAsia"/>
          <w:sz w:val="24"/>
          <w:szCs w:val="24"/>
        </w:rPr>
        <w:t>办公地址：上海市浦东民生路</w:t>
      </w:r>
      <w:r>
        <w:rPr>
          <w:rFonts w:hint="eastAsia"/>
          <w:sz w:val="24"/>
          <w:szCs w:val="24"/>
        </w:rPr>
        <w:t>1199</w:t>
      </w:r>
      <w:r>
        <w:rPr>
          <w:rFonts w:hint="eastAsia"/>
          <w:sz w:val="24"/>
          <w:szCs w:val="24"/>
        </w:rPr>
        <w:t>弄五道口广场</w:t>
      </w:r>
      <w:r>
        <w:rPr>
          <w:rFonts w:hint="eastAsia"/>
          <w:sz w:val="24"/>
          <w:szCs w:val="24"/>
        </w:rPr>
        <w:t>1</w:t>
      </w:r>
      <w:r>
        <w:rPr>
          <w:rFonts w:hint="eastAsia"/>
          <w:sz w:val="24"/>
          <w:szCs w:val="24"/>
        </w:rPr>
        <w:t>号楼</w:t>
      </w:r>
      <w:r>
        <w:rPr>
          <w:rFonts w:hint="eastAsia"/>
          <w:sz w:val="24"/>
          <w:szCs w:val="24"/>
        </w:rPr>
        <w:t>21</w:t>
      </w:r>
      <w:r>
        <w:rPr>
          <w:rFonts w:hint="eastAsia"/>
          <w:sz w:val="24"/>
          <w:szCs w:val="24"/>
        </w:rPr>
        <w:t>层</w:t>
      </w:r>
    </w:p>
    <w:p w:rsidR="00783788" w:rsidRDefault="002C6E18">
      <w:pPr>
        <w:spacing w:line="360" w:lineRule="auto"/>
        <w:ind w:firstLineChars="200" w:firstLine="480"/>
        <w:rPr>
          <w:sz w:val="24"/>
          <w:szCs w:val="24"/>
        </w:rPr>
      </w:pPr>
      <w:r>
        <w:rPr>
          <w:rFonts w:hint="eastAsia"/>
          <w:sz w:val="24"/>
          <w:szCs w:val="24"/>
        </w:rPr>
        <w:t>法定代表人：兰荣</w:t>
      </w:r>
    </w:p>
    <w:p w:rsidR="00783788" w:rsidRDefault="002C6E18">
      <w:pPr>
        <w:spacing w:line="360" w:lineRule="auto"/>
        <w:ind w:firstLineChars="200" w:firstLine="480"/>
        <w:rPr>
          <w:sz w:val="24"/>
          <w:szCs w:val="24"/>
        </w:rPr>
      </w:pPr>
      <w:r>
        <w:rPr>
          <w:rFonts w:hint="eastAsia"/>
          <w:sz w:val="24"/>
          <w:szCs w:val="24"/>
        </w:rPr>
        <w:t>电话：（</w:t>
      </w:r>
      <w:r>
        <w:rPr>
          <w:rFonts w:hint="eastAsia"/>
          <w:sz w:val="24"/>
          <w:szCs w:val="24"/>
        </w:rPr>
        <w:t>021</w:t>
      </w:r>
      <w:r>
        <w:rPr>
          <w:rFonts w:hint="eastAsia"/>
          <w:sz w:val="24"/>
          <w:szCs w:val="24"/>
        </w:rPr>
        <w:t>）</w:t>
      </w:r>
      <w:r>
        <w:rPr>
          <w:rFonts w:hint="eastAsia"/>
          <w:sz w:val="24"/>
          <w:szCs w:val="24"/>
        </w:rPr>
        <w:t>38565785</w:t>
      </w:r>
    </w:p>
    <w:p w:rsidR="00783788" w:rsidRDefault="002C6E18">
      <w:pPr>
        <w:spacing w:line="360" w:lineRule="auto"/>
        <w:ind w:firstLineChars="200" w:firstLine="480"/>
        <w:rPr>
          <w:sz w:val="24"/>
          <w:szCs w:val="24"/>
        </w:rPr>
      </w:pPr>
      <w:r>
        <w:rPr>
          <w:rFonts w:hint="eastAsia"/>
          <w:sz w:val="24"/>
          <w:szCs w:val="24"/>
        </w:rPr>
        <w:t>传真：（</w:t>
      </w:r>
      <w:r>
        <w:rPr>
          <w:rFonts w:hint="eastAsia"/>
          <w:sz w:val="24"/>
          <w:szCs w:val="24"/>
        </w:rPr>
        <w:t>021</w:t>
      </w:r>
      <w:r>
        <w:rPr>
          <w:rFonts w:hint="eastAsia"/>
          <w:sz w:val="24"/>
          <w:szCs w:val="24"/>
        </w:rPr>
        <w:t>）</w:t>
      </w:r>
      <w:r>
        <w:rPr>
          <w:rFonts w:hint="eastAsia"/>
          <w:sz w:val="24"/>
          <w:szCs w:val="24"/>
        </w:rPr>
        <w:t>38565955</w:t>
      </w:r>
    </w:p>
    <w:p w:rsidR="00783788" w:rsidRDefault="002C6E18">
      <w:pPr>
        <w:spacing w:line="360" w:lineRule="auto"/>
        <w:ind w:firstLineChars="200" w:firstLine="480"/>
        <w:rPr>
          <w:sz w:val="24"/>
          <w:szCs w:val="24"/>
        </w:rPr>
      </w:pPr>
      <w:r>
        <w:rPr>
          <w:rFonts w:hint="eastAsia"/>
          <w:sz w:val="24"/>
          <w:szCs w:val="24"/>
        </w:rPr>
        <w:t>联系人：谢高得</w:t>
      </w:r>
    </w:p>
    <w:p w:rsidR="00783788" w:rsidRDefault="002C6E18">
      <w:pPr>
        <w:spacing w:line="360" w:lineRule="auto"/>
        <w:ind w:firstLineChars="200" w:firstLine="480"/>
        <w:rPr>
          <w:sz w:val="24"/>
          <w:szCs w:val="24"/>
        </w:rPr>
      </w:pPr>
      <w:r>
        <w:rPr>
          <w:rFonts w:hint="eastAsia"/>
          <w:sz w:val="24"/>
          <w:szCs w:val="24"/>
        </w:rPr>
        <w:t>客户服务电话：</w:t>
      </w:r>
      <w:r>
        <w:rPr>
          <w:rFonts w:hint="eastAsia"/>
          <w:sz w:val="24"/>
          <w:szCs w:val="24"/>
        </w:rPr>
        <w:t>400-8888-123</w:t>
      </w:r>
    </w:p>
    <w:p w:rsidR="00783788" w:rsidRDefault="002C6E18">
      <w:pPr>
        <w:spacing w:line="360" w:lineRule="auto"/>
        <w:ind w:firstLineChars="200" w:firstLine="480"/>
        <w:rPr>
          <w:sz w:val="24"/>
          <w:szCs w:val="24"/>
        </w:rPr>
      </w:pPr>
      <w:r>
        <w:rPr>
          <w:rFonts w:hint="eastAsia"/>
          <w:sz w:val="24"/>
          <w:szCs w:val="24"/>
        </w:rPr>
        <w:t>网址：</w:t>
      </w:r>
      <w:r>
        <w:rPr>
          <w:rFonts w:hint="eastAsia"/>
          <w:sz w:val="24"/>
          <w:szCs w:val="24"/>
        </w:rPr>
        <w:t>www.xyzq.com.cn</w:t>
      </w:r>
    </w:p>
    <w:p w:rsidR="00783788" w:rsidRDefault="002C6E18">
      <w:pPr>
        <w:spacing w:line="360" w:lineRule="auto"/>
        <w:ind w:firstLineChars="200" w:firstLine="480"/>
        <w:rPr>
          <w:sz w:val="24"/>
          <w:szCs w:val="24"/>
        </w:rPr>
      </w:pPr>
      <w:r>
        <w:rPr>
          <w:rFonts w:hint="eastAsia"/>
          <w:sz w:val="24"/>
          <w:szCs w:val="24"/>
        </w:rPr>
        <w:t>（</w:t>
      </w:r>
      <w:r>
        <w:rPr>
          <w:rFonts w:hint="eastAsia"/>
          <w:sz w:val="24"/>
          <w:szCs w:val="24"/>
        </w:rPr>
        <w:t>10</w:t>
      </w:r>
      <w:r>
        <w:rPr>
          <w:rFonts w:hint="eastAsia"/>
          <w:sz w:val="24"/>
          <w:szCs w:val="24"/>
        </w:rPr>
        <w:t>）</w:t>
      </w:r>
      <w:r>
        <w:rPr>
          <w:rFonts w:hint="eastAsia"/>
          <w:sz w:val="24"/>
          <w:szCs w:val="24"/>
        </w:rPr>
        <w:t xml:space="preserve"> </w:t>
      </w:r>
      <w:r>
        <w:rPr>
          <w:rFonts w:hint="eastAsia"/>
          <w:sz w:val="24"/>
          <w:szCs w:val="24"/>
        </w:rPr>
        <w:t>中信证券股份有限公司</w:t>
      </w:r>
    </w:p>
    <w:p w:rsidR="00783788" w:rsidRDefault="002C6E18">
      <w:pPr>
        <w:spacing w:line="360" w:lineRule="auto"/>
        <w:ind w:firstLineChars="200" w:firstLine="480"/>
        <w:rPr>
          <w:sz w:val="24"/>
          <w:szCs w:val="24"/>
        </w:rPr>
      </w:pPr>
      <w:r>
        <w:rPr>
          <w:rFonts w:hint="eastAsia"/>
          <w:sz w:val="24"/>
          <w:szCs w:val="24"/>
        </w:rPr>
        <w:t>住所：深圳市深南大道</w:t>
      </w:r>
      <w:r>
        <w:rPr>
          <w:rFonts w:hint="eastAsia"/>
          <w:sz w:val="24"/>
          <w:szCs w:val="24"/>
        </w:rPr>
        <w:t>7088</w:t>
      </w:r>
      <w:r>
        <w:rPr>
          <w:rFonts w:hint="eastAsia"/>
          <w:sz w:val="24"/>
          <w:szCs w:val="24"/>
        </w:rPr>
        <w:t>号招商银行大厦</w:t>
      </w:r>
      <w:r>
        <w:rPr>
          <w:rFonts w:hint="eastAsia"/>
          <w:sz w:val="24"/>
          <w:szCs w:val="24"/>
        </w:rPr>
        <w:t>A</w:t>
      </w:r>
      <w:r>
        <w:rPr>
          <w:rFonts w:hint="eastAsia"/>
          <w:sz w:val="24"/>
          <w:szCs w:val="24"/>
        </w:rPr>
        <w:t>层</w:t>
      </w:r>
    </w:p>
    <w:p w:rsidR="00783788" w:rsidRDefault="002C6E18">
      <w:pPr>
        <w:spacing w:line="360" w:lineRule="auto"/>
        <w:ind w:firstLineChars="200" w:firstLine="480"/>
        <w:rPr>
          <w:sz w:val="24"/>
          <w:szCs w:val="24"/>
        </w:rPr>
      </w:pPr>
      <w:r>
        <w:rPr>
          <w:rFonts w:hint="eastAsia"/>
          <w:sz w:val="24"/>
          <w:szCs w:val="24"/>
        </w:rPr>
        <w:t>办公地址：北京市朝阳区亮马桥路</w:t>
      </w:r>
      <w:r>
        <w:rPr>
          <w:rFonts w:hint="eastAsia"/>
          <w:sz w:val="24"/>
          <w:szCs w:val="24"/>
        </w:rPr>
        <w:t>48</w:t>
      </w:r>
      <w:r>
        <w:rPr>
          <w:rFonts w:hint="eastAsia"/>
          <w:sz w:val="24"/>
          <w:szCs w:val="24"/>
        </w:rPr>
        <w:t>号中信证券大厦</w:t>
      </w:r>
    </w:p>
    <w:p w:rsidR="00783788" w:rsidRDefault="002C6E18">
      <w:pPr>
        <w:spacing w:line="360" w:lineRule="auto"/>
        <w:ind w:firstLineChars="200" w:firstLine="480"/>
        <w:rPr>
          <w:sz w:val="24"/>
          <w:szCs w:val="24"/>
        </w:rPr>
      </w:pPr>
      <w:r>
        <w:rPr>
          <w:rFonts w:hint="eastAsia"/>
          <w:sz w:val="24"/>
          <w:szCs w:val="24"/>
        </w:rPr>
        <w:t>法定代表人：王东明</w:t>
      </w:r>
    </w:p>
    <w:p w:rsidR="00783788" w:rsidRDefault="002C6E18">
      <w:pPr>
        <w:spacing w:line="360" w:lineRule="auto"/>
        <w:ind w:firstLineChars="200" w:firstLine="480"/>
        <w:rPr>
          <w:sz w:val="24"/>
          <w:szCs w:val="24"/>
        </w:rPr>
      </w:pPr>
      <w:r>
        <w:rPr>
          <w:rFonts w:hint="eastAsia"/>
          <w:sz w:val="24"/>
          <w:szCs w:val="24"/>
        </w:rPr>
        <w:t>电话：（</w:t>
      </w:r>
      <w:r>
        <w:rPr>
          <w:rFonts w:hint="eastAsia"/>
          <w:sz w:val="24"/>
          <w:szCs w:val="24"/>
        </w:rPr>
        <w:t>010</w:t>
      </w:r>
      <w:r>
        <w:rPr>
          <w:rFonts w:hint="eastAsia"/>
          <w:sz w:val="24"/>
          <w:szCs w:val="24"/>
        </w:rPr>
        <w:t>）</w:t>
      </w:r>
      <w:r>
        <w:rPr>
          <w:rFonts w:hint="eastAsia"/>
          <w:sz w:val="24"/>
          <w:szCs w:val="24"/>
        </w:rPr>
        <w:t>60838888</w:t>
      </w:r>
    </w:p>
    <w:p w:rsidR="00783788" w:rsidRDefault="002C6E18">
      <w:pPr>
        <w:spacing w:line="360" w:lineRule="auto"/>
        <w:ind w:firstLineChars="200" w:firstLine="480"/>
        <w:rPr>
          <w:sz w:val="24"/>
          <w:szCs w:val="24"/>
        </w:rPr>
      </w:pPr>
      <w:r>
        <w:rPr>
          <w:rFonts w:hint="eastAsia"/>
          <w:sz w:val="24"/>
          <w:szCs w:val="24"/>
        </w:rPr>
        <w:t>传真：（</w:t>
      </w:r>
      <w:r>
        <w:rPr>
          <w:rFonts w:hint="eastAsia"/>
          <w:sz w:val="24"/>
          <w:szCs w:val="24"/>
        </w:rPr>
        <w:t>010</w:t>
      </w:r>
      <w:r>
        <w:rPr>
          <w:rFonts w:hint="eastAsia"/>
          <w:sz w:val="24"/>
          <w:szCs w:val="24"/>
        </w:rPr>
        <w:t>）</w:t>
      </w:r>
      <w:r>
        <w:rPr>
          <w:rFonts w:hint="eastAsia"/>
          <w:sz w:val="24"/>
          <w:szCs w:val="24"/>
        </w:rPr>
        <w:t>60833739</w:t>
      </w:r>
    </w:p>
    <w:p w:rsidR="00783788" w:rsidRDefault="002C6E18">
      <w:pPr>
        <w:spacing w:line="360" w:lineRule="auto"/>
        <w:ind w:firstLineChars="200" w:firstLine="480"/>
        <w:rPr>
          <w:sz w:val="24"/>
          <w:szCs w:val="24"/>
        </w:rPr>
      </w:pPr>
      <w:r>
        <w:rPr>
          <w:rFonts w:hint="eastAsia"/>
          <w:sz w:val="24"/>
          <w:szCs w:val="24"/>
        </w:rPr>
        <w:t>联系人：陈忠</w:t>
      </w:r>
    </w:p>
    <w:p w:rsidR="00783788" w:rsidRDefault="002C6E18">
      <w:pPr>
        <w:spacing w:line="360" w:lineRule="auto"/>
        <w:ind w:firstLineChars="200" w:firstLine="480"/>
        <w:rPr>
          <w:sz w:val="24"/>
          <w:szCs w:val="24"/>
        </w:rPr>
      </w:pPr>
      <w:r>
        <w:rPr>
          <w:rFonts w:hint="eastAsia"/>
          <w:sz w:val="24"/>
          <w:szCs w:val="24"/>
        </w:rPr>
        <w:t>客户服务电话：</w:t>
      </w:r>
      <w:r>
        <w:rPr>
          <w:rFonts w:hint="eastAsia"/>
          <w:sz w:val="24"/>
          <w:szCs w:val="24"/>
        </w:rPr>
        <w:t>95558</w:t>
      </w:r>
    </w:p>
    <w:p w:rsidR="00783788" w:rsidRDefault="002C6E18">
      <w:pPr>
        <w:spacing w:line="360" w:lineRule="auto"/>
        <w:ind w:firstLineChars="200" w:firstLine="480"/>
        <w:rPr>
          <w:sz w:val="24"/>
          <w:szCs w:val="24"/>
        </w:rPr>
      </w:pPr>
      <w:r>
        <w:rPr>
          <w:rFonts w:hint="eastAsia"/>
          <w:sz w:val="24"/>
          <w:szCs w:val="24"/>
        </w:rPr>
        <w:t>网址：</w:t>
      </w:r>
      <w:r>
        <w:rPr>
          <w:rFonts w:hint="eastAsia"/>
          <w:sz w:val="24"/>
          <w:szCs w:val="24"/>
        </w:rPr>
        <w:t>www.cs.ecitic.com</w:t>
      </w:r>
    </w:p>
    <w:p w:rsidR="00783788" w:rsidRDefault="002C6E18">
      <w:pPr>
        <w:spacing w:line="360" w:lineRule="auto"/>
        <w:ind w:firstLineChars="200" w:firstLine="480"/>
        <w:rPr>
          <w:sz w:val="24"/>
          <w:szCs w:val="24"/>
        </w:rPr>
      </w:pPr>
      <w:r>
        <w:rPr>
          <w:rFonts w:hint="eastAsia"/>
          <w:sz w:val="24"/>
          <w:szCs w:val="24"/>
        </w:rPr>
        <w:t>（</w:t>
      </w:r>
      <w:r>
        <w:rPr>
          <w:rFonts w:hint="eastAsia"/>
          <w:sz w:val="24"/>
          <w:szCs w:val="24"/>
        </w:rPr>
        <w:t>11</w:t>
      </w:r>
      <w:r>
        <w:rPr>
          <w:rFonts w:hint="eastAsia"/>
          <w:sz w:val="24"/>
          <w:szCs w:val="24"/>
        </w:rPr>
        <w:t>）</w:t>
      </w:r>
      <w:r>
        <w:rPr>
          <w:rFonts w:hint="eastAsia"/>
          <w:sz w:val="24"/>
          <w:szCs w:val="24"/>
        </w:rPr>
        <w:t xml:space="preserve"> </w:t>
      </w:r>
      <w:r>
        <w:rPr>
          <w:rFonts w:hint="eastAsia"/>
          <w:sz w:val="24"/>
          <w:szCs w:val="24"/>
        </w:rPr>
        <w:t>申万宏源证券有限公司</w:t>
      </w:r>
    </w:p>
    <w:p w:rsidR="00783788" w:rsidRDefault="002C6E18">
      <w:pPr>
        <w:spacing w:line="360" w:lineRule="auto"/>
        <w:ind w:firstLineChars="200" w:firstLine="480"/>
        <w:rPr>
          <w:sz w:val="24"/>
          <w:szCs w:val="24"/>
        </w:rPr>
      </w:pPr>
      <w:r>
        <w:rPr>
          <w:rFonts w:hint="eastAsia"/>
          <w:sz w:val="24"/>
          <w:szCs w:val="24"/>
        </w:rPr>
        <w:t>住所：上海市徐汇区长乐路</w:t>
      </w:r>
      <w:r>
        <w:rPr>
          <w:rFonts w:hint="eastAsia"/>
          <w:sz w:val="24"/>
          <w:szCs w:val="24"/>
        </w:rPr>
        <w:t>989</w:t>
      </w:r>
      <w:r>
        <w:rPr>
          <w:rFonts w:hint="eastAsia"/>
          <w:sz w:val="24"/>
          <w:szCs w:val="24"/>
        </w:rPr>
        <w:t>号世纪商贸广场</w:t>
      </w:r>
      <w:r>
        <w:rPr>
          <w:rFonts w:hint="eastAsia"/>
          <w:sz w:val="24"/>
          <w:szCs w:val="24"/>
        </w:rPr>
        <w:t>45</w:t>
      </w:r>
      <w:r>
        <w:rPr>
          <w:rFonts w:hint="eastAsia"/>
          <w:sz w:val="24"/>
          <w:szCs w:val="24"/>
        </w:rPr>
        <w:t>层</w:t>
      </w:r>
      <w:r>
        <w:rPr>
          <w:rFonts w:hint="eastAsia"/>
          <w:sz w:val="24"/>
          <w:szCs w:val="24"/>
        </w:rPr>
        <w:t xml:space="preserve"> </w:t>
      </w:r>
    </w:p>
    <w:p w:rsidR="00783788" w:rsidRDefault="002C6E18">
      <w:pPr>
        <w:spacing w:line="360" w:lineRule="auto"/>
        <w:ind w:firstLineChars="200" w:firstLine="480"/>
        <w:rPr>
          <w:sz w:val="24"/>
          <w:szCs w:val="24"/>
        </w:rPr>
      </w:pPr>
      <w:r>
        <w:rPr>
          <w:rFonts w:hint="eastAsia"/>
          <w:sz w:val="24"/>
          <w:szCs w:val="24"/>
        </w:rPr>
        <w:t>办公地址：上海市徐汇区长乐路</w:t>
      </w:r>
      <w:r>
        <w:rPr>
          <w:rFonts w:hint="eastAsia"/>
          <w:sz w:val="24"/>
          <w:szCs w:val="24"/>
        </w:rPr>
        <w:t>989</w:t>
      </w:r>
      <w:r>
        <w:rPr>
          <w:rFonts w:hint="eastAsia"/>
          <w:sz w:val="24"/>
          <w:szCs w:val="24"/>
        </w:rPr>
        <w:t>号世纪商贸广场</w:t>
      </w:r>
      <w:r>
        <w:rPr>
          <w:rFonts w:hint="eastAsia"/>
          <w:sz w:val="24"/>
          <w:szCs w:val="24"/>
        </w:rPr>
        <w:t>45</w:t>
      </w:r>
      <w:r>
        <w:rPr>
          <w:rFonts w:hint="eastAsia"/>
          <w:sz w:val="24"/>
          <w:szCs w:val="24"/>
        </w:rPr>
        <w:t>层</w:t>
      </w:r>
    </w:p>
    <w:p w:rsidR="00783788" w:rsidRDefault="002C6E18">
      <w:pPr>
        <w:spacing w:line="360" w:lineRule="auto"/>
        <w:ind w:firstLineChars="200" w:firstLine="480"/>
        <w:rPr>
          <w:sz w:val="24"/>
          <w:szCs w:val="24"/>
        </w:rPr>
      </w:pPr>
      <w:r>
        <w:rPr>
          <w:rFonts w:hint="eastAsia"/>
          <w:sz w:val="24"/>
          <w:szCs w:val="24"/>
        </w:rPr>
        <w:t>法定代表人：李梅</w:t>
      </w:r>
    </w:p>
    <w:p w:rsidR="00783788" w:rsidRDefault="002C6E18">
      <w:pPr>
        <w:spacing w:line="360" w:lineRule="auto"/>
        <w:ind w:firstLineChars="200" w:firstLine="480"/>
        <w:rPr>
          <w:sz w:val="24"/>
          <w:szCs w:val="24"/>
        </w:rPr>
      </w:pPr>
      <w:r>
        <w:rPr>
          <w:rFonts w:hint="eastAsia"/>
          <w:sz w:val="24"/>
          <w:szCs w:val="24"/>
        </w:rPr>
        <w:t>电话：（</w:t>
      </w:r>
      <w:r>
        <w:rPr>
          <w:rFonts w:hint="eastAsia"/>
          <w:sz w:val="24"/>
          <w:szCs w:val="24"/>
        </w:rPr>
        <w:t>021</w:t>
      </w:r>
      <w:r>
        <w:rPr>
          <w:rFonts w:hint="eastAsia"/>
          <w:sz w:val="24"/>
          <w:szCs w:val="24"/>
        </w:rPr>
        <w:t>）</w:t>
      </w:r>
      <w:r>
        <w:rPr>
          <w:rFonts w:hint="eastAsia"/>
          <w:sz w:val="24"/>
          <w:szCs w:val="24"/>
        </w:rPr>
        <w:t>33389888</w:t>
      </w:r>
    </w:p>
    <w:p w:rsidR="00783788" w:rsidRDefault="002C6E18">
      <w:pPr>
        <w:spacing w:line="360" w:lineRule="auto"/>
        <w:ind w:firstLineChars="200" w:firstLine="480"/>
        <w:rPr>
          <w:sz w:val="24"/>
          <w:szCs w:val="24"/>
        </w:rPr>
      </w:pPr>
      <w:r>
        <w:rPr>
          <w:rFonts w:hint="eastAsia"/>
          <w:sz w:val="24"/>
          <w:szCs w:val="24"/>
        </w:rPr>
        <w:t>联系人：李清怡</w:t>
      </w:r>
    </w:p>
    <w:p w:rsidR="00783788" w:rsidRDefault="002C6E18">
      <w:pPr>
        <w:spacing w:line="360" w:lineRule="auto"/>
        <w:ind w:firstLineChars="200" w:firstLine="480"/>
        <w:rPr>
          <w:sz w:val="24"/>
          <w:szCs w:val="24"/>
        </w:rPr>
      </w:pPr>
      <w:r>
        <w:rPr>
          <w:rFonts w:hint="eastAsia"/>
          <w:sz w:val="24"/>
          <w:szCs w:val="24"/>
        </w:rPr>
        <w:t>客户服务电话：</w:t>
      </w:r>
      <w:r>
        <w:rPr>
          <w:rFonts w:hint="eastAsia"/>
          <w:sz w:val="24"/>
          <w:szCs w:val="24"/>
        </w:rPr>
        <w:t>95523</w:t>
      </w:r>
      <w:r>
        <w:rPr>
          <w:rFonts w:hint="eastAsia"/>
          <w:sz w:val="24"/>
          <w:szCs w:val="24"/>
        </w:rPr>
        <w:t>或</w:t>
      </w:r>
      <w:r>
        <w:rPr>
          <w:rFonts w:hint="eastAsia"/>
          <w:sz w:val="24"/>
          <w:szCs w:val="24"/>
        </w:rPr>
        <w:t>4008895523</w:t>
      </w:r>
    </w:p>
    <w:p w:rsidR="00783788" w:rsidRDefault="002C6E18">
      <w:pPr>
        <w:spacing w:line="360" w:lineRule="auto"/>
        <w:ind w:firstLineChars="200" w:firstLine="480"/>
        <w:rPr>
          <w:sz w:val="24"/>
          <w:szCs w:val="24"/>
        </w:rPr>
      </w:pPr>
      <w:r>
        <w:rPr>
          <w:rFonts w:hint="eastAsia"/>
          <w:sz w:val="24"/>
          <w:szCs w:val="24"/>
        </w:rPr>
        <w:t>网址：</w:t>
      </w:r>
      <w:r>
        <w:rPr>
          <w:rFonts w:hint="eastAsia"/>
          <w:sz w:val="24"/>
          <w:szCs w:val="24"/>
        </w:rPr>
        <w:t>www.sywg.com</w:t>
      </w:r>
    </w:p>
    <w:p w:rsidR="00783788" w:rsidRDefault="002C6E18">
      <w:pPr>
        <w:spacing w:line="360" w:lineRule="auto"/>
        <w:ind w:firstLineChars="200" w:firstLine="480"/>
        <w:rPr>
          <w:sz w:val="24"/>
          <w:szCs w:val="24"/>
        </w:rPr>
      </w:pPr>
      <w:r>
        <w:rPr>
          <w:rFonts w:hint="eastAsia"/>
          <w:sz w:val="24"/>
          <w:szCs w:val="24"/>
        </w:rPr>
        <w:t>（</w:t>
      </w:r>
      <w:r>
        <w:rPr>
          <w:rFonts w:hint="eastAsia"/>
          <w:sz w:val="24"/>
          <w:szCs w:val="24"/>
        </w:rPr>
        <w:t>12</w:t>
      </w:r>
      <w:r>
        <w:rPr>
          <w:rFonts w:hint="eastAsia"/>
          <w:sz w:val="24"/>
          <w:szCs w:val="24"/>
        </w:rPr>
        <w:t>）</w:t>
      </w:r>
      <w:r>
        <w:rPr>
          <w:rFonts w:hint="eastAsia"/>
          <w:sz w:val="24"/>
          <w:szCs w:val="24"/>
        </w:rPr>
        <w:t xml:space="preserve"> </w:t>
      </w:r>
      <w:r>
        <w:rPr>
          <w:rFonts w:hint="eastAsia"/>
          <w:sz w:val="24"/>
          <w:szCs w:val="24"/>
        </w:rPr>
        <w:t>国都证券有限责任公司</w:t>
      </w:r>
    </w:p>
    <w:p w:rsidR="00783788" w:rsidRDefault="002C6E18">
      <w:pPr>
        <w:spacing w:line="360" w:lineRule="auto"/>
        <w:ind w:firstLineChars="200" w:firstLine="480"/>
        <w:rPr>
          <w:sz w:val="24"/>
          <w:szCs w:val="24"/>
        </w:rPr>
      </w:pPr>
      <w:r>
        <w:rPr>
          <w:rFonts w:hint="eastAsia"/>
          <w:sz w:val="24"/>
          <w:szCs w:val="24"/>
        </w:rPr>
        <w:t>住所：北京市东城区东直门南大街</w:t>
      </w:r>
      <w:r>
        <w:rPr>
          <w:rFonts w:hint="eastAsia"/>
          <w:sz w:val="24"/>
          <w:szCs w:val="24"/>
        </w:rPr>
        <w:t>3</w:t>
      </w:r>
      <w:r>
        <w:rPr>
          <w:rFonts w:hint="eastAsia"/>
          <w:sz w:val="24"/>
          <w:szCs w:val="24"/>
        </w:rPr>
        <w:t>号国华投资大厦</w:t>
      </w:r>
      <w:r>
        <w:rPr>
          <w:rFonts w:hint="eastAsia"/>
          <w:sz w:val="24"/>
          <w:szCs w:val="24"/>
        </w:rPr>
        <w:t>9</w:t>
      </w:r>
      <w:r>
        <w:rPr>
          <w:rFonts w:hint="eastAsia"/>
          <w:sz w:val="24"/>
          <w:szCs w:val="24"/>
        </w:rPr>
        <w:t>层</w:t>
      </w:r>
      <w:r>
        <w:rPr>
          <w:rFonts w:hint="eastAsia"/>
          <w:sz w:val="24"/>
          <w:szCs w:val="24"/>
        </w:rPr>
        <w:t>10</w:t>
      </w:r>
      <w:r>
        <w:rPr>
          <w:rFonts w:hint="eastAsia"/>
          <w:sz w:val="24"/>
          <w:szCs w:val="24"/>
        </w:rPr>
        <w:t>层</w:t>
      </w:r>
    </w:p>
    <w:p w:rsidR="00783788" w:rsidRDefault="002C6E18">
      <w:pPr>
        <w:spacing w:line="360" w:lineRule="auto"/>
        <w:ind w:firstLineChars="200" w:firstLine="480"/>
        <w:rPr>
          <w:sz w:val="24"/>
          <w:szCs w:val="24"/>
        </w:rPr>
      </w:pPr>
      <w:r>
        <w:rPr>
          <w:rFonts w:hint="eastAsia"/>
          <w:sz w:val="24"/>
          <w:szCs w:val="24"/>
        </w:rPr>
        <w:t>办公地址：北京市东城区东直门南大街</w:t>
      </w:r>
      <w:r>
        <w:rPr>
          <w:rFonts w:hint="eastAsia"/>
          <w:sz w:val="24"/>
          <w:szCs w:val="24"/>
        </w:rPr>
        <w:t>3</w:t>
      </w:r>
      <w:r>
        <w:rPr>
          <w:rFonts w:hint="eastAsia"/>
          <w:sz w:val="24"/>
          <w:szCs w:val="24"/>
        </w:rPr>
        <w:t>号国华投资大厦</w:t>
      </w:r>
      <w:r>
        <w:rPr>
          <w:rFonts w:hint="eastAsia"/>
          <w:sz w:val="24"/>
          <w:szCs w:val="24"/>
        </w:rPr>
        <w:t>9</w:t>
      </w:r>
      <w:r>
        <w:rPr>
          <w:rFonts w:hint="eastAsia"/>
          <w:sz w:val="24"/>
          <w:szCs w:val="24"/>
        </w:rPr>
        <w:t>层</w:t>
      </w:r>
      <w:r>
        <w:rPr>
          <w:rFonts w:hint="eastAsia"/>
          <w:sz w:val="24"/>
          <w:szCs w:val="24"/>
        </w:rPr>
        <w:t>10</w:t>
      </w:r>
      <w:r>
        <w:rPr>
          <w:rFonts w:hint="eastAsia"/>
          <w:sz w:val="24"/>
          <w:szCs w:val="24"/>
        </w:rPr>
        <w:t>层</w:t>
      </w:r>
    </w:p>
    <w:p w:rsidR="00783788" w:rsidRDefault="002C6E18">
      <w:pPr>
        <w:spacing w:line="360" w:lineRule="auto"/>
        <w:ind w:firstLineChars="200" w:firstLine="480"/>
        <w:rPr>
          <w:sz w:val="24"/>
          <w:szCs w:val="24"/>
        </w:rPr>
      </w:pPr>
      <w:r>
        <w:rPr>
          <w:rFonts w:hint="eastAsia"/>
          <w:sz w:val="24"/>
          <w:szCs w:val="24"/>
        </w:rPr>
        <w:t>法定代表人：常喆</w:t>
      </w:r>
    </w:p>
    <w:p w:rsidR="00783788" w:rsidRDefault="002C6E18">
      <w:pPr>
        <w:spacing w:line="360" w:lineRule="auto"/>
        <w:ind w:firstLineChars="200" w:firstLine="480"/>
        <w:rPr>
          <w:sz w:val="24"/>
          <w:szCs w:val="24"/>
        </w:rPr>
      </w:pPr>
      <w:r>
        <w:rPr>
          <w:rFonts w:hint="eastAsia"/>
          <w:sz w:val="24"/>
          <w:szCs w:val="24"/>
        </w:rPr>
        <w:t>客户服务电话：</w:t>
      </w:r>
      <w:r>
        <w:rPr>
          <w:rFonts w:hint="eastAsia"/>
          <w:sz w:val="24"/>
          <w:szCs w:val="24"/>
        </w:rPr>
        <w:t>400-818-8118</w:t>
      </w:r>
    </w:p>
    <w:p w:rsidR="00783788" w:rsidRDefault="002C6E18">
      <w:pPr>
        <w:spacing w:line="360" w:lineRule="auto"/>
        <w:ind w:firstLineChars="200" w:firstLine="480"/>
        <w:rPr>
          <w:sz w:val="24"/>
          <w:szCs w:val="24"/>
        </w:rPr>
      </w:pPr>
      <w:r>
        <w:rPr>
          <w:rFonts w:hint="eastAsia"/>
          <w:sz w:val="24"/>
          <w:szCs w:val="24"/>
        </w:rPr>
        <w:t>网址：</w:t>
      </w:r>
      <w:r>
        <w:rPr>
          <w:rFonts w:hint="eastAsia"/>
          <w:sz w:val="24"/>
          <w:szCs w:val="24"/>
        </w:rPr>
        <w:t>www.guodu.com</w:t>
      </w:r>
    </w:p>
    <w:p w:rsidR="00783788" w:rsidRDefault="002C6E18">
      <w:pPr>
        <w:spacing w:line="360" w:lineRule="auto"/>
        <w:ind w:firstLineChars="200" w:firstLine="480"/>
        <w:rPr>
          <w:sz w:val="24"/>
          <w:szCs w:val="24"/>
        </w:rPr>
      </w:pPr>
      <w:r>
        <w:rPr>
          <w:rFonts w:hint="eastAsia"/>
          <w:sz w:val="24"/>
          <w:szCs w:val="24"/>
        </w:rPr>
        <w:t>（</w:t>
      </w:r>
      <w:r>
        <w:rPr>
          <w:rFonts w:hint="eastAsia"/>
          <w:sz w:val="24"/>
          <w:szCs w:val="24"/>
        </w:rPr>
        <w:t>13</w:t>
      </w:r>
      <w:r>
        <w:rPr>
          <w:rFonts w:hint="eastAsia"/>
          <w:sz w:val="24"/>
          <w:szCs w:val="24"/>
        </w:rPr>
        <w:t>）</w:t>
      </w:r>
      <w:r>
        <w:rPr>
          <w:rFonts w:hint="eastAsia"/>
          <w:sz w:val="24"/>
          <w:szCs w:val="24"/>
        </w:rPr>
        <w:t xml:space="preserve"> </w:t>
      </w:r>
      <w:r>
        <w:rPr>
          <w:rFonts w:hint="eastAsia"/>
          <w:sz w:val="24"/>
          <w:szCs w:val="24"/>
        </w:rPr>
        <w:t>中信证券（浙江）有限责任公司</w:t>
      </w:r>
    </w:p>
    <w:p w:rsidR="00783788" w:rsidRDefault="002C6E18">
      <w:pPr>
        <w:spacing w:line="360" w:lineRule="auto"/>
        <w:ind w:firstLineChars="200" w:firstLine="480"/>
        <w:rPr>
          <w:sz w:val="24"/>
          <w:szCs w:val="24"/>
        </w:rPr>
      </w:pPr>
      <w:r>
        <w:rPr>
          <w:rFonts w:hint="eastAsia"/>
          <w:sz w:val="24"/>
          <w:szCs w:val="24"/>
        </w:rPr>
        <w:t>住所：浙江省杭州市解放东路</w:t>
      </w:r>
      <w:r>
        <w:rPr>
          <w:rFonts w:hint="eastAsia"/>
          <w:sz w:val="24"/>
          <w:szCs w:val="24"/>
        </w:rPr>
        <w:t>29</w:t>
      </w:r>
      <w:r>
        <w:rPr>
          <w:rFonts w:hint="eastAsia"/>
          <w:sz w:val="24"/>
          <w:szCs w:val="24"/>
        </w:rPr>
        <w:t>号迪凯银座</w:t>
      </w:r>
      <w:r>
        <w:rPr>
          <w:rFonts w:hint="eastAsia"/>
          <w:sz w:val="24"/>
          <w:szCs w:val="24"/>
        </w:rPr>
        <w:t>22</w:t>
      </w:r>
      <w:r>
        <w:rPr>
          <w:rFonts w:hint="eastAsia"/>
          <w:sz w:val="24"/>
          <w:szCs w:val="24"/>
        </w:rPr>
        <w:t>层</w:t>
      </w:r>
    </w:p>
    <w:p w:rsidR="00783788" w:rsidRDefault="002C6E18">
      <w:pPr>
        <w:spacing w:line="360" w:lineRule="auto"/>
        <w:ind w:firstLineChars="200" w:firstLine="480"/>
        <w:rPr>
          <w:sz w:val="24"/>
          <w:szCs w:val="24"/>
        </w:rPr>
      </w:pPr>
      <w:r>
        <w:rPr>
          <w:rFonts w:hint="eastAsia"/>
          <w:sz w:val="24"/>
          <w:szCs w:val="24"/>
        </w:rPr>
        <w:t>办公地址：浙江省杭州市解放东路</w:t>
      </w:r>
      <w:r>
        <w:rPr>
          <w:rFonts w:hint="eastAsia"/>
          <w:sz w:val="24"/>
          <w:szCs w:val="24"/>
        </w:rPr>
        <w:t>29</w:t>
      </w:r>
      <w:r>
        <w:rPr>
          <w:rFonts w:hint="eastAsia"/>
          <w:sz w:val="24"/>
          <w:szCs w:val="24"/>
        </w:rPr>
        <w:t>号迪凯银座</w:t>
      </w:r>
      <w:r>
        <w:rPr>
          <w:rFonts w:hint="eastAsia"/>
          <w:sz w:val="24"/>
          <w:szCs w:val="24"/>
        </w:rPr>
        <w:t>22</w:t>
      </w:r>
      <w:r>
        <w:rPr>
          <w:rFonts w:hint="eastAsia"/>
          <w:sz w:val="24"/>
          <w:szCs w:val="24"/>
        </w:rPr>
        <w:t>层</w:t>
      </w:r>
    </w:p>
    <w:p w:rsidR="00783788" w:rsidRDefault="002C6E18">
      <w:pPr>
        <w:spacing w:line="360" w:lineRule="auto"/>
        <w:ind w:firstLineChars="200" w:firstLine="480"/>
        <w:rPr>
          <w:sz w:val="24"/>
          <w:szCs w:val="24"/>
        </w:rPr>
      </w:pPr>
      <w:r>
        <w:rPr>
          <w:rFonts w:hint="eastAsia"/>
          <w:sz w:val="24"/>
          <w:szCs w:val="24"/>
        </w:rPr>
        <w:t>法定代表人：沈强</w:t>
      </w:r>
    </w:p>
    <w:p w:rsidR="00783788" w:rsidRDefault="002C6E18">
      <w:pPr>
        <w:spacing w:line="360" w:lineRule="auto"/>
        <w:ind w:firstLineChars="200" w:firstLine="480"/>
        <w:rPr>
          <w:sz w:val="24"/>
          <w:szCs w:val="24"/>
        </w:rPr>
      </w:pPr>
      <w:r>
        <w:rPr>
          <w:rFonts w:hint="eastAsia"/>
          <w:sz w:val="24"/>
          <w:szCs w:val="24"/>
        </w:rPr>
        <w:t>电话：（</w:t>
      </w:r>
      <w:r>
        <w:rPr>
          <w:rFonts w:hint="eastAsia"/>
          <w:sz w:val="24"/>
          <w:szCs w:val="24"/>
        </w:rPr>
        <w:t>0571</w:t>
      </w:r>
      <w:r>
        <w:rPr>
          <w:rFonts w:hint="eastAsia"/>
          <w:sz w:val="24"/>
          <w:szCs w:val="24"/>
        </w:rPr>
        <w:t>）</w:t>
      </w:r>
      <w:r>
        <w:rPr>
          <w:rFonts w:hint="eastAsia"/>
          <w:sz w:val="24"/>
          <w:szCs w:val="24"/>
        </w:rPr>
        <w:t>85776114</w:t>
      </w:r>
    </w:p>
    <w:p w:rsidR="00783788" w:rsidRDefault="002C6E18">
      <w:pPr>
        <w:spacing w:line="360" w:lineRule="auto"/>
        <w:ind w:firstLineChars="200" w:firstLine="480"/>
        <w:rPr>
          <w:sz w:val="24"/>
          <w:szCs w:val="24"/>
        </w:rPr>
      </w:pPr>
      <w:r>
        <w:rPr>
          <w:rFonts w:hint="eastAsia"/>
          <w:sz w:val="24"/>
          <w:szCs w:val="24"/>
        </w:rPr>
        <w:t>传真：（</w:t>
      </w:r>
      <w:r>
        <w:rPr>
          <w:rFonts w:hint="eastAsia"/>
          <w:sz w:val="24"/>
          <w:szCs w:val="24"/>
        </w:rPr>
        <w:t>0571</w:t>
      </w:r>
      <w:r>
        <w:rPr>
          <w:rFonts w:hint="eastAsia"/>
          <w:sz w:val="24"/>
          <w:szCs w:val="24"/>
        </w:rPr>
        <w:t>）</w:t>
      </w:r>
      <w:r>
        <w:rPr>
          <w:rFonts w:hint="eastAsia"/>
          <w:sz w:val="24"/>
          <w:szCs w:val="24"/>
        </w:rPr>
        <w:t>85783771</w:t>
      </w:r>
    </w:p>
    <w:p w:rsidR="00783788" w:rsidRDefault="002C6E18">
      <w:pPr>
        <w:spacing w:line="360" w:lineRule="auto"/>
        <w:ind w:firstLineChars="200" w:firstLine="480"/>
        <w:rPr>
          <w:sz w:val="24"/>
          <w:szCs w:val="24"/>
        </w:rPr>
      </w:pPr>
      <w:r>
        <w:rPr>
          <w:rFonts w:hint="eastAsia"/>
          <w:sz w:val="24"/>
          <w:szCs w:val="24"/>
        </w:rPr>
        <w:t>联系人：李珊</w:t>
      </w:r>
    </w:p>
    <w:p w:rsidR="00783788" w:rsidRDefault="002C6E18">
      <w:pPr>
        <w:spacing w:line="360" w:lineRule="auto"/>
        <w:ind w:firstLineChars="200" w:firstLine="480"/>
        <w:rPr>
          <w:sz w:val="24"/>
          <w:szCs w:val="24"/>
        </w:rPr>
      </w:pPr>
      <w:r>
        <w:rPr>
          <w:rFonts w:hint="eastAsia"/>
          <w:sz w:val="24"/>
          <w:szCs w:val="24"/>
        </w:rPr>
        <w:t>客户服务电话：（</w:t>
      </w:r>
      <w:r>
        <w:rPr>
          <w:rFonts w:hint="eastAsia"/>
          <w:sz w:val="24"/>
          <w:szCs w:val="24"/>
        </w:rPr>
        <w:t>0571</w:t>
      </w:r>
      <w:r>
        <w:rPr>
          <w:rFonts w:hint="eastAsia"/>
          <w:sz w:val="24"/>
          <w:szCs w:val="24"/>
        </w:rPr>
        <w:t>）</w:t>
      </w:r>
      <w:r>
        <w:rPr>
          <w:rFonts w:hint="eastAsia"/>
          <w:sz w:val="24"/>
          <w:szCs w:val="24"/>
        </w:rPr>
        <w:t>95548</w:t>
      </w:r>
    </w:p>
    <w:p w:rsidR="00783788" w:rsidRDefault="002C6E18">
      <w:pPr>
        <w:spacing w:line="360" w:lineRule="auto"/>
        <w:ind w:firstLineChars="200" w:firstLine="480"/>
        <w:rPr>
          <w:sz w:val="24"/>
          <w:szCs w:val="24"/>
        </w:rPr>
      </w:pPr>
      <w:r>
        <w:rPr>
          <w:rFonts w:hint="eastAsia"/>
          <w:sz w:val="24"/>
          <w:szCs w:val="24"/>
        </w:rPr>
        <w:t>网址：</w:t>
      </w:r>
      <w:r>
        <w:rPr>
          <w:rFonts w:hint="eastAsia"/>
          <w:sz w:val="24"/>
          <w:szCs w:val="24"/>
        </w:rPr>
        <w:t>www.bigsun.com.cn</w:t>
      </w:r>
    </w:p>
    <w:p w:rsidR="00783788" w:rsidRDefault="002C6E18">
      <w:pPr>
        <w:spacing w:line="360" w:lineRule="auto"/>
        <w:ind w:firstLineChars="200" w:firstLine="480"/>
        <w:rPr>
          <w:sz w:val="24"/>
          <w:szCs w:val="24"/>
        </w:rPr>
      </w:pPr>
      <w:r>
        <w:rPr>
          <w:rFonts w:hint="eastAsia"/>
          <w:sz w:val="24"/>
          <w:szCs w:val="24"/>
        </w:rPr>
        <w:t>（</w:t>
      </w:r>
      <w:r>
        <w:rPr>
          <w:rFonts w:hint="eastAsia"/>
          <w:sz w:val="24"/>
          <w:szCs w:val="24"/>
        </w:rPr>
        <w:t>14</w:t>
      </w:r>
      <w:r>
        <w:rPr>
          <w:rFonts w:hint="eastAsia"/>
          <w:sz w:val="24"/>
          <w:szCs w:val="24"/>
        </w:rPr>
        <w:t>）</w:t>
      </w:r>
      <w:r>
        <w:rPr>
          <w:rFonts w:hint="eastAsia"/>
          <w:sz w:val="24"/>
          <w:szCs w:val="24"/>
        </w:rPr>
        <w:t xml:space="preserve"> </w:t>
      </w:r>
      <w:r>
        <w:rPr>
          <w:rFonts w:hint="eastAsia"/>
          <w:sz w:val="24"/>
          <w:szCs w:val="24"/>
        </w:rPr>
        <w:t>中信证券（山东）有限责任公司</w:t>
      </w:r>
    </w:p>
    <w:p w:rsidR="00783788" w:rsidRDefault="002C6E18">
      <w:pPr>
        <w:spacing w:line="360" w:lineRule="auto"/>
        <w:ind w:firstLineChars="200" w:firstLine="480"/>
        <w:rPr>
          <w:sz w:val="24"/>
          <w:szCs w:val="24"/>
        </w:rPr>
      </w:pPr>
      <w:r>
        <w:rPr>
          <w:rFonts w:hint="eastAsia"/>
          <w:sz w:val="24"/>
          <w:szCs w:val="24"/>
        </w:rPr>
        <w:t>住所：青岛市崂山区苗岭路</w:t>
      </w:r>
      <w:r>
        <w:rPr>
          <w:rFonts w:hint="eastAsia"/>
          <w:sz w:val="24"/>
          <w:szCs w:val="24"/>
        </w:rPr>
        <w:t>29</w:t>
      </w:r>
      <w:r>
        <w:rPr>
          <w:rFonts w:hint="eastAsia"/>
          <w:sz w:val="24"/>
          <w:szCs w:val="24"/>
        </w:rPr>
        <w:t>号澳柯玛大厦</w:t>
      </w:r>
      <w:r>
        <w:rPr>
          <w:rFonts w:hint="eastAsia"/>
          <w:sz w:val="24"/>
          <w:szCs w:val="24"/>
        </w:rPr>
        <w:t>15</w:t>
      </w:r>
      <w:r>
        <w:rPr>
          <w:rFonts w:hint="eastAsia"/>
          <w:sz w:val="24"/>
          <w:szCs w:val="24"/>
        </w:rPr>
        <w:t>层（</w:t>
      </w:r>
      <w:r>
        <w:rPr>
          <w:rFonts w:hint="eastAsia"/>
          <w:sz w:val="24"/>
          <w:szCs w:val="24"/>
        </w:rPr>
        <w:t>1507</w:t>
      </w:r>
      <w:r>
        <w:rPr>
          <w:rFonts w:hint="eastAsia"/>
          <w:sz w:val="24"/>
          <w:szCs w:val="24"/>
        </w:rPr>
        <w:t>－</w:t>
      </w:r>
      <w:r>
        <w:rPr>
          <w:rFonts w:hint="eastAsia"/>
          <w:sz w:val="24"/>
          <w:szCs w:val="24"/>
        </w:rPr>
        <w:t>1510</w:t>
      </w:r>
      <w:r>
        <w:rPr>
          <w:rFonts w:hint="eastAsia"/>
          <w:sz w:val="24"/>
          <w:szCs w:val="24"/>
        </w:rPr>
        <w:t>室）</w:t>
      </w:r>
    </w:p>
    <w:p w:rsidR="00783788" w:rsidRDefault="002C6E18">
      <w:pPr>
        <w:spacing w:line="360" w:lineRule="auto"/>
        <w:ind w:firstLineChars="200" w:firstLine="480"/>
        <w:rPr>
          <w:sz w:val="24"/>
          <w:szCs w:val="24"/>
        </w:rPr>
      </w:pPr>
      <w:r>
        <w:rPr>
          <w:rFonts w:hint="eastAsia"/>
          <w:sz w:val="24"/>
          <w:szCs w:val="24"/>
        </w:rPr>
        <w:t>办公地址：青岛市崂山区深圳路</w:t>
      </w:r>
      <w:r>
        <w:rPr>
          <w:rFonts w:hint="eastAsia"/>
          <w:sz w:val="24"/>
          <w:szCs w:val="24"/>
        </w:rPr>
        <w:t>222</w:t>
      </w:r>
      <w:r>
        <w:rPr>
          <w:rFonts w:hint="eastAsia"/>
          <w:sz w:val="24"/>
          <w:szCs w:val="24"/>
        </w:rPr>
        <w:t>号青岛国际金融广场</w:t>
      </w:r>
      <w:r>
        <w:rPr>
          <w:rFonts w:hint="eastAsia"/>
          <w:sz w:val="24"/>
          <w:szCs w:val="24"/>
        </w:rPr>
        <w:t>1</w:t>
      </w:r>
      <w:r>
        <w:rPr>
          <w:rFonts w:hint="eastAsia"/>
          <w:sz w:val="24"/>
          <w:szCs w:val="24"/>
        </w:rPr>
        <w:t>号楼第</w:t>
      </w:r>
      <w:r>
        <w:rPr>
          <w:rFonts w:hint="eastAsia"/>
          <w:sz w:val="24"/>
          <w:szCs w:val="24"/>
        </w:rPr>
        <w:t>20</w:t>
      </w:r>
      <w:r>
        <w:rPr>
          <w:rFonts w:hint="eastAsia"/>
          <w:sz w:val="24"/>
          <w:szCs w:val="24"/>
        </w:rPr>
        <w:t>层</w:t>
      </w:r>
    </w:p>
    <w:p w:rsidR="00783788" w:rsidRDefault="002C6E18">
      <w:pPr>
        <w:spacing w:line="360" w:lineRule="auto"/>
        <w:ind w:firstLineChars="200" w:firstLine="480"/>
        <w:rPr>
          <w:sz w:val="24"/>
          <w:szCs w:val="24"/>
        </w:rPr>
      </w:pPr>
      <w:r>
        <w:rPr>
          <w:rFonts w:hint="eastAsia"/>
          <w:sz w:val="24"/>
          <w:szCs w:val="24"/>
        </w:rPr>
        <w:t>法定代表人：杨宝林</w:t>
      </w:r>
    </w:p>
    <w:p w:rsidR="00783788" w:rsidRDefault="002C6E18">
      <w:pPr>
        <w:spacing w:line="360" w:lineRule="auto"/>
        <w:ind w:firstLineChars="200" w:firstLine="480"/>
        <w:rPr>
          <w:sz w:val="24"/>
          <w:szCs w:val="24"/>
        </w:rPr>
      </w:pPr>
      <w:r>
        <w:rPr>
          <w:rFonts w:hint="eastAsia"/>
          <w:sz w:val="24"/>
          <w:szCs w:val="24"/>
        </w:rPr>
        <w:t>电话：（</w:t>
      </w:r>
      <w:r>
        <w:rPr>
          <w:rFonts w:hint="eastAsia"/>
          <w:sz w:val="24"/>
          <w:szCs w:val="24"/>
        </w:rPr>
        <w:t>0532</w:t>
      </w:r>
      <w:r>
        <w:rPr>
          <w:rFonts w:hint="eastAsia"/>
          <w:sz w:val="24"/>
          <w:szCs w:val="24"/>
        </w:rPr>
        <w:t>）</w:t>
      </w:r>
      <w:r>
        <w:rPr>
          <w:rFonts w:hint="eastAsia"/>
          <w:sz w:val="24"/>
          <w:szCs w:val="24"/>
        </w:rPr>
        <w:t>85022326</w:t>
      </w:r>
    </w:p>
    <w:p w:rsidR="00783788" w:rsidRDefault="002C6E18">
      <w:pPr>
        <w:spacing w:line="360" w:lineRule="auto"/>
        <w:ind w:firstLineChars="200" w:firstLine="480"/>
        <w:rPr>
          <w:sz w:val="24"/>
          <w:szCs w:val="24"/>
        </w:rPr>
      </w:pPr>
      <w:r>
        <w:rPr>
          <w:rFonts w:hint="eastAsia"/>
          <w:sz w:val="24"/>
          <w:szCs w:val="24"/>
        </w:rPr>
        <w:t>传真：（</w:t>
      </w:r>
      <w:r>
        <w:rPr>
          <w:rFonts w:hint="eastAsia"/>
          <w:sz w:val="24"/>
          <w:szCs w:val="24"/>
        </w:rPr>
        <w:t>0532</w:t>
      </w:r>
      <w:r>
        <w:rPr>
          <w:rFonts w:hint="eastAsia"/>
          <w:sz w:val="24"/>
          <w:szCs w:val="24"/>
        </w:rPr>
        <w:t>）</w:t>
      </w:r>
      <w:r>
        <w:rPr>
          <w:rFonts w:hint="eastAsia"/>
          <w:sz w:val="24"/>
          <w:szCs w:val="24"/>
        </w:rPr>
        <w:t>85022605</w:t>
      </w:r>
    </w:p>
    <w:p w:rsidR="00783788" w:rsidRDefault="002C6E18">
      <w:pPr>
        <w:spacing w:line="360" w:lineRule="auto"/>
        <w:ind w:firstLineChars="200" w:firstLine="480"/>
        <w:rPr>
          <w:sz w:val="24"/>
          <w:szCs w:val="24"/>
        </w:rPr>
      </w:pPr>
      <w:r>
        <w:rPr>
          <w:rFonts w:hint="eastAsia"/>
          <w:sz w:val="24"/>
          <w:szCs w:val="24"/>
        </w:rPr>
        <w:t>联系人：吴忠超</w:t>
      </w:r>
    </w:p>
    <w:p w:rsidR="00783788" w:rsidRDefault="002C6E18">
      <w:pPr>
        <w:spacing w:line="360" w:lineRule="auto"/>
        <w:ind w:firstLineChars="200" w:firstLine="480"/>
        <w:rPr>
          <w:sz w:val="24"/>
          <w:szCs w:val="24"/>
        </w:rPr>
      </w:pPr>
      <w:r>
        <w:rPr>
          <w:rFonts w:hint="eastAsia"/>
          <w:sz w:val="24"/>
          <w:szCs w:val="24"/>
        </w:rPr>
        <w:t>客户服务电话：（</w:t>
      </w:r>
      <w:r>
        <w:rPr>
          <w:rFonts w:hint="eastAsia"/>
          <w:sz w:val="24"/>
          <w:szCs w:val="24"/>
        </w:rPr>
        <w:t>0532</w:t>
      </w:r>
      <w:r>
        <w:rPr>
          <w:rFonts w:hint="eastAsia"/>
          <w:sz w:val="24"/>
          <w:szCs w:val="24"/>
        </w:rPr>
        <w:t>）</w:t>
      </w:r>
      <w:r>
        <w:rPr>
          <w:rFonts w:hint="eastAsia"/>
          <w:sz w:val="24"/>
          <w:szCs w:val="24"/>
        </w:rPr>
        <w:t>96577</w:t>
      </w:r>
    </w:p>
    <w:p w:rsidR="00783788" w:rsidRDefault="002C6E18">
      <w:pPr>
        <w:spacing w:line="360" w:lineRule="auto"/>
        <w:ind w:firstLineChars="200" w:firstLine="480"/>
        <w:rPr>
          <w:sz w:val="24"/>
          <w:szCs w:val="24"/>
        </w:rPr>
      </w:pPr>
      <w:r>
        <w:rPr>
          <w:rFonts w:hint="eastAsia"/>
          <w:sz w:val="24"/>
          <w:szCs w:val="24"/>
        </w:rPr>
        <w:t>网址：</w:t>
      </w:r>
      <w:r>
        <w:rPr>
          <w:rFonts w:hint="eastAsia"/>
          <w:sz w:val="24"/>
          <w:szCs w:val="24"/>
        </w:rPr>
        <w:t>www.zxwt.com.cn</w:t>
      </w:r>
    </w:p>
    <w:p w:rsidR="00783788" w:rsidRDefault="002C6E18">
      <w:pPr>
        <w:spacing w:line="360" w:lineRule="auto"/>
        <w:ind w:firstLineChars="200" w:firstLine="480"/>
        <w:rPr>
          <w:sz w:val="24"/>
          <w:szCs w:val="24"/>
        </w:rPr>
      </w:pPr>
      <w:r>
        <w:rPr>
          <w:rFonts w:hint="eastAsia"/>
          <w:sz w:val="24"/>
          <w:szCs w:val="24"/>
        </w:rPr>
        <w:t>（</w:t>
      </w:r>
      <w:r>
        <w:rPr>
          <w:rFonts w:hint="eastAsia"/>
          <w:sz w:val="24"/>
          <w:szCs w:val="24"/>
        </w:rPr>
        <w:t>15</w:t>
      </w:r>
      <w:r>
        <w:rPr>
          <w:rFonts w:hint="eastAsia"/>
          <w:sz w:val="24"/>
          <w:szCs w:val="24"/>
        </w:rPr>
        <w:t>）</w:t>
      </w:r>
      <w:r>
        <w:rPr>
          <w:rFonts w:hint="eastAsia"/>
          <w:sz w:val="24"/>
          <w:szCs w:val="24"/>
        </w:rPr>
        <w:t xml:space="preserve"> </w:t>
      </w:r>
      <w:r>
        <w:rPr>
          <w:rFonts w:hint="eastAsia"/>
          <w:sz w:val="24"/>
          <w:szCs w:val="24"/>
        </w:rPr>
        <w:t>申万宏源西部证券有限公司</w:t>
      </w:r>
    </w:p>
    <w:p w:rsidR="00783788" w:rsidRDefault="002C6E18">
      <w:pPr>
        <w:spacing w:line="360" w:lineRule="auto"/>
        <w:ind w:firstLineChars="200" w:firstLine="480"/>
        <w:rPr>
          <w:sz w:val="24"/>
          <w:szCs w:val="24"/>
        </w:rPr>
      </w:pPr>
      <w:r>
        <w:rPr>
          <w:rFonts w:hint="eastAsia"/>
          <w:sz w:val="24"/>
          <w:szCs w:val="24"/>
        </w:rPr>
        <w:t>住所：新疆乌鲁木齐市建设路</w:t>
      </w:r>
      <w:r>
        <w:rPr>
          <w:rFonts w:hint="eastAsia"/>
          <w:sz w:val="24"/>
          <w:szCs w:val="24"/>
        </w:rPr>
        <w:t>2</w:t>
      </w:r>
      <w:r>
        <w:rPr>
          <w:rFonts w:hint="eastAsia"/>
          <w:sz w:val="24"/>
          <w:szCs w:val="24"/>
        </w:rPr>
        <w:t>号</w:t>
      </w:r>
    </w:p>
    <w:p w:rsidR="00783788" w:rsidRDefault="002C6E18">
      <w:pPr>
        <w:spacing w:line="360" w:lineRule="auto"/>
        <w:ind w:firstLineChars="200" w:firstLine="480"/>
        <w:rPr>
          <w:sz w:val="24"/>
          <w:szCs w:val="24"/>
        </w:rPr>
      </w:pPr>
      <w:r>
        <w:rPr>
          <w:rFonts w:hint="eastAsia"/>
          <w:sz w:val="24"/>
          <w:szCs w:val="24"/>
        </w:rPr>
        <w:t>办公地址：北京市西城区太平桥大街</w:t>
      </w:r>
      <w:r>
        <w:rPr>
          <w:rFonts w:hint="eastAsia"/>
          <w:sz w:val="24"/>
          <w:szCs w:val="24"/>
        </w:rPr>
        <w:t>19</w:t>
      </w:r>
      <w:r>
        <w:rPr>
          <w:rFonts w:hint="eastAsia"/>
          <w:sz w:val="24"/>
          <w:szCs w:val="24"/>
        </w:rPr>
        <w:t>号宏源证券</w:t>
      </w:r>
    </w:p>
    <w:p w:rsidR="00783788" w:rsidRDefault="002C6E18">
      <w:pPr>
        <w:spacing w:line="360" w:lineRule="auto"/>
        <w:ind w:firstLineChars="200" w:firstLine="480"/>
        <w:rPr>
          <w:sz w:val="24"/>
          <w:szCs w:val="24"/>
        </w:rPr>
      </w:pPr>
      <w:r>
        <w:rPr>
          <w:rFonts w:hint="eastAsia"/>
          <w:sz w:val="24"/>
          <w:szCs w:val="24"/>
        </w:rPr>
        <w:t>法定代表人：冯戎</w:t>
      </w:r>
    </w:p>
    <w:p w:rsidR="00783788" w:rsidRDefault="002C6E18">
      <w:pPr>
        <w:spacing w:line="360" w:lineRule="auto"/>
        <w:ind w:firstLineChars="200" w:firstLine="480"/>
        <w:rPr>
          <w:sz w:val="24"/>
          <w:szCs w:val="24"/>
        </w:rPr>
      </w:pPr>
      <w:r>
        <w:rPr>
          <w:rFonts w:hint="eastAsia"/>
          <w:sz w:val="24"/>
          <w:szCs w:val="24"/>
        </w:rPr>
        <w:t>电话：（</w:t>
      </w:r>
      <w:r>
        <w:rPr>
          <w:rFonts w:hint="eastAsia"/>
          <w:sz w:val="24"/>
          <w:szCs w:val="24"/>
        </w:rPr>
        <w:t>010</w:t>
      </w:r>
      <w:r>
        <w:rPr>
          <w:rFonts w:hint="eastAsia"/>
          <w:sz w:val="24"/>
          <w:szCs w:val="24"/>
        </w:rPr>
        <w:t>）</w:t>
      </w:r>
      <w:r>
        <w:rPr>
          <w:rFonts w:hint="eastAsia"/>
          <w:sz w:val="24"/>
          <w:szCs w:val="24"/>
        </w:rPr>
        <w:t>88085858</w:t>
      </w:r>
    </w:p>
    <w:p w:rsidR="00783788" w:rsidRDefault="002C6E18">
      <w:pPr>
        <w:spacing w:line="360" w:lineRule="auto"/>
        <w:ind w:firstLineChars="200" w:firstLine="480"/>
        <w:rPr>
          <w:sz w:val="24"/>
          <w:szCs w:val="24"/>
        </w:rPr>
      </w:pPr>
      <w:r>
        <w:rPr>
          <w:rFonts w:hint="eastAsia"/>
          <w:sz w:val="24"/>
          <w:szCs w:val="24"/>
        </w:rPr>
        <w:t>传真：（</w:t>
      </w:r>
      <w:r>
        <w:rPr>
          <w:rFonts w:hint="eastAsia"/>
          <w:sz w:val="24"/>
          <w:szCs w:val="24"/>
        </w:rPr>
        <w:t>010</w:t>
      </w:r>
      <w:r>
        <w:rPr>
          <w:rFonts w:hint="eastAsia"/>
          <w:sz w:val="24"/>
          <w:szCs w:val="24"/>
        </w:rPr>
        <w:t>）</w:t>
      </w:r>
      <w:r>
        <w:rPr>
          <w:rFonts w:hint="eastAsia"/>
          <w:sz w:val="24"/>
          <w:szCs w:val="24"/>
        </w:rPr>
        <w:t>88085195</w:t>
      </w:r>
    </w:p>
    <w:p w:rsidR="00783788" w:rsidRDefault="002C6E18">
      <w:pPr>
        <w:spacing w:line="360" w:lineRule="auto"/>
        <w:ind w:firstLineChars="200" w:firstLine="480"/>
        <w:rPr>
          <w:sz w:val="24"/>
          <w:szCs w:val="24"/>
        </w:rPr>
      </w:pPr>
      <w:r>
        <w:rPr>
          <w:rFonts w:hint="eastAsia"/>
          <w:sz w:val="24"/>
          <w:szCs w:val="24"/>
        </w:rPr>
        <w:t>联系人：李巍</w:t>
      </w:r>
    </w:p>
    <w:p w:rsidR="00783788" w:rsidRDefault="002C6E18">
      <w:pPr>
        <w:spacing w:line="360" w:lineRule="auto"/>
        <w:ind w:firstLineChars="200" w:firstLine="480"/>
        <w:rPr>
          <w:sz w:val="24"/>
          <w:szCs w:val="24"/>
        </w:rPr>
      </w:pPr>
      <w:r>
        <w:rPr>
          <w:rFonts w:hint="eastAsia"/>
          <w:sz w:val="24"/>
          <w:szCs w:val="24"/>
        </w:rPr>
        <w:t>客户服务电话：</w:t>
      </w:r>
      <w:r>
        <w:rPr>
          <w:rFonts w:hint="eastAsia"/>
          <w:sz w:val="24"/>
          <w:szCs w:val="24"/>
        </w:rPr>
        <w:t>4008-000-562</w:t>
      </w:r>
    </w:p>
    <w:p w:rsidR="00783788" w:rsidRDefault="002C6E18">
      <w:pPr>
        <w:spacing w:line="360" w:lineRule="auto"/>
        <w:ind w:firstLineChars="200" w:firstLine="480"/>
        <w:rPr>
          <w:sz w:val="24"/>
          <w:szCs w:val="24"/>
        </w:rPr>
      </w:pPr>
      <w:r>
        <w:rPr>
          <w:rFonts w:hint="eastAsia"/>
          <w:sz w:val="24"/>
          <w:szCs w:val="24"/>
        </w:rPr>
        <w:t>网址：</w:t>
      </w:r>
      <w:r>
        <w:rPr>
          <w:rFonts w:hint="eastAsia"/>
          <w:sz w:val="24"/>
          <w:szCs w:val="24"/>
        </w:rPr>
        <w:t>www.hysec.com</w:t>
      </w:r>
    </w:p>
    <w:p w:rsidR="00783788" w:rsidRDefault="002C6E18">
      <w:pPr>
        <w:spacing w:line="360" w:lineRule="auto"/>
        <w:ind w:firstLineChars="200" w:firstLine="480"/>
        <w:rPr>
          <w:sz w:val="24"/>
          <w:szCs w:val="24"/>
        </w:rPr>
      </w:pPr>
      <w:r>
        <w:rPr>
          <w:rFonts w:hint="eastAsia"/>
          <w:sz w:val="24"/>
          <w:szCs w:val="24"/>
        </w:rPr>
        <w:t>（</w:t>
      </w:r>
      <w:r>
        <w:rPr>
          <w:rFonts w:hint="eastAsia"/>
          <w:sz w:val="24"/>
          <w:szCs w:val="24"/>
        </w:rPr>
        <w:t>16</w:t>
      </w:r>
      <w:r>
        <w:rPr>
          <w:rFonts w:hint="eastAsia"/>
          <w:sz w:val="24"/>
          <w:szCs w:val="24"/>
        </w:rPr>
        <w:t>）</w:t>
      </w:r>
      <w:r>
        <w:rPr>
          <w:rFonts w:hint="eastAsia"/>
          <w:sz w:val="24"/>
          <w:szCs w:val="24"/>
        </w:rPr>
        <w:t xml:space="preserve"> </w:t>
      </w:r>
      <w:r>
        <w:rPr>
          <w:rFonts w:hint="eastAsia"/>
          <w:sz w:val="24"/>
          <w:szCs w:val="24"/>
        </w:rPr>
        <w:t>齐鲁证券有限公司</w:t>
      </w:r>
    </w:p>
    <w:p w:rsidR="00783788" w:rsidRDefault="002C6E18">
      <w:pPr>
        <w:spacing w:line="360" w:lineRule="auto"/>
        <w:ind w:firstLineChars="200" w:firstLine="480"/>
        <w:rPr>
          <w:sz w:val="24"/>
          <w:szCs w:val="24"/>
        </w:rPr>
      </w:pPr>
      <w:r>
        <w:rPr>
          <w:rFonts w:hint="eastAsia"/>
          <w:sz w:val="24"/>
          <w:szCs w:val="24"/>
        </w:rPr>
        <w:t>住所：山东省济南市市中区经七路</w:t>
      </w:r>
      <w:r>
        <w:rPr>
          <w:rFonts w:hint="eastAsia"/>
          <w:sz w:val="24"/>
          <w:szCs w:val="24"/>
        </w:rPr>
        <w:t>86</w:t>
      </w:r>
      <w:r>
        <w:rPr>
          <w:rFonts w:hint="eastAsia"/>
          <w:sz w:val="24"/>
          <w:szCs w:val="24"/>
        </w:rPr>
        <w:t>号</w:t>
      </w:r>
    </w:p>
    <w:p w:rsidR="00783788" w:rsidRDefault="002C6E18">
      <w:pPr>
        <w:spacing w:line="360" w:lineRule="auto"/>
        <w:ind w:firstLineChars="200" w:firstLine="480"/>
        <w:rPr>
          <w:sz w:val="24"/>
          <w:szCs w:val="24"/>
        </w:rPr>
      </w:pPr>
      <w:r>
        <w:rPr>
          <w:rFonts w:hint="eastAsia"/>
          <w:sz w:val="24"/>
          <w:szCs w:val="24"/>
        </w:rPr>
        <w:t>办公地址：山东省济南市市中区经七路</w:t>
      </w:r>
      <w:r>
        <w:rPr>
          <w:rFonts w:hint="eastAsia"/>
          <w:sz w:val="24"/>
          <w:szCs w:val="24"/>
        </w:rPr>
        <w:t>86</w:t>
      </w:r>
      <w:r>
        <w:rPr>
          <w:rFonts w:hint="eastAsia"/>
          <w:sz w:val="24"/>
          <w:szCs w:val="24"/>
        </w:rPr>
        <w:t>号</w:t>
      </w:r>
    </w:p>
    <w:p w:rsidR="00783788" w:rsidRDefault="002C6E18">
      <w:pPr>
        <w:spacing w:line="360" w:lineRule="auto"/>
        <w:ind w:firstLineChars="200" w:firstLine="480"/>
        <w:rPr>
          <w:sz w:val="24"/>
          <w:szCs w:val="24"/>
        </w:rPr>
      </w:pPr>
      <w:r>
        <w:rPr>
          <w:rFonts w:hint="eastAsia"/>
          <w:sz w:val="24"/>
          <w:szCs w:val="24"/>
        </w:rPr>
        <w:t>法定代表人：李玮</w:t>
      </w:r>
    </w:p>
    <w:p w:rsidR="00783788" w:rsidRDefault="002C6E18">
      <w:pPr>
        <w:spacing w:line="360" w:lineRule="auto"/>
        <w:ind w:firstLineChars="200" w:firstLine="480"/>
        <w:rPr>
          <w:sz w:val="24"/>
          <w:szCs w:val="24"/>
        </w:rPr>
      </w:pPr>
      <w:r>
        <w:rPr>
          <w:rFonts w:hint="eastAsia"/>
          <w:sz w:val="24"/>
          <w:szCs w:val="24"/>
        </w:rPr>
        <w:t>电话：（</w:t>
      </w:r>
      <w:r>
        <w:rPr>
          <w:rFonts w:hint="eastAsia"/>
          <w:sz w:val="24"/>
          <w:szCs w:val="24"/>
        </w:rPr>
        <w:t>0531</w:t>
      </w:r>
      <w:r>
        <w:rPr>
          <w:rFonts w:hint="eastAsia"/>
          <w:sz w:val="24"/>
          <w:szCs w:val="24"/>
        </w:rPr>
        <w:t>）</w:t>
      </w:r>
      <w:r>
        <w:rPr>
          <w:rFonts w:hint="eastAsia"/>
          <w:sz w:val="24"/>
          <w:szCs w:val="24"/>
        </w:rPr>
        <w:t>68889155</w:t>
      </w:r>
    </w:p>
    <w:p w:rsidR="00783788" w:rsidRDefault="002C6E18">
      <w:pPr>
        <w:spacing w:line="360" w:lineRule="auto"/>
        <w:ind w:firstLineChars="200" w:firstLine="480"/>
        <w:rPr>
          <w:sz w:val="24"/>
          <w:szCs w:val="24"/>
        </w:rPr>
      </w:pPr>
      <w:r>
        <w:rPr>
          <w:rFonts w:hint="eastAsia"/>
          <w:sz w:val="24"/>
          <w:szCs w:val="24"/>
        </w:rPr>
        <w:t>传真：（</w:t>
      </w:r>
      <w:r>
        <w:rPr>
          <w:rFonts w:hint="eastAsia"/>
          <w:sz w:val="24"/>
          <w:szCs w:val="24"/>
        </w:rPr>
        <w:t>0531</w:t>
      </w:r>
      <w:r>
        <w:rPr>
          <w:rFonts w:hint="eastAsia"/>
          <w:sz w:val="24"/>
          <w:szCs w:val="24"/>
        </w:rPr>
        <w:t>）</w:t>
      </w:r>
      <w:r>
        <w:rPr>
          <w:rFonts w:hint="eastAsia"/>
          <w:sz w:val="24"/>
          <w:szCs w:val="24"/>
        </w:rPr>
        <w:t>68889752</w:t>
      </w:r>
    </w:p>
    <w:p w:rsidR="00783788" w:rsidRDefault="002C6E18">
      <w:pPr>
        <w:spacing w:line="360" w:lineRule="auto"/>
        <w:ind w:firstLineChars="200" w:firstLine="480"/>
        <w:rPr>
          <w:sz w:val="24"/>
          <w:szCs w:val="24"/>
        </w:rPr>
      </w:pPr>
      <w:r>
        <w:rPr>
          <w:rFonts w:hint="eastAsia"/>
          <w:sz w:val="24"/>
          <w:szCs w:val="24"/>
        </w:rPr>
        <w:t>联系人：吴阳</w:t>
      </w:r>
    </w:p>
    <w:p w:rsidR="00783788" w:rsidRDefault="002C6E18">
      <w:pPr>
        <w:spacing w:line="360" w:lineRule="auto"/>
        <w:ind w:firstLineChars="200" w:firstLine="480"/>
        <w:rPr>
          <w:sz w:val="24"/>
          <w:szCs w:val="24"/>
        </w:rPr>
      </w:pPr>
      <w:r>
        <w:rPr>
          <w:rFonts w:hint="eastAsia"/>
          <w:sz w:val="24"/>
          <w:szCs w:val="24"/>
        </w:rPr>
        <w:t>客户服务电话：</w:t>
      </w:r>
      <w:r>
        <w:rPr>
          <w:rFonts w:hint="eastAsia"/>
          <w:sz w:val="24"/>
          <w:szCs w:val="24"/>
        </w:rPr>
        <w:t>95538</w:t>
      </w:r>
    </w:p>
    <w:p w:rsidR="00783788" w:rsidRDefault="002C6E18">
      <w:pPr>
        <w:spacing w:line="360" w:lineRule="auto"/>
        <w:ind w:firstLineChars="200" w:firstLine="480"/>
        <w:rPr>
          <w:sz w:val="24"/>
          <w:szCs w:val="24"/>
        </w:rPr>
      </w:pPr>
      <w:r>
        <w:rPr>
          <w:rFonts w:hint="eastAsia"/>
          <w:sz w:val="24"/>
          <w:szCs w:val="24"/>
        </w:rPr>
        <w:t>网址：</w:t>
      </w:r>
      <w:r>
        <w:rPr>
          <w:rFonts w:hint="eastAsia"/>
          <w:sz w:val="24"/>
          <w:szCs w:val="24"/>
        </w:rPr>
        <w:t>www.qlzq.com.cn</w:t>
      </w:r>
    </w:p>
    <w:p w:rsidR="00783788" w:rsidRDefault="002C6E18">
      <w:pPr>
        <w:spacing w:line="360" w:lineRule="auto"/>
        <w:ind w:firstLineChars="200" w:firstLine="480"/>
        <w:rPr>
          <w:sz w:val="24"/>
          <w:szCs w:val="24"/>
        </w:rPr>
      </w:pPr>
      <w:r>
        <w:rPr>
          <w:rFonts w:hint="eastAsia"/>
          <w:sz w:val="24"/>
          <w:szCs w:val="24"/>
        </w:rPr>
        <w:t>（</w:t>
      </w:r>
      <w:r>
        <w:rPr>
          <w:rFonts w:hint="eastAsia"/>
          <w:sz w:val="24"/>
          <w:szCs w:val="24"/>
        </w:rPr>
        <w:t>17</w:t>
      </w:r>
      <w:r>
        <w:rPr>
          <w:rFonts w:hint="eastAsia"/>
          <w:sz w:val="24"/>
          <w:szCs w:val="24"/>
        </w:rPr>
        <w:t>）</w:t>
      </w:r>
      <w:r>
        <w:rPr>
          <w:rFonts w:hint="eastAsia"/>
          <w:sz w:val="24"/>
          <w:szCs w:val="24"/>
        </w:rPr>
        <w:t xml:space="preserve"> </w:t>
      </w:r>
      <w:r>
        <w:rPr>
          <w:rFonts w:hint="eastAsia"/>
          <w:sz w:val="24"/>
          <w:szCs w:val="24"/>
        </w:rPr>
        <w:t>江海证券有限公司</w:t>
      </w:r>
    </w:p>
    <w:p w:rsidR="00783788" w:rsidRDefault="002C6E18">
      <w:pPr>
        <w:spacing w:line="360" w:lineRule="auto"/>
        <w:ind w:firstLineChars="200" w:firstLine="480"/>
        <w:rPr>
          <w:sz w:val="24"/>
          <w:szCs w:val="24"/>
        </w:rPr>
      </w:pPr>
      <w:r>
        <w:rPr>
          <w:rFonts w:hint="eastAsia"/>
          <w:sz w:val="24"/>
          <w:szCs w:val="24"/>
        </w:rPr>
        <w:t>住所：黑龙江省哈尔滨市香坊区赣水路</w:t>
      </w:r>
      <w:r>
        <w:rPr>
          <w:rFonts w:hint="eastAsia"/>
          <w:sz w:val="24"/>
          <w:szCs w:val="24"/>
        </w:rPr>
        <w:t>56</w:t>
      </w:r>
      <w:r>
        <w:rPr>
          <w:rFonts w:hint="eastAsia"/>
          <w:sz w:val="24"/>
          <w:szCs w:val="24"/>
        </w:rPr>
        <w:t>号</w:t>
      </w:r>
    </w:p>
    <w:p w:rsidR="00783788" w:rsidRDefault="002C6E18">
      <w:pPr>
        <w:spacing w:line="360" w:lineRule="auto"/>
        <w:ind w:firstLineChars="200" w:firstLine="480"/>
        <w:rPr>
          <w:sz w:val="24"/>
          <w:szCs w:val="24"/>
        </w:rPr>
      </w:pPr>
      <w:r>
        <w:rPr>
          <w:rFonts w:hint="eastAsia"/>
          <w:sz w:val="24"/>
          <w:szCs w:val="24"/>
        </w:rPr>
        <w:t>法定代表人：孙名扬</w:t>
      </w:r>
    </w:p>
    <w:p w:rsidR="00783788" w:rsidRDefault="002C6E18">
      <w:pPr>
        <w:spacing w:line="360" w:lineRule="auto"/>
        <w:ind w:firstLineChars="200" w:firstLine="480"/>
        <w:rPr>
          <w:sz w:val="24"/>
          <w:szCs w:val="24"/>
        </w:rPr>
      </w:pPr>
      <w:r>
        <w:rPr>
          <w:rFonts w:hint="eastAsia"/>
          <w:sz w:val="24"/>
          <w:szCs w:val="24"/>
        </w:rPr>
        <w:t>电话：（</w:t>
      </w:r>
      <w:r>
        <w:rPr>
          <w:rFonts w:hint="eastAsia"/>
          <w:sz w:val="24"/>
          <w:szCs w:val="24"/>
        </w:rPr>
        <w:t>0451</w:t>
      </w:r>
      <w:r>
        <w:rPr>
          <w:rFonts w:hint="eastAsia"/>
          <w:sz w:val="24"/>
          <w:szCs w:val="24"/>
        </w:rPr>
        <w:t>）</w:t>
      </w:r>
      <w:r>
        <w:rPr>
          <w:rFonts w:hint="eastAsia"/>
          <w:sz w:val="24"/>
          <w:szCs w:val="24"/>
        </w:rPr>
        <w:t>85863719</w:t>
      </w:r>
    </w:p>
    <w:p w:rsidR="00783788" w:rsidRDefault="002C6E18">
      <w:pPr>
        <w:spacing w:line="360" w:lineRule="auto"/>
        <w:ind w:firstLineChars="200" w:firstLine="480"/>
        <w:rPr>
          <w:sz w:val="24"/>
          <w:szCs w:val="24"/>
        </w:rPr>
      </w:pPr>
      <w:r>
        <w:rPr>
          <w:rFonts w:hint="eastAsia"/>
          <w:sz w:val="24"/>
          <w:szCs w:val="24"/>
        </w:rPr>
        <w:t>传真：（</w:t>
      </w:r>
      <w:r>
        <w:rPr>
          <w:rFonts w:hint="eastAsia"/>
          <w:sz w:val="24"/>
          <w:szCs w:val="24"/>
        </w:rPr>
        <w:t>0451</w:t>
      </w:r>
      <w:r>
        <w:rPr>
          <w:rFonts w:hint="eastAsia"/>
          <w:sz w:val="24"/>
          <w:szCs w:val="24"/>
        </w:rPr>
        <w:t>）</w:t>
      </w:r>
      <w:r>
        <w:rPr>
          <w:rFonts w:hint="eastAsia"/>
          <w:sz w:val="24"/>
          <w:szCs w:val="24"/>
        </w:rPr>
        <w:t>82287211</w:t>
      </w:r>
    </w:p>
    <w:p w:rsidR="00783788" w:rsidRDefault="002C6E18">
      <w:pPr>
        <w:spacing w:line="360" w:lineRule="auto"/>
        <w:ind w:firstLineChars="200" w:firstLine="480"/>
        <w:rPr>
          <w:sz w:val="24"/>
          <w:szCs w:val="24"/>
        </w:rPr>
      </w:pPr>
      <w:r>
        <w:rPr>
          <w:rFonts w:hint="eastAsia"/>
          <w:sz w:val="24"/>
          <w:szCs w:val="24"/>
        </w:rPr>
        <w:t>联系人：刘爽</w:t>
      </w:r>
    </w:p>
    <w:p w:rsidR="00783788" w:rsidRDefault="002C6E18">
      <w:pPr>
        <w:spacing w:line="360" w:lineRule="auto"/>
        <w:ind w:firstLineChars="200" w:firstLine="480"/>
        <w:rPr>
          <w:sz w:val="24"/>
          <w:szCs w:val="24"/>
        </w:rPr>
      </w:pPr>
      <w:r>
        <w:rPr>
          <w:rFonts w:hint="eastAsia"/>
          <w:sz w:val="24"/>
          <w:szCs w:val="24"/>
        </w:rPr>
        <w:t>客户服务电话：</w:t>
      </w:r>
      <w:r>
        <w:rPr>
          <w:rFonts w:hint="eastAsia"/>
          <w:sz w:val="24"/>
          <w:szCs w:val="24"/>
        </w:rPr>
        <w:t>400-666-2288</w:t>
      </w:r>
    </w:p>
    <w:p w:rsidR="00783788" w:rsidRDefault="002C6E18">
      <w:pPr>
        <w:spacing w:line="360" w:lineRule="auto"/>
        <w:ind w:firstLineChars="200" w:firstLine="480"/>
        <w:rPr>
          <w:sz w:val="24"/>
          <w:szCs w:val="24"/>
        </w:rPr>
      </w:pPr>
      <w:r>
        <w:rPr>
          <w:rFonts w:hint="eastAsia"/>
          <w:sz w:val="24"/>
          <w:szCs w:val="24"/>
        </w:rPr>
        <w:t>网址：</w:t>
      </w:r>
      <w:r>
        <w:rPr>
          <w:rFonts w:hint="eastAsia"/>
          <w:sz w:val="24"/>
          <w:szCs w:val="24"/>
        </w:rPr>
        <w:t>www.jhzq.com.cn</w:t>
      </w:r>
    </w:p>
    <w:p w:rsidR="00783788" w:rsidRDefault="002C6E18">
      <w:pPr>
        <w:spacing w:line="360" w:lineRule="auto"/>
        <w:ind w:firstLineChars="200" w:firstLine="480"/>
        <w:rPr>
          <w:sz w:val="24"/>
          <w:szCs w:val="24"/>
        </w:rPr>
      </w:pPr>
      <w:r>
        <w:rPr>
          <w:rFonts w:hint="eastAsia"/>
          <w:sz w:val="24"/>
          <w:szCs w:val="24"/>
        </w:rPr>
        <w:t>（</w:t>
      </w:r>
      <w:r>
        <w:rPr>
          <w:rFonts w:hint="eastAsia"/>
          <w:sz w:val="24"/>
          <w:szCs w:val="24"/>
        </w:rPr>
        <w:t>18</w:t>
      </w:r>
      <w:r>
        <w:rPr>
          <w:rFonts w:hint="eastAsia"/>
          <w:sz w:val="24"/>
          <w:szCs w:val="24"/>
        </w:rPr>
        <w:t>）</w:t>
      </w:r>
      <w:r>
        <w:rPr>
          <w:rFonts w:hint="eastAsia"/>
          <w:sz w:val="24"/>
          <w:szCs w:val="24"/>
        </w:rPr>
        <w:t xml:space="preserve"> </w:t>
      </w:r>
      <w:r>
        <w:rPr>
          <w:rFonts w:hint="eastAsia"/>
          <w:sz w:val="24"/>
          <w:szCs w:val="24"/>
        </w:rPr>
        <w:t>中国国际金融有限公司</w:t>
      </w:r>
    </w:p>
    <w:p w:rsidR="00783788" w:rsidRDefault="002C6E18">
      <w:pPr>
        <w:spacing w:line="360" w:lineRule="auto"/>
        <w:ind w:firstLineChars="200" w:firstLine="480"/>
        <w:rPr>
          <w:sz w:val="24"/>
          <w:szCs w:val="24"/>
        </w:rPr>
      </w:pPr>
      <w:r>
        <w:rPr>
          <w:rFonts w:hint="eastAsia"/>
          <w:sz w:val="24"/>
          <w:szCs w:val="24"/>
        </w:rPr>
        <w:t>住所：北京建国门外大街</w:t>
      </w:r>
      <w:r>
        <w:rPr>
          <w:rFonts w:hint="eastAsia"/>
          <w:sz w:val="24"/>
          <w:szCs w:val="24"/>
        </w:rPr>
        <w:t>1</w:t>
      </w:r>
      <w:r>
        <w:rPr>
          <w:rFonts w:hint="eastAsia"/>
          <w:sz w:val="24"/>
          <w:szCs w:val="24"/>
        </w:rPr>
        <w:t>号国贸大厦</w:t>
      </w:r>
      <w:r>
        <w:rPr>
          <w:rFonts w:hint="eastAsia"/>
          <w:sz w:val="24"/>
          <w:szCs w:val="24"/>
        </w:rPr>
        <w:t>2</w:t>
      </w:r>
      <w:r>
        <w:rPr>
          <w:rFonts w:hint="eastAsia"/>
          <w:sz w:val="24"/>
          <w:szCs w:val="24"/>
        </w:rPr>
        <w:t>座</w:t>
      </w:r>
      <w:r>
        <w:rPr>
          <w:rFonts w:hint="eastAsia"/>
          <w:sz w:val="24"/>
          <w:szCs w:val="24"/>
        </w:rPr>
        <w:t>27</w:t>
      </w:r>
      <w:r>
        <w:rPr>
          <w:rFonts w:hint="eastAsia"/>
          <w:sz w:val="24"/>
          <w:szCs w:val="24"/>
        </w:rPr>
        <w:t>层及</w:t>
      </w:r>
      <w:r>
        <w:rPr>
          <w:rFonts w:hint="eastAsia"/>
          <w:sz w:val="24"/>
          <w:szCs w:val="24"/>
        </w:rPr>
        <w:t>28</w:t>
      </w:r>
      <w:r>
        <w:rPr>
          <w:rFonts w:hint="eastAsia"/>
          <w:sz w:val="24"/>
          <w:szCs w:val="24"/>
        </w:rPr>
        <w:t>层</w:t>
      </w:r>
    </w:p>
    <w:p w:rsidR="00783788" w:rsidRDefault="002C6E18">
      <w:pPr>
        <w:spacing w:line="360" w:lineRule="auto"/>
        <w:ind w:firstLineChars="200" w:firstLine="480"/>
        <w:rPr>
          <w:sz w:val="24"/>
          <w:szCs w:val="24"/>
        </w:rPr>
      </w:pPr>
      <w:r>
        <w:rPr>
          <w:rFonts w:hint="eastAsia"/>
          <w:sz w:val="24"/>
          <w:szCs w:val="24"/>
        </w:rPr>
        <w:t>办公地址：北京建国门外大街</w:t>
      </w:r>
      <w:r>
        <w:rPr>
          <w:rFonts w:hint="eastAsia"/>
          <w:sz w:val="24"/>
          <w:szCs w:val="24"/>
        </w:rPr>
        <w:t>1</w:t>
      </w:r>
      <w:r>
        <w:rPr>
          <w:rFonts w:hint="eastAsia"/>
          <w:sz w:val="24"/>
          <w:szCs w:val="24"/>
        </w:rPr>
        <w:t>号国贸大厦</w:t>
      </w:r>
      <w:r>
        <w:rPr>
          <w:rFonts w:hint="eastAsia"/>
          <w:sz w:val="24"/>
          <w:szCs w:val="24"/>
        </w:rPr>
        <w:t>2</w:t>
      </w:r>
      <w:r>
        <w:rPr>
          <w:rFonts w:hint="eastAsia"/>
          <w:sz w:val="24"/>
          <w:szCs w:val="24"/>
        </w:rPr>
        <w:t>座</w:t>
      </w:r>
      <w:r>
        <w:rPr>
          <w:rFonts w:hint="eastAsia"/>
          <w:sz w:val="24"/>
          <w:szCs w:val="24"/>
        </w:rPr>
        <w:t>27</w:t>
      </w:r>
      <w:r>
        <w:rPr>
          <w:rFonts w:hint="eastAsia"/>
          <w:sz w:val="24"/>
          <w:szCs w:val="24"/>
        </w:rPr>
        <w:t>层及</w:t>
      </w:r>
      <w:r>
        <w:rPr>
          <w:rFonts w:hint="eastAsia"/>
          <w:sz w:val="24"/>
          <w:szCs w:val="24"/>
        </w:rPr>
        <w:t>28</w:t>
      </w:r>
      <w:r>
        <w:rPr>
          <w:rFonts w:hint="eastAsia"/>
          <w:sz w:val="24"/>
          <w:szCs w:val="24"/>
        </w:rPr>
        <w:t>层</w:t>
      </w:r>
    </w:p>
    <w:p w:rsidR="00783788" w:rsidRDefault="002C6E18">
      <w:pPr>
        <w:spacing w:line="360" w:lineRule="auto"/>
        <w:ind w:firstLineChars="200" w:firstLine="480"/>
        <w:rPr>
          <w:sz w:val="24"/>
          <w:szCs w:val="24"/>
        </w:rPr>
      </w:pPr>
      <w:r>
        <w:rPr>
          <w:rFonts w:hint="eastAsia"/>
          <w:sz w:val="24"/>
          <w:szCs w:val="24"/>
        </w:rPr>
        <w:t>法定代表人：金立群</w:t>
      </w:r>
    </w:p>
    <w:p w:rsidR="00783788" w:rsidRDefault="002C6E18">
      <w:pPr>
        <w:spacing w:line="360" w:lineRule="auto"/>
        <w:ind w:firstLineChars="200" w:firstLine="480"/>
        <w:rPr>
          <w:sz w:val="24"/>
          <w:szCs w:val="24"/>
        </w:rPr>
      </w:pPr>
      <w:r>
        <w:rPr>
          <w:rFonts w:hint="eastAsia"/>
          <w:sz w:val="24"/>
          <w:szCs w:val="24"/>
        </w:rPr>
        <w:t>电话：（</w:t>
      </w:r>
      <w:r>
        <w:rPr>
          <w:rFonts w:hint="eastAsia"/>
          <w:sz w:val="24"/>
          <w:szCs w:val="24"/>
        </w:rPr>
        <w:t>010</w:t>
      </w:r>
      <w:r>
        <w:rPr>
          <w:rFonts w:hint="eastAsia"/>
          <w:sz w:val="24"/>
          <w:szCs w:val="24"/>
        </w:rPr>
        <w:t>）</w:t>
      </w:r>
      <w:r>
        <w:rPr>
          <w:rFonts w:hint="eastAsia"/>
          <w:sz w:val="24"/>
          <w:szCs w:val="24"/>
        </w:rPr>
        <w:t>65051166</w:t>
      </w:r>
    </w:p>
    <w:p w:rsidR="00783788" w:rsidRDefault="002C6E18">
      <w:pPr>
        <w:spacing w:line="360" w:lineRule="auto"/>
        <w:ind w:firstLineChars="200" w:firstLine="480"/>
        <w:rPr>
          <w:sz w:val="24"/>
          <w:szCs w:val="24"/>
        </w:rPr>
      </w:pPr>
      <w:r>
        <w:rPr>
          <w:rFonts w:hint="eastAsia"/>
          <w:sz w:val="24"/>
          <w:szCs w:val="24"/>
        </w:rPr>
        <w:t>传真：（</w:t>
      </w:r>
      <w:r>
        <w:rPr>
          <w:rFonts w:hint="eastAsia"/>
          <w:sz w:val="24"/>
          <w:szCs w:val="24"/>
        </w:rPr>
        <w:t>010</w:t>
      </w:r>
      <w:r>
        <w:rPr>
          <w:rFonts w:hint="eastAsia"/>
          <w:sz w:val="24"/>
          <w:szCs w:val="24"/>
        </w:rPr>
        <w:t>）</w:t>
      </w:r>
      <w:r>
        <w:rPr>
          <w:rFonts w:hint="eastAsia"/>
          <w:sz w:val="24"/>
          <w:szCs w:val="24"/>
        </w:rPr>
        <w:t>65058065</w:t>
      </w:r>
    </w:p>
    <w:p w:rsidR="00783788" w:rsidRDefault="002C6E18">
      <w:pPr>
        <w:spacing w:line="360" w:lineRule="auto"/>
        <w:ind w:firstLineChars="200" w:firstLine="480"/>
        <w:rPr>
          <w:sz w:val="24"/>
          <w:szCs w:val="24"/>
        </w:rPr>
      </w:pPr>
      <w:r>
        <w:rPr>
          <w:rFonts w:hint="eastAsia"/>
          <w:sz w:val="24"/>
          <w:szCs w:val="24"/>
        </w:rPr>
        <w:t>联系人：罗春蓉、武明明</w:t>
      </w:r>
    </w:p>
    <w:p w:rsidR="00783788" w:rsidRDefault="002C6E18">
      <w:pPr>
        <w:spacing w:line="360" w:lineRule="auto"/>
        <w:ind w:firstLineChars="200" w:firstLine="480"/>
        <w:rPr>
          <w:sz w:val="24"/>
          <w:szCs w:val="24"/>
        </w:rPr>
      </w:pPr>
      <w:r>
        <w:rPr>
          <w:rFonts w:hint="eastAsia"/>
          <w:sz w:val="24"/>
          <w:szCs w:val="24"/>
        </w:rPr>
        <w:t>网址：</w:t>
      </w:r>
      <w:r>
        <w:rPr>
          <w:rFonts w:hint="eastAsia"/>
          <w:sz w:val="24"/>
          <w:szCs w:val="24"/>
        </w:rPr>
        <w:t>www.cicc.com.cn</w:t>
      </w:r>
    </w:p>
    <w:p w:rsidR="00783788" w:rsidRDefault="002C6E18">
      <w:pPr>
        <w:spacing w:line="360" w:lineRule="auto"/>
        <w:ind w:firstLineChars="200" w:firstLine="480"/>
        <w:rPr>
          <w:sz w:val="24"/>
          <w:szCs w:val="24"/>
        </w:rPr>
      </w:pPr>
      <w:r>
        <w:rPr>
          <w:rFonts w:hint="eastAsia"/>
          <w:sz w:val="24"/>
          <w:szCs w:val="24"/>
        </w:rPr>
        <w:t>（</w:t>
      </w:r>
      <w:r>
        <w:rPr>
          <w:rFonts w:hint="eastAsia"/>
          <w:sz w:val="24"/>
          <w:szCs w:val="24"/>
        </w:rPr>
        <w:t>19</w:t>
      </w:r>
      <w:r>
        <w:rPr>
          <w:rFonts w:hint="eastAsia"/>
          <w:sz w:val="24"/>
          <w:szCs w:val="24"/>
        </w:rPr>
        <w:t>）</w:t>
      </w:r>
      <w:r>
        <w:rPr>
          <w:rFonts w:hint="eastAsia"/>
          <w:sz w:val="24"/>
          <w:szCs w:val="24"/>
        </w:rPr>
        <w:t xml:space="preserve"> </w:t>
      </w:r>
      <w:r>
        <w:rPr>
          <w:rFonts w:hint="eastAsia"/>
          <w:sz w:val="24"/>
          <w:szCs w:val="24"/>
        </w:rPr>
        <w:t>瑞银证券有限责任公司</w:t>
      </w:r>
    </w:p>
    <w:p w:rsidR="00783788" w:rsidRDefault="002C6E18">
      <w:pPr>
        <w:spacing w:line="360" w:lineRule="auto"/>
        <w:ind w:firstLineChars="200" w:firstLine="480"/>
        <w:rPr>
          <w:sz w:val="24"/>
          <w:szCs w:val="24"/>
        </w:rPr>
      </w:pPr>
      <w:r>
        <w:rPr>
          <w:rFonts w:hint="eastAsia"/>
          <w:sz w:val="24"/>
          <w:szCs w:val="24"/>
        </w:rPr>
        <w:t>住所：北京市西城区金融大街</w:t>
      </w:r>
      <w:r>
        <w:rPr>
          <w:rFonts w:hint="eastAsia"/>
          <w:sz w:val="24"/>
          <w:szCs w:val="24"/>
        </w:rPr>
        <w:t>7</w:t>
      </w:r>
      <w:r>
        <w:rPr>
          <w:rFonts w:hint="eastAsia"/>
          <w:sz w:val="24"/>
          <w:szCs w:val="24"/>
        </w:rPr>
        <w:t>号英蓝国际金融中心</w:t>
      </w:r>
      <w:r>
        <w:rPr>
          <w:rFonts w:hint="eastAsia"/>
          <w:sz w:val="24"/>
          <w:szCs w:val="24"/>
        </w:rPr>
        <w:t>12</w:t>
      </w:r>
      <w:r>
        <w:rPr>
          <w:rFonts w:hint="eastAsia"/>
          <w:sz w:val="24"/>
          <w:szCs w:val="24"/>
        </w:rPr>
        <w:t>层、</w:t>
      </w:r>
      <w:r>
        <w:rPr>
          <w:rFonts w:hint="eastAsia"/>
          <w:sz w:val="24"/>
          <w:szCs w:val="24"/>
        </w:rPr>
        <w:t>15</w:t>
      </w:r>
      <w:r>
        <w:rPr>
          <w:rFonts w:hint="eastAsia"/>
          <w:sz w:val="24"/>
          <w:szCs w:val="24"/>
        </w:rPr>
        <w:t>层</w:t>
      </w:r>
    </w:p>
    <w:p w:rsidR="00783788" w:rsidRDefault="002C6E18">
      <w:pPr>
        <w:spacing w:line="360" w:lineRule="auto"/>
        <w:ind w:firstLineChars="200" w:firstLine="480"/>
        <w:rPr>
          <w:sz w:val="24"/>
          <w:szCs w:val="24"/>
        </w:rPr>
      </w:pPr>
      <w:r>
        <w:rPr>
          <w:rFonts w:hint="eastAsia"/>
          <w:sz w:val="24"/>
          <w:szCs w:val="24"/>
        </w:rPr>
        <w:t>办公地址：北京市西城区金融大街</w:t>
      </w:r>
      <w:r>
        <w:rPr>
          <w:rFonts w:hint="eastAsia"/>
          <w:sz w:val="24"/>
          <w:szCs w:val="24"/>
        </w:rPr>
        <w:t>7</w:t>
      </w:r>
      <w:r>
        <w:rPr>
          <w:rFonts w:hint="eastAsia"/>
          <w:sz w:val="24"/>
          <w:szCs w:val="24"/>
        </w:rPr>
        <w:t>号英蓝国际金融中心</w:t>
      </w:r>
      <w:r>
        <w:rPr>
          <w:rFonts w:hint="eastAsia"/>
          <w:sz w:val="24"/>
          <w:szCs w:val="24"/>
        </w:rPr>
        <w:t>12</w:t>
      </w:r>
      <w:r>
        <w:rPr>
          <w:rFonts w:hint="eastAsia"/>
          <w:sz w:val="24"/>
          <w:szCs w:val="24"/>
        </w:rPr>
        <w:t>层、</w:t>
      </w:r>
      <w:r>
        <w:rPr>
          <w:rFonts w:hint="eastAsia"/>
          <w:sz w:val="24"/>
          <w:szCs w:val="24"/>
        </w:rPr>
        <w:t>15</w:t>
      </w:r>
      <w:r>
        <w:rPr>
          <w:rFonts w:hint="eastAsia"/>
          <w:sz w:val="24"/>
          <w:szCs w:val="24"/>
        </w:rPr>
        <w:t>层</w:t>
      </w:r>
    </w:p>
    <w:p w:rsidR="00783788" w:rsidRDefault="002C6E18">
      <w:pPr>
        <w:spacing w:line="360" w:lineRule="auto"/>
        <w:ind w:firstLineChars="200" w:firstLine="480"/>
        <w:rPr>
          <w:sz w:val="24"/>
          <w:szCs w:val="24"/>
        </w:rPr>
      </w:pPr>
      <w:r>
        <w:rPr>
          <w:rFonts w:hint="eastAsia"/>
          <w:sz w:val="24"/>
          <w:szCs w:val="24"/>
        </w:rPr>
        <w:t>法定代表人：程宜荪</w:t>
      </w:r>
    </w:p>
    <w:p w:rsidR="00783788" w:rsidRDefault="002C6E18">
      <w:pPr>
        <w:spacing w:line="360" w:lineRule="auto"/>
        <w:ind w:firstLineChars="200" w:firstLine="480"/>
        <w:rPr>
          <w:sz w:val="24"/>
          <w:szCs w:val="24"/>
        </w:rPr>
      </w:pPr>
      <w:r>
        <w:rPr>
          <w:rFonts w:hint="eastAsia"/>
          <w:sz w:val="24"/>
          <w:szCs w:val="24"/>
        </w:rPr>
        <w:t>电话：（</w:t>
      </w:r>
      <w:r>
        <w:rPr>
          <w:rFonts w:hint="eastAsia"/>
          <w:sz w:val="24"/>
          <w:szCs w:val="24"/>
        </w:rPr>
        <w:t>010</w:t>
      </w:r>
      <w:r>
        <w:rPr>
          <w:rFonts w:hint="eastAsia"/>
          <w:sz w:val="24"/>
          <w:szCs w:val="24"/>
        </w:rPr>
        <w:t>）</w:t>
      </w:r>
      <w:r>
        <w:rPr>
          <w:rFonts w:hint="eastAsia"/>
          <w:sz w:val="24"/>
          <w:szCs w:val="24"/>
        </w:rPr>
        <w:t>58328112</w:t>
      </w:r>
    </w:p>
    <w:p w:rsidR="00783788" w:rsidRDefault="002C6E18">
      <w:pPr>
        <w:spacing w:line="360" w:lineRule="auto"/>
        <w:ind w:firstLineChars="200" w:firstLine="480"/>
        <w:rPr>
          <w:sz w:val="24"/>
          <w:szCs w:val="24"/>
        </w:rPr>
      </w:pPr>
      <w:r>
        <w:rPr>
          <w:rFonts w:hint="eastAsia"/>
          <w:sz w:val="24"/>
          <w:szCs w:val="24"/>
        </w:rPr>
        <w:t>传真：（</w:t>
      </w:r>
      <w:r>
        <w:rPr>
          <w:rFonts w:hint="eastAsia"/>
          <w:sz w:val="24"/>
          <w:szCs w:val="24"/>
        </w:rPr>
        <w:t>010</w:t>
      </w:r>
      <w:r>
        <w:rPr>
          <w:rFonts w:hint="eastAsia"/>
          <w:sz w:val="24"/>
          <w:szCs w:val="24"/>
        </w:rPr>
        <w:t>）</w:t>
      </w:r>
      <w:r>
        <w:rPr>
          <w:rFonts w:hint="eastAsia"/>
          <w:sz w:val="24"/>
          <w:szCs w:val="24"/>
        </w:rPr>
        <w:t>58328740</w:t>
      </w:r>
    </w:p>
    <w:p w:rsidR="00783788" w:rsidRDefault="002C6E18">
      <w:pPr>
        <w:spacing w:line="360" w:lineRule="auto"/>
        <w:ind w:firstLineChars="200" w:firstLine="480"/>
        <w:rPr>
          <w:sz w:val="24"/>
          <w:szCs w:val="24"/>
        </w:rPr>
      </w:pPr>
      <w:r>
        <w:rPr>
          <w:rFonts w:hint="eastAsia"/>
          <w:sz w:val="24"/>
          <w:szCs w:val="24"/>
        </w:rPr>
        <w:t>联系人：牟冲</w:t>
      </w:r>
    </w:p>
    <w:p w:rsidR="00783788" w:rsidRDefault="002C6E18">
      <w:pPr>
        <w:spacing w:line="360" w:lineRule="auto"/>
        <w:ind w:firstLineChars="200" w:firstLine="480"/>
        <w:rPr>
          <w:sz w:val="24"/>
          <w:szCs w:val="24"/>
        </w:rPr>
      </w:pPr>
      <w:r>
        <w:rPr>
          <w:rFonts w:hint="eastAsia"/>
          <w:sz w:val="24"/>
          <w:szCs w:val="24"/>
        </w:rPr>
        <w:t>客户服务电话：</w:t>
      </w:r>
      <w:r>
        <w:rPr>
          <w:rFonts w:hint="eastAsia"/>
          <w:sz w:val="24"/>
          <w:szCs w:val="24"/>
        </w:rPr>
        <w:t>400-887-8827</w:t>
      </w:r>
    </w:p>
    <w:p w:rsidR="00783788" w:rsidRDefault="002C6E18">
      <w:pPr>
        <w:spacing w:line="360" w:lineRule="auto"/>
        <w:ind w:firstLineChars="200" w:firstLine="480"/>
        <w:rPr>
          <w:sz w:val="24"/>
          <w:szCs w:val="24"/>
        </w:rPr>
      </w:pPr>
      <w:r>
        <w:rPr>
          <w:rFonts w:hint="eastAsia"/>
          <w:sz w:val="24"/>
          <w:szCs w:val="24"/>
        </w:rPr>
        <w:t>网址：</w:t>
      </w:r>
      <w:r>
        <w:rPr>
          <w:rFonts w:hint="eastAsia"/>
          <w:sz w:val="24"/>
          <w:szCs w:val="24"/>
        </w:rPr>
        <w:t>www.ubssecurities.com</w:t>
      </w:r>
    </w:p>
    <w:p w:rsidR="00783788" w:rsidRDefault="002C6E18">
      <w:pPr>
        <w:spacing w:line="360" w:lineRule="auto"/>
        <w:ind w:firstLineChars="200" w:firstLine="480"/>
        <w:rPr>
          <w:sz w:val="24"/>
          <w:szCs w:val="24"/>
        </w:rPr>
      </w:pPr>
      <w:r>
        <w:rPr>
          <w:rFonts w:hint="eastAsia"/>
          <w:sz w:val="24"/>
          <w:szCs w:val="24"/>
        </w:rPr>
        <w:t>（</w:t>
      </w:r>
      <w:r>
        <w:rPr>
          <w:rFonts w:hint="eastAsia"/>
          <w:sz w:val="24"/>
          <w:szCs w:val="24"/>
        </w:rPr>
        <w:t>20</w:t>
      </w:r>
      <w:r>
        <w:rPr>
          <w:rFonts w:hint="eastAsia"/>
          <w:sz w:val="24"/>
          <w:szCs w:val="24"/>
        </w:rPr>
        <w:t>）</w:t>
      </w:r>
      <w:r>
        <w:rPr>
          <w:rFonts w:hint="eastAsia"/>
          <w:sz w:val="24"/>
          <w:szCs w:val="24"/>
        </w:rPr>
        <w:t xml:space="preserve"> </w:t>
      </w:r>
      <w:r>
        <w:rPr>
          <w:rFonts w:hint="eastAsia"/>
          <w:sz w:val="24"/>
          <w:szCs w:val="24"/>
        </w:rPr>
        <w:t>长城证券有限责任公司</w:t>
      </w:r>
    </w:p>
    <w:p w:rsidR="00783788" w:rsidRDefault="002C6E18">
      <w:pPr>
        <w:spacing w:line="360" w:lineRule="auto"/>
        <w:ind w:firstLineChars="200" w:firstLine="480"/>
        <w:rPr>
          <w:sz w:val="24"/>
          <w:szCs w:val="24"/>
        </w:rPr>
      </w:pPr>
      <w:r>
        <w:rPr>
          <w:rFonts w:hint="eastAsia"/>
          <w:sz w:val="24"/>
          <w:szCs w:val="24"/>
        </w:rPr>
        <w:t>住所：深圳市福田区深南大道</w:t>
      </w:r>
      <w:r>
        <w:rPr>
          <w:rFonts w:hint="eastAsia"/>
          <w:sz w:val="24"/>
          <w:szCs w:val="24"/>
        </w:rPr>
        <w:t>6008</w:t>
      </w:r>
      <w:r>
        <w:rPr>
          <w:rFonts w:hint="eastAsia"/>
          <w:sz w:val="24"/>
          <w:szCs w:val="24"/>
        </w:rPr>
        <w:t>号特区报业大厦</w:t>
      </w:r>
      <w:r>
        <w:rPr>
          <w:rFonts w:hint="eastAsia"/>
          <w:sz w:val="24"/>
          <w:szCs w:val="24"/>
        </w:rPr>
        <w:t>14</w:t>
      </w:r>
      <w:r>
        <w:rPr>
          <w:rFonts w:hint="eastAsia"/>
          <w:sz w:val="24"/>
          <w:szCs w:val="24"/>
        </w:rPr>
        <w:t>、</w:t>
      </w:r>
      <w:r>
        <w:rPr>
          <w:rFonts w:hint="eastAsia"/>
          <w:sz w:val="24"/>
          <w:szCs w:val="24"/>
        </w:rPr>
        <w:t>16</w:t>
      </w:r>
      <w:r>
        <w:rPr>
          <w:rFonts w:hint="eastAsia"/>
          <w:sz w:val="24"/>
          <w:szCs w:val="24"/>
        </w:rPr>
        <w:t>、</w:t>
      </w:r>
      <w:r>
        <w:rPr>
          <w:rFonts w:hint="eastAsia"/>
          <w:sz w:val="24"/>
          <w:szCs w:val="24"/>
        </w:rPr>
        <w:t>17</w:t>
      </w:r>
      <w:r>
        <w:rPr>
          <w:rFonts w:hint="eastAsia"/>
          <w:sz w:val="24"/>
          <w:szCs w:val="24"/>
        </w:rPr>
        <w:t>层</w:t>
      </w:r>
    </w:p>
    <w:p w:rsidR="00783788" w:rsidRDefault="002C6E18">
      <w:pPr>
        <w:spacing w:line="360" w:lineRule="auto"/>
        <w:ind w:firstLineChars="200" w:firstLine="480"/>
        <w:rPr>
          <w:sz w:val="24"/>
          <w:szCs w:val="24"/>
        </w:rPr>
      </w:pPr>
      <w:r>
        <w:rPr>
          <w:rFonts w:hint="eastAsia"/>
          <w:sz w:val="24"/>
          <w:szCs w:val="24"/>
        </w:rPr>
        <w:t>法定代表人：黄耀华</w:t>
      </w:r>
    </w:p>
    <w:p w:rsidR="00783788" w:rsidRDefault="002C6E18">
      <w:pPr>
        <w:spacing w:line="360" w:lineRule="auto"/>
        <w:ind w:firstLineChars="200" w:firstLine="480"/>
        <w:rPr>
          <w:sz w:val="24"/>
          <w:szCs w:val="24"/>
        </w:rPr>
      </w:pPr>
      <w:r>
        <w:rPr>
          <w:rFonts w:hint="eastAsia"/>
          <w:sz w:val="24"/>
          <w:szCs w:val="24"/>
        </w:rPr>
        <w:t>电话：（</w:t>
      </w:r>
      <w:r>
        <w:rPr>
          <w:rFonts w:hint="eastAsia"/>
          <w:sz w:val="24"/>
          <w:szCs w:val="24"/>
        </w:rPr>
        <w:t>0755</w:t>
      </w:r>
      <w:r>
        <w:rPr>
          <w:rFonts w:hint="eastAsia"/>
          <w:sz w:val="24"/>
          <w:szCs w:val="24"/>
        </w:rPr>
        <w:t>）</w:t>
      </w:r>
      <w:r>
        <w:rPr>
          <w:rFonts w:hint="eastAsia"/>
          <w:sz w:val="24"/>
          <w:szCs w:val="24"/>
        </w:rPr>
        <w:t>83516289</w:t>
      </w:r>
    </w:p>
    <w:p w:rsidR="00783788" w:rsidRDefault="002C6E18">
      <w:pPr>
        <w:spacing w:line="360" w:lineRule="auto"/>
        <w:ind w:firstLineChars="200" w:firstLine="480"/>
        <w:rPr>
          <w:sz w:val="24"/>
          <w:szCs w:val="24"/>
        </w:rPr>
      </w:pPr>
      <w:r>
        <w:rPr>
          <w:rFonts w:hint="eastAsia"/>
          <w:sz w:val="24"/>
          <w:szCs w:val="24"/>
        </w:rPr>
        <w:t>传真：（</w:t>
      </w:r>
      <w:r>
        <w:rPr>
          <w:rFonts w:hint="eastAsia"/>
          <w:sz w:val="24"/>
          <w:szCs w:val="24"/>
        </w:rPr>
        <w:t>0755</w:t>
      </w:r>
      <w:r>
        <w:rPr>
          <w:rFonts w:hint="eastAsia"/>
          <w:sz w:val="24"/>
          <w:szCs w:val="24"/>
        </w:rPr>
        <w:t>）</w:t>
      </w:r>
      <w:r>
        <w:rPr>
          <w:rFonts w:hint="eastAsia"/>
          <w:sz w:val="24"/>
          <w:szCs w:val="24"/>
        </w:rPr>
        <w:t>83516199</w:t>
      </w:r>
    </w:p>
    <w:p w:rsidR="00783788" w:rsidRDefault="002C6E18">
      <w:pPr>
        <w:spacing w:line="360" w:lineRule="auto"/>
        <w:ind w:firstLineChars="200" w:firstLine="480"/>
        <w:rPr>
          <w:sz w:val="24"/>
          <w:szCs w:val="24"/>
        </w:rPr>
      </w:pPr>
      <w:r>
        <w:rPr>
          <w:rFonts w:hint="eastAsia"/>
          <w:sz w:val="24"/>
          <w:szCs w:val="24"/>
        </w:rPr>
        <w:t>联系人：匡婷</w:t>
      </w:r>
    </w:p>
    <w:p w:rsidR="00783788" w:rsidRDefault="002C6E18">
      <w:pPr>
        <w:spacing w:line="360" w:lineRule="auto"/>
        <w:ind w:firstLineChars="200" w:firstLine="480"/>
        <w:rPr>
          <w:sz w:val="24"/>
          <w:szCs w:val="24"/>
        </w:rPr>
      </w:pPr>
      <w:r>
        <w:rPr>
          <w:rFonts w:hint="eastAsia"/>
          <w:sz w:val="24"/>
          <w:szCs w:val="24"/>
        </w:rPr>
        <w:t>客户服务电话：（</w:t>
      </w:r>
      <w:r>
        <w:rPr>
          <w:rFonts w:hint="eastAsia"/>
          <w:sz w:val="24"/>
          <w:szCs w:val="24"/>
        </w:rPr>
        <w:t>0755</w:t>
      </w:r>
      <w:r>
        <w:rPr>
          <w:rFonts w:hint="eastAsia"/>
          <w:sz w:val="24"/>
          <w:szCs w:val="24"/>
        </w:rPr>
        <w:t>）</w:t>
      </w:r>
      <w:r>
        <w:rPr>
          <w:rFonts w:hint="eastAsia"/>
          <w:sz w:val="24"/>
          <w:szCs w:val="24"/>
        </w:rPr>
        <w:t>33680000</w:t>
      </w:r>
      <w:r>
        <w:rPr>
          <w:rFonts w:hint="eastAsia"/>
          <w:sz w:val="24"/>
          <w:szCs w:val="24"/>
        </w:rPr>
        <w:t>，</w:t>
      </w:r>
      <w:r>
        <w:rPr>
          <w:rFonts w:hint="eastAsia"/>
          <w:sz w:val="24"/>
          <w:szCs w:val="24"/>
        </w:rPr>
        <w:t>400-6666-888</w:t>
      </w:r>
    </w:p>
    <w:p w:rsidR="00783788" w:rsidRDefault="002C6E18">
      <w:pPr>
        <w:spacing w:line="360" w:lineRule="auto"/>
        <w:ind w:firstLineChars="200" w:firstLine="480"/>
        <w:rPr>
          <w:sz w:val="24"/>
          <w:szCs w:val="24"/>
        </w:rPr>
      </w:pPr>
      <w:r>
        <w:rPr>
          <w:rFonts w:hint="eastAsia"/>
          <w:sz w:val="24"/>
          <w:szCs w:val="24"/>
        </w:rPr>
        <w:t>网址：</w:t>
      </w:r>
      <w:r>
        <w:rPr>
          <w:rFonts w:hint="eastAsia"/>
          <w:sz w:val="24"/>
          <w:szCs w:val="24"/>
        </w:rPr>
        <w:t>www.cc168.com.cn</w:t>
      </w:r>
    </w:p>
    <w:p w:rsidR="00783788" w:rsidRDefault="002C6E18">
      <w:pPr>
        <w:spacing w:line="360" w:lineRule="auto"/>
        <w:ind w:firstLineChars="200" w:firstLine="480"/>
        <w:rPr>
          <w:sz w:val="24"/>
          <w:szCs w:val="24"/>
        </w:rPr>
      </w:pPr>
      <w:r>
        <w:rPr>
          <w:rFonts w:hint="eastAsia"/>
          <w:sz w:val="24"/>
          <w:szCs w:val="24"/>
        </w:rPr>
        <w:t>（</w:t>
      </w:r>
      <w:r>
        <w:rPr>
          <w:rFonts w:hint="eastAsia"/>
          <w:sz w:val="24"/>
          <w:szCs w:val="24"/>
        </w:rPr>
        <w:t>21</w:t>
      </w:r>
      <w:r>
        <w:rPr>
          <w:rFonts w:hint="eastAsia"/>
          <w:sz w:val="24"/>
          <w:szCs w:val="24"/>
        </w:rPr>
        <w:t>）</w:t>
      </w:r>
      <w:r>
        <w:rPr>
          <w:rFonts w:hint="eastAsia"/>
          <w:sz w:val="24"/>
          <w:szCs w:val="24"/>
        </w:rPr>
        <w:t xml:space="preserve"> </w:t>
      </w:r>
      <w:r>
        <w:rPr>
          <w:rFonts w:hint="eastAsia"/>
          <w:sz w:val="24"/>
          <w:szCs w:val="24"/>
        </w:rPr>
        <w:t>国金证券股份有限公司</w:t>
      </w:r>
    </w:p>
    <w:p w:rsidR="00783788" w:rsidRDefault="002C6E18">
      <w:pPr>
        <w:spacing w:line="360" w:lineRule="auto"/>
        <w:ind w:firstLineChars="200" w:firstLine="480"/>
        <w:rPr>
          <w:sz w:val="24"/>
          <w:szCs w:val="24"/>
        </w:rPr>
      </w:pPr>
      <w:r>
        <w:rPr>
          <w:rFonts w:hint="eastAsia"/>
          <w:sz w:val="24"/>
          <w:szCs w:val="24"/>
        </w:rPr>
        <w:t>住所：成都市东城根上街</w:t>
      </w:r>
      <w:r>
        <w:rPr>
          <w:rFonts w:hint="eastAsia"/>
          <w:sz w:val="24"/>
          <w:szCs w:val="24"/>
        </w:rPr>
        <w:t>95</w:t>
      </w:r>
      <w:r>
        <w:rPr>
          <w:rFonts w:hint="eastAsia"/>
          <w:sz w:val="24"/>
          <w:szCs w:val="24"/>
        </w:rPr>
        <w:t>号</w:t>
      </w:r>
    </w:p>
    <w:p w:rsidR="00783788" w:rsidRDefault="002C6E18">
      <w:pPr>
        <w:spacing w:line="360" w:lineRule="auto"/>
        <w:ind w:firstLineChars="200" w:firstLine="480"/>
        <w:rPr>
          <w:sz w:val="24"/>
          <w:szCs w:val="24"/>
        </w:rPr>
      </w:pPr>
      <w:r>
        <w:rPr>
          <w:rFonts w:hint="eastAsia"/>
          <w:sz w:val="24"/>
          <w:szCs w:val="24"/>
        </w:rPr>
        <w:t>办公地址：成都市东城根上街</w:t>
      </w:r>
      <w:r>
        <w:rPr>
          <w:rFonts w:hint="eastAsia"/>
          <w:sz w:val="24"/>
          <w:szCs w:val="24"/>
        </w:rPr>
        <w:t>95</w:t>
      </w:r>
      <w:r>
        <w:rPr>
          <w:rFonts w:hint="eastAsia"/>
          <w:sz w:val="24"/>
          <w:szCs w:val="24"/>
        </w:rPr>
        <w:t>号</w:t>
      </w:r>
    </w:p>
    <w:p w:rsidR="00783788" w:rsidRDefault="002C6E18">
      <w:pPr>
        <w:spacing w:line="360" w:lineRule="auto"/>
        <w:ind w:firstLineChars="200" w:firstLine="480"/>
        <w:rPr>
          <w:sz w:val="24"/>
          <w:szCs w:val="24"/>
        </w:rPr>
      </w:pPr>
      <w:r>
        <w:rPr>
          <w:rFonts w:hint="eastAsia"/>
          <w:sz w:val="24"/>
          <w:szCs w:val="24"/>
        </w:rPr>
        <w:t>法定代表人：冉云</w:t>
      </w:r>
      <w:r>
        <w:rPr>
          <w:rFonts w:hint="eastAsia"/>
          <w:sz w:val="24"/>
          <w:szCs w:val="24"/>
        </w:rPr>
        <w:t xml:space="preserve"> </w:t>
      </w:r>
    </w:p>
    <w:p w:rsidR="00783788" w:rsidRDefault="002C6E18">
      <w:pPr>
        <w:spacing w:line="360" w:lineRule="auto"/>
        <w:ind w:firstLineChars="200" w:firstLine="480"/>
        <w:rPr>
          <w:sz w:val="24"/>
          <w:szCs w:val="24"/>
        </w:rPr>
      </w:pPr>
      <w:r>
        <w:rPr>
          <w:rFonts w:hint="eastAsia"/>
          <w:sz w:val="24"/>
          <w:szCs w:val="24"/>
        </w:rPr>
        <w:t>电话：（</w:t>
      </w:r>
      <w:r>
        <w:rPr>
          <w:rFonts w:hint="eastAsia"/>
          <w:sz w:val="24"/>
          <w:szCs w:val="24"/>
        </w:rPr>
        <w:t>028</w:t>
      </w:r>
      <w:r>
        <w:rPr>
          <w:rFonts w:hint="eastAsia"/>
          <w:sz w:val="24"/>
          <w:szCs w:val="24"/>
        </w:rPr>
        <w:t>）</w:t>
      </w:r>
      <w:r>
        <w:rPr>
          <w:rFonts w:hint="eastAsia"/>
          <w:sz w:val="24"/>
          <w:szCs w:val="24"/>
        </w:rPr>
        <w:t>86690126</w:t>
      </w:r>
    </w:p>
    <w:p w:rsidR="00783788" w:rsidRDefault="002C6E18">
      <w:pPr>
        <w:spacing w:line="360" w:lineRule="auto"/>
        <w:ind w:firstLineChars="200" w:firstLine="480"/>
        <w:rPr>
          <w:sz w:val="24"/>
          <w:szCs w:val="24"/>
        </w:rPr>
      </w:pPr>
      <w:r>
        <w:rPr>
          <w:rFonts w:hint="eastAsia"/>
          <w:sz w:val="24"/>
          <w:szCs w:val="24"/>
        </w:rPr>
        <w:t>传真：（</w:t>
      </w:r>
      <w:r>
        <w:rPr>
          <w:rFonts w:hint="eastAsia"/>
          <w:sz w:val="24"/>
          <w:szCs w:val="24"/>
        </w:rPr>
        <w:t>028</w:t>
      </w:r>
      <w:r>
        <w:rPr>
          <w:rFonts w:hint="eastAsia"/>
          <w:sz w:val="24"/>
          <w:szCs w:val="24"/>
        </w:rPr>
        <w:t>）</w:t>
      </w:r>
      <w:r>
        <w:rPr>
          <w:rFonts w:hint="eastAsia"/>
          <w:sz w:val="24"/>
          <w:szCs w:val="24"/>
        </w:rPr>
        <w:t>86690126</w:t>
      </w:r>
    </w:p>
    <w:p w:rsidR="00783788" w:rsidRDefault="002C6E18">
      <w:pPr>
        <w:spacing w:line="360" w:lineRule="auto"/>
        <w:ind w:firstLineChars="200" w:firstLine="480"/>
        <w:rPr>
          <w:sz w:val="24"/>
          <w:szCs w:val="24"/>
        </w:rPr>
      </w:pPr>
      <w:r>
        <w:rPr>
          <w:rFonts w:hint="eastAsia"/>
          <w:sz w:val="24"/>
          <w:szCs w:val="24"/>
        </w:rPr>
        <w:t>联系人：金喆</w:t>
      </w:r>
    </w:p>
    <w:p w:rsidR="00783788" w:rsidRDefault="002C6E18">
      <w:pPr>
        <w:spacing w:line="360" w:lineRule="auto"/>
        <w:ind w:firstLineChars="200" w:firstLine="480"/>
        <w:rPr>
          <w:sz w:val="24"/>
          <w:szCs w:val="24"/>
        </w:rPr>
      </w:pPr>
      <w:r>
        <w:rPr>
          <w:rFonts w:hint="eastAsia"/>
          <w:sz w:val="24"/>
          <w:szCs w:val="24"/>
        </w:rPr>
        <w:t>客户服务电话：</w:t>
      </w:r>
      <w:r>
        <w:rPr>
          <w:rFonts w:hint="eastAsia"/>
          <w:sz w:val="24"/>
          <w:szCs w:val="24"/>
        </w:rPr>
        <w:t>400-6600-109</w:t>
      </w:r>
    </w:p>
    <w:p w:rsidR="00783788" w:rsidRDefault="002C6E18">
      <w:pPr>
        <w:spacing w:line="360" w:lineRule="auto"/>
        <w:ind w:firstLineChars="200" w:firstLine="480"/>
        <w:rPr>
          <w:sz w:val="24"/>
          <w:szCs w:val="24"/>
        </w:rPr>
      </w:pPr>
      <w:r>
        <w:rPr>
          <w:rFonts w:hint="eastAsia"/>
          <w:sz w:val="24"/>
          <w:szCs w:val="24"/>
        </w:rPr>
        <w:t>网址：</w:t>
      </w:r>
      <w:r>
        <w:rPr>
          <w:rFonts w:hint="eastAsia"/>
          <w:sz w:val="24"/>
          <w:szCs w:val="24"/>
        </w:rPr>
        <w:t>www.gjzq.com.cn</w:t>
      </w:r>
    </w:p>
    <w:p w:rsidR="00783788" w:rsidRDefault="002C6E18">
      <w:pPr>
        <w:spacing w:line="360" w:lineRule="auto"/>
        <w:ind w:firstLineChars="200" w:firstLine="480"/>
        <w:rPr>
          <w:sz w:val="24"/>
          <w:szCs w:val="24"/>
        </w:rPr>
      </w:pPr>
      <w:r>
        <w:rPr>
          <w:rFonts w:hint="eastAsia"/>
          <w:sz w:val="24"/>
          <w:szCs w:val="24"/>
        </w:rPr>
        <w:t>（</w:t>
      </w:r>
      <w:r>
        <w:rPr>
          <w:rFonts w:hint="eastAsia"/>
          <w:sz w:val="24"/>
          <w:szCs w:val="24"/>
        </w:rPr>
        <w:t>22</w:t>
      </w:r>
      <w:r>
        <w:rPr>
          <w:rFonts w:hint="eastAsia"/>
          <w:sz w:val="24"/>
          <w:szCs w:val="24"/>
        </w:rPr>
        <w:t>）</w:t>
      </w:r>
      <w:r>
        <w:rPr>
          <w:rFonts w:hint="eastAsia"/>
          <w:sz w:val="24"/>
          <w:szCs w:val="24"/>
        </w:rPr>
        <w:t xml:space="preserve"> </w:t>
      </w:r>
      <w:r>
        <w:rPr>
          <w:rFonts w:hint="eastAsia"/>
          <w:sz w:val="24"/>
          <w:szCs w:val="24"/>
        </w:rPr>
        <w:t>信达证券股份有限公司</w:t>
      </w:r>
    </w:p>
    <w:p w:rsidR="00783788" w:rsidRDefault="002C6E18">
      <w:pPr>
        <w:spacing w:line="360" w:lineRule="auto"/>
        <w:ind w:firstLineChars="200" w:firstLine="480"/>
        <w:rPr>
          <w:sz w:val="24"/>
          <w:szCs w:val="24"/>
        </w:rPr>
      </w:pPr>
      <w:r>
        <w:rPr>
          <w:rFonts w:hint="eastAsia"/>
          <w:sz w:val="24"/>
          <w:szCs w:val="24"/>
        </w:rPr>
        <w:t>住所：北京市西城区闹市口大街</w:t>
      </w:r>
      <w:r>
        <w:rPr>
          <w:rFonts w:hint="eastAsia"/>
          <w:sz w:val="24"/>
          <w:szCs w:val="24"/>
        </w:rPr>
        <w:t>9</w:t>
      </w:r>
      <w:r>
        <w:rPr>
          <w:rFonts w:hint="eastAsia"/>
          <w:sz w:val="24"/>
          <w:szCs w:val="24"/>
        </w:rPr>
        <w:t>号院</w:t>
      </w:r>
      <w:r>
        <w:rPr>
          <w:rFonts w:hint="eastAsia"/>
          <w:sz w:val="24"/>
          <w:szCs w:val="24"/>
        </w:rPr>
        <w:t>1</w:t>
      </w:r>
      <w:r>
        <w:rPr>
          <w:rFonts w:hint="eastAsia"/>
          <w:sz w:val="24"/>
          <w:szCs w:val="24"/>
        </w:rPr>
        <w:t>号楼信达金融中心</w:t>
      </w:r>
    </w:p>
    <w:p w:rsidR="00783788" w:rsidRDefault="002C6E18">
      <w:pPr>
        <w:spacing w:line="360" w:lineRule="auto"/>
        <w:ind w:firstLineChars="200" w:firstLine="480"/>
        <w:rPr>
          <w:sz w:val="24"/>
          <w:szCs w:val="24"/>
        </w:rPr>
      </w:pPr>
      <w:r>
        <w:rPr>
          <w:rFonts w:hint="eastAsia"/>
          <w:sz w:val="24"/>
          <w:szCs w:val="24"/>
        </w:rPr>
        <w:t>办公地址：北京市西城区闹市口大街</w:t>
      </w:r>
      <w:r>
        <w:rPr>
          <w:rFonts w:hint="eastAsia"/>
          <w:sz w:val="24"/>
          <w:szCs w:val="24"/>
        </w:rPr>
        <w:t>9</w:t>
      </w:r>
      <w:r>
        <w:rPr>
          <w:rFonts w:hint="eastAsia"/>
          <w:sz w:val="24"/>
          <w:szCs w:val="24"/>
        </w:rPr>
        <w:t>号院</w:t>
      </w:r>
      <w:r>
        <w:rPr>
          <w:rFonts w:hint="eastAsia"/>
          <w:sz w:val="24"/>
          <w:szCs w:val="24"/>
        </w:rPr>
        <w:t>1</w:t>
      </w:r>
      <w:r>
        <w:rPr>
          <w:rFonts w:hint="eastAsia"/>
          <w:sz w:val="24"/>
          <w:szCs w:val="24"/>
        </w:rPr>
        <w:t>号楼信达金融中心</w:t>
      </w:r>
    </w:p>
    <w:p w:rsidR="00783788" w:rsidRDefault="002C6E18">
      <w:pPr>
        <w:spacing w:line="360" w:lineRule="auto"/>
        <w:ind w:firstLineChars="200" w:firstLine="480"/>
        <w:rPr>
          <w:sz w:val="24"/>
          <w:szCs w:val="24"/>
        </w:rPr>
      </w:pPr>
      <w:r>
        <w:rPr>
          <w:rFonts w:hint="eastAsia"/>
          <w:sz w:val="24"/>
          <w:szCs w:val="24"/>
        </w:rPr>
        <w:t>法定代表人：高冠江</w:t>
      </w:r>
    </w:p>
    <w:p w:rsidR="00783788" w:rsidRDefault="002C6E18">
      <w:pPr>
        <w:spacing w:line="360" w:lineRule="auto"/>
        <w:ind w:firstLineChars="200" w:firstLine="480"/>
        <w:rPr>
          <w:sz w:val="24"/>
          <w:szCs w:val="24"/>
        </w:rPr>
      </w:pPr>
      <w:r>
        <w:rPr>
          <w:rFonts w:hint="eastAsia"/>
          <w:sz w:val="24"/>
          <w:szCs w:val="24"/>
        </w:rPr>
        <w:t>电话：（</w:t>
      </w:r>
      <w:r>
        <w:rPr>
          <w:rFonts w:hint="eastAsia"/>
          <w:sz w:val="24"/>
          <w:szCs w:val="24"/>
        </w:rPr>
        <w:t>010</w:t>
      </w:r>
      <w:r>
        <w:rPr>
          <w:rFonts w:hint="eastAsia"/>
          <w:sz w:val="24"/>
          <w:szCs w:val="24"/>
        </w:rPr>
        <w:t>）</w:t>
      </w:r>
      <w:r>
        <w:rPr>
          <w:rFonts w:hint="eastAsia"/>
          <w:sz w:val="24"/>
          <w:szCs w:val="24"/>
        </w:rPr>
        <w:t>63081000</w:t>
      </w:r>
    </w:p>
    <w:p w:rsidR="00783788" w:rsidRDefault="002C6E18">
      <w:pPr>
        <w:spacing w:line="360" w:lineRule="auto"/>
        <w:ind w:firstLineChars="200" w:firstLine="480"/>
        <w:rPr>
          <w:sz w:val="24"/>
          <w:szCs w:val="24"/>
        </w:rPr>
      </w:pPr>
      <w:r>
        <w:rPr>
          <w:rFonts w:hint="eastAsia"/>
          <w:sz w:val="24"/>
          <w:szCs w:val="24"/>
        </w:rPr>
        <w:t>传真：（</w:t>
      </w:r>
      <w:r>
        <w:rPr>
          <w:rFonts w:hint="eastAsia"/>
          <w:sz w:val="24"/>
          <w:szCs w:val="24"/>
        </w:rPr>
        <w:t>010</w:t>
      </w:r>
      <w:r>
        <w:rPr>
          <w:rFonts w:hint="eastAsia"/>
          <w:sz w:val="24"/>
          <w:szCs w:val="24"/>
        </w:rPr>
        <w:t>）</w:t>
      </w:r>
      <w:r>
        <w:rPr>
          <w:rFonts w:hint="eastAsia"/>
          <w:sz w:val="24"/>
          <w:szCs w:val="24"/>
        </w:rPr>
        <w:t>63080978</w:t>
      </w:r>
    </w:p>
    <w:p w:rsidR="00783788" w:rsidRDefault="002C6E18">
      <w:pPr>
        <w:spacing w:line="360" w:lineRule="auto"/>
        <w:ind w:firstLineChars="200" w:firstLine="480"/>
        <w:rPr>
          <w:sz w:val="24"/>
          <w:szCs w:val="24"/>
        </w:rPr>
      </w:pPr>
      <w:r>
        <w:rPr>
          <w:rFonts w:hint="eastAsia"/>
          <w:sz w:val="24"/>
          <w:szCs w:val="24"/>
        </w:rPr>
        <w:t>联系人：唐静</w:t>
      </w:r>
    </w:p>
    <w:p w:rsidR="00783788" w:rsidRDefault="002C6E18">
      <w:pPr>
        <w:spacing w:line="360" w:lineRule="auto"/>
        <w:ind w:firstLineChars="200" w:firstLine="480"/>
        <w:rPr>
          <w:sz w:val="24"/>
          <w:szCs w:val="24"/>
        </w:rPr>
      </w:pPr>
      <w:r>
        <w:rPr>
          <w:rFonts w:hint="eastAsia"/>
          <w:sz w:val="24"/>
          <w:szCs w:val="24"/>
        </w:rPr>
        <w:t>客户服务电话：</w:t>
      </w:r>
      <w:r>
        <w:rPr>
          <w:rFonts w:hint="eastAsia"/>
          <w:sz w:val="24"/>
          <w:szCs w:val="24"/>
        </w:rPr>
        <w:t>400-800-8899</w:t>
      </w:r>
    </w:p>
    <w:p w:rsidR="00783788" w:rsidRDefault="002C6E18">
      <w:pPr>
        <w:spacing w:line="360" w:lineRule="auto"/>
        <w:ind w:firstLineChars="200" w:firstLine="480"/>
        <w:rPr>
          <w:sz w:val="24"/>
          <w:szCs w:val="24"/>
        </w:rPr>
      </w:pPr>
      <w:r>
        <w:rPr>
          <w:rFonts w:hint="eastAsia"/>
          <w:sz w:val="24"/>
          <w:szCs w:val="24"/>
        </w:rPr>
        <w:t>网址：</w:t>
      </w:r>
      <w:r>
        <w:rPr>
          <w:rFonts w:hint="eastAsia"/>
          <w:sz w:val="24"/>
          <w:szCs w:val="24"/>
        </w:rPr>
        <w:t>www.cindasc.com</w:t>
      </w:r>
    </w:p>
    <w:p w:rsidR="00783788" w:rsidRDefault="002C6E18">
      <w:pPr>
        <w:spacing w:line="360" w:lineRule="auto"/>
        <w:ind w:firstLineChars="200" w:firstLine="480"/>
        <w:rPr>
          <w:sz w:val="24"/>
          <w:szCs w:val="24"/>
        </w:rPr>
      </w:pPr>
      <w:r>
        <w:rPr>
          <w:rFonts w:hint="eastAsia"/>
          <w:sz w:val="24"/>
          <w:szCs w:val="24"/>
        </w:rPr>
        <w:t>（</w:t>
      </w:r>
      <w:r>
        <w:rPr>
          <w:rFonts w:hint="eastAsia"/>
          <w:sz w:val="24"/>
          <w:szCs w:val="24"/>
        </w:rPr>
        <w:t>23</w:t>
      </w:r>
      <w:r>
        <w:rPr>
          <w:rFonts w:hint="eastAsia"/>
          <w:sz w:val="24"/>
          <w:szCs w:val="24"/>
        </w:rPr>
        <w:t>）</w:t>
      </w:r>
      <w:r>
        <w:rPr>
          <w:rFonts w:hint="eastAsia"/>
          <w:sz w:val="24"/>
          <w:szCs w:val="24"/>
        </w:rPr>
        <w:t xml:space="preserve"> </w:t>
      </w:r>
      <w:r>
        <w:rPr>
          <w:rFonts w:hint="eastAsia"/>
          <w:sz w:val="24"/>
          <w:szCs w:val="24"/>
        </w:rPr>
        <w:t>西南证券股份有限公司</w:t>
      </w:r>
    </w:p>
    <w:p w:rsidR="00783788" w:rsidRDefault="002C6E18">
      <w:pPr>
        <w:spacing w:line="360" w:lineRule="auto"/>
        <w:ind w:firstLineChars="200" w:firstLine="480"/>
        <w:rPr>
          <w:sz w:val="24"/>
          <w:szCs w:val="24"/>
        </w:rPr>
      </w:pPr>
      <w:r>
        <w:rPr>
          <w:rFonts w:hint="eastAsia"/>
          <w:sz w:val="24"/>
          <w:szCs w:val="24"/>
        </w:rPr>
        <w:t>住所：重庆市江北区桥北苑</w:t>
      </w:r>
      <w:r>
        <w:rPr>
          <w:rFonts w:hint="eastAsia"/>
          <w:sz w:val="24"/>
          <w:szCs w:val="24"/>
        </w:rPr>
        <w:t>8</w:t>
      </w:r>
      <w:r>
        <w:rPr>
          <w:rFonts w:hint="eastAsia"/>
          <w:sz w:val="24"/>
          <w:szCs w:val="24"/>
        </w:rPr>
        <w:t>号</w:t>
      </w:r>
    </w:p>
    <w:p w:rsidR="00783788" w:rsidRDefault="002C6E18">
      <w:pPr>
        <w:spacing w:line="360" w:lineRule="auto"/>
        <w:ind w:firstLineChars="200" w:firstLine="480"/>
        <w:rPr>
          <w:sz w:val="24"/>
          <w:szCs w:val="24"/>
        </w:rPr>
      </w:pPr>
      <w:r>
        <w:rPr>
          <w:rFonts w:hint="eastAsia"/>
          <w:sz w:val="24"/>
          <w:szCs w:val="24"/>
        </w:rPr>
        <w:t>办公地址：重庆市江北区桥北苑</w:t>
      </w:r>
      <w:r>
        <w:rPr>
          <w:rFonts w:hint="eastAsia"/>
          <w:sz w:val="24"/>
          <w:szCs w:val="24"/>
        </w:rPr>
        <w:t>8</w:t>
      </w:r>
      <w:r>
        <w:rPr>
          <w:rFonts w:hint="eastAsia"/>
          <w:sz w:val="24"/>
          <w:szCs w:val="24"/>
        </w:rPr>
        <w:t>号西南证券大厦</w:t>
      </w:r>
    </w:p>
    <w:p w:rsidR="00783788" w:rsidRDefault="002C6E18">
      <w:pPr>
        <w:spacing w:line="360" w:lineRule="auto"/>
        <w:ind w:firstLineChars="200" w:firstLine="480"/>
        <w:rPr>
          <w:sz w:val="24"/>
          <w:szCs w:val="24"/>
        </w:rPr>
      </w:pPr>
      <w:r>
        <w:rPr>
          <w:rFonts w:hint="eastAsia"/>
          <w:sz w:val="24"/>
          <w:szCs w:val="24"/>
        </w:rPr>
        <w:t>法定代表人：余维佳</w:t>
      </w:r>
    </w:p>
    <w:p w:rsidR="00783788" w:rsidRDefault="002C6E18">
      <w:pPr>
        <w:spacing w:line="360" w:lineRule="auto"/>
        <w:ind w:firstLineChars="200" w:firstLine="480"/>
        <w:rPr>
          <w:sz w:val="24"/>
          <w:szCs w:val="24"/>
        </w:rPr>
      </w:pPr>
      <w:r>
        <w:rPr>
          <w:rFonts w:hint="eastAsia"/>
          <w:sz w:val="24"/>
          <w:szCs w:val="24"/>
        </w:rPr>
        <w:t>电话：（</w:t>
      </w:r>
      <w:r>
        <w:rPr>
          <w:rFonts w:hint="eastAsia"/>
          <w:sz w:val="24"/>
          <w:szCs w:val="24"/>
        </w:rPr>
        <w:t>023</w:t>
      </w:r>
      <w:r>
        <w:rPr>
          <w:rFonts w:hint="eastAsia"/>
          <w:sz w:val="24"/>
          <w:szCs w:val="24"/>
        </w:rPr>
        <w:t>）</w:t>
      </w:r>
      <w:r>
        <w:rPr>
          <w:rFonts w:hint="eastAsia"/>
          <w:sz w:val="24"/>
          <w:szCs w:val="24"/>
        </w:rPr>
        <w:t>63786141</w:t>
      </w:r>
    </w:p>
    <w:p w:rsidR="00783788" w:rsidRDefault="002C6E18">
      <w:pPr>
        <w:spacing w:line="360" w:lineRule="auto"/>
        <w:ind w:firstLineChars="200" w:firstLine="480"/>
        <w:rPr>
          <w:sz w:val="24"/>
          <w:szCs w:val="24"/>
        </w:rPr>
      </w:pPr>
      <w:r>
        <w:rPr>
          <w:rFonts w:hint="eastAsia"/>
          <w:sz w:val="24"/>
          <w:szCs w:val="24"/>
        </w:rPr>
        <w:t>传真：（</w:t>
      </w:r>
      <w:r>
        <w:rPr>
          <w:rFonts w:hint="eastAsia"/>
          <w:sz w:val="24"/>
          <w:szCs w:val="24"/>
        </w:rPr>
        <w:t>023</w:t>
      </w:r>
      <w:r>
        <w:rPr>
          <w:rFonts w:hint="eastAsia"/>
          <w:sz w:val="24"/>
          <w:szCs w:val="24"/>
        </w:rPr>
        <w:t>）</w:t>
      </w:r>
      <w:r>
        <w:rPr>
          <w:rFonts w:hint="eastAsia"/>
          <w:sz w:val="24"/>
          <w:szCs w:val="24"/>
        </w:rPr>
        <w:t>63786212</w:t>
      </w:r>
    </w:p>
    <w:p w:rsidR="00783788" w:rsidRDefault="002C6E18">
      <w:pPr>
        <w:spacing w:line="360" w:lineRule="auto"/>
        <w:ind w:firstLineChars="200" w:firstLine="480"/>
        <w:rPr>
          <w:sz w:val="24"/>
          <w:szCs w:val="24"/>
        </w:rPr>
      </w:pPr>
      <w:r>
        <w:rPr>
          <w:rFonts w:hint="eastAsia"/>
          <w:sz w:val="24"/>
          <w:szCs w:val="24"/>
        </w:rPr>
        <w:t>联系人：张煜</w:t>
      </w:r>
    </w:p>
    <w:p w:rsidR="00783788" w:rsidRDefault="002C6E18">
      <w:pPr>
        <w:spacing w:line="360" w:lineRule="auto"/>
        <w:ind w:firstLineChars="200" w:firstLine="480"/>
        <w:rPr>
          <w:sz w:val="24"/>
          <w:szCs w:val="24"/>
        </w:rPr>
      </w:pPr>
      <w:r>
        <w:rPr>
          <w:rFonts w:hint="eastAsia"/>
          <w:sz w:val="24"/>
          <w:szCs w:val="24"/>
        </w:rPr>
        <w:t>客户服务电话：</w:t>
      </w:r>
      <w:r>
        <w:rPr>
          <w:rFonts w:hint="eastAsia"/>
          <w:sz w:val="24"/>
          <w:szCs w:val="24"/>
        </w:rPr>
        <w:t>400-809-6096</w:t>
      </w:r>
    </w:p>
    <w:p w:rsidR="00783788" w:rsidRDefault="002C6E18">
      <w:pPr>
        <w:spacing w:line="360" w:lineRule="auto"/>
        <w:ind w:firstLineChars="200" w:firstLine="480"/>
        <w:rPr>
          <w:sz w:val="24"/>
          <w:szCs w:val="24"/>
        </w:rPr>
      </w:pPr>
      <w:r>
        <w:rPr>
          <w:rFonts w:hint="eastAsia"/>
          <w:sz w:val="24"/>
          <w:szCs w:val="24"/>
        </w:rPr>
        <w:t>网址：</w:t>
      </w:r>
      <w:r>
        <w:rPr>
          <w:rFonts w:hint="eastAsia"/>
          <w:sz w:val="24"/>
          <w:szCs w:val="24"/>
        </w:rPr>
        <w:t>www.swsc.com.cn</w:t>
      </w:r>
    </w:p>
    <w:p w:rsidR="00783788" w:rsidRDefault="002C6E18">
      <w:pPr>
        <w:spacing w:line="360" w:lineRule="auto"/>
        <w:ind w:firstLineChars="200" w:firstLine="480"/>
        <w:rPr>
          <w:sz w:val="24"/>
          <w:szCs w:val="24"/>
        </w:rPr>
      </w:pPr>
      <w:r>
        <w:rPr>
          <w:rFonts w:hint="eastAsia"/>
          <w:sz w:val="24"/>
          <w:szCs w:val="24"/>
        </w:rPr>
        <w:t>（</w:t>
      </w:r>
      <w:r>
        <w:rPr>
          <w:rFonts w:hint="eastAsia"/>
          <w:sz w:val="24"/>
          <w:szCs w:val="24"/>
        </w:rPr>
        <w:t>24</w:t>
      </w:r>
      <w:r>
        <w:rPr>
          <w:rFonts w:hint="eastAsia"/>
          <w:sz w:val="24"/>
          <w:szCs w:val="24"/>
        </w:rPr>
        <w:t>）</w:t>
      </w:r>
      <w:r>
        <w:rPr>
          <w:rFonts w:hint="eastAsia"/>
          <w:sz w:val="24"/>
          <w:szCs w:val="24"/>
        </w:rPr>
        <w:t xml:space="preserve"> </w:t>
      </w:r>
      <w:r>
        <w:rPr>
          <w:rFonts w:hint="eastAsia"/>
          <w:sz w:val="24"/>
          <w:szCs w:val="24"/>
        </w:rPr>
        <w:t>中国中投证券有限责任公司</w:t>
      </w:r>
    </w:p>
    <w:p w:rsidR="00783788" w:rsidRDefault="002C6E18">
      <w:pPr>
        <w:spacing w:line="360" w:lineRule="auto"/>
        <w:ind w:firstLineChars="200" w:firstLine="480"/>
        <w:rPr>
          <w:sz w:val="24"/>
          <w:szCs w:val="24"/>
        </w:rPr>
      </w:pPr>
      <w:r>
        <w:rPr>
          <w:rFonts w:hint="eastAsia"/>
          <w:sz w:val="24"/>
          <w:szCs w:val="24"/>
        </w:rPr>
        <w:t>住所：深圳市福田区益田路与福中路交界处荣超商务中心</w:t>
      </w:r>
      <w:r>
        <w:rPr>
          <w:rFonts w:hint="eastAsia"/>
          <w:sz w:val="24"/>
          <w:szCs w:val="24"/>
        </w:rPr>
        <w:t>A</w:t>
      </w:r>
      <w:r>
        <w:rPr>
          <w:rFonts w:hint="eastAsia"/>
          <w:sz w:val="24"/>
          <w:szCs w:val="24"/>
        </w:rPr>
        <w:t>栋第</w:t>
      </w:r>
      <w:r>
        <w:rPr>
          <w:rFonts w:hint="eastAsia"/>
          <w:sz w:val="24"/>
          <w:szCs w:val="24"/>
        </w:rPr>
        <w:t>18</w:t>
      </w:r>
      <w:r>
        <w:rPr>
          <w:rFonts w:hint="eastAsia"/>
          <w:sz w:val="24"/>
          <w:szCs w:val="24"/>
        </w:rPr>
        <w:t>层</w:t>
      </w:r>
      <w:r>
        <w:rPr>
          <w:rFonts w:hint="eastAsia"/>
          <w:sz w:val="24"/>
          <w:szCs w:val="24"/>
        </w:rPr>
        <w:t>-21</w:t>
      </w:r>
      <w:r>
        <w:rPr>
          <w:rFonts w:hint="eastAsia"/>
          <w:sz w:val="24"/>
          <w:szCs w:val="24"/>
        </w:rPr>
        <w:t>层及第</w:t>
      </w:r>
      <w:r>
        <w:rPr>
          <w:rFonts w:hint="eastAsia"/>
          <w:sz w:val="24"/>
          <w:szCs w:val="24"/>
        </w:rPr>
        <w:t>04</w:t>
      </w:r>
      <w:r>
        <w:rPr>
          <w:rFonts w:hint="eastAsia"/>
          <w:sz w:val="24"/>
          <w:szCs w:val="24"/>
        </w:rPr>
        <w:t>层</w:t>
      </w:r>
      <w:r>
        <w:rPr>
          <w:rFonts w:hint="eastAsia"/>
          <w:sz w:val="24"/>
          <w:szCs w:val="24"/>
        </w:rPr>
        <w:t>01.02.03.05.11.12.13.15.16.18.19.20.21.22.23</w:t>
      </w:r>
      <w:r>
        <w:rPr>
          <w:rFonts w:hint="eastAsia"/>
          <w:sz w:val="24"/>
          <w:szCs w:val="24"/>
        </w:rPr>
        <w:t>单元</w:t>
      </w:r>
    </w:p>
    <w:p w:rsidR="00783788" w:rsidRDefault="002C6E18">
      <w:pPr>
        <w:spacing w:line="360" w:lineRule="auto"/>
        <w:ind w:firstLineChars="200" w:firstLine="480"/>
        <w:rPr>
          <w:sz w:val="24"/>
          <w:szCs w:val="24"/>
        </w:rPr>
      </w:pPr>
      <w:r>
        <w:rPr>
          <w:rFonts w:hint="eastAsia"/>
          <w:sz w:val="24"/>
          <w:szCs w:val="24"/>
        </w:rPr>
        <w:t>办公地址：深圳市福田区益田路</w:t>
      </w:r>
      <w:r>
        <w:rPr>
          <w:rFonts w:hint="eastAsia"/>
          <w:sz w:val="24"/>
          <w:szCs w:val="24"/>
        </w:rPr>
        <w:t>6003</w:t>
      </w:r>
      <w:r>
        <w:rPr>
          <w:rFonts w:hint="eastAsia"/>
          <w:sz w:val="24"/>
          <w:szCs w:val="24"/>
        </w:rPr>
        <w:t>号荣超商务中心</w:t>
      </w:r>
      <w:r>
        <w:rPr>
          <w:rFonts w:hint="eastAsia"/>
          <w:sz w:val="24"/>
          <w:szCs w:val="24"/>
        </w:rPr>
        <w:t>A</w:t>
      </w:r>
      <w:r>
        <w:rPr>
          <w:rFonts w:hint="eastAsia"/>
          <w:sz w:val="24"/>
          <w:szCs w:val="24"/>
        </w:rPr>
        <w:t>栋第</w:t>
      </w:r>
      <w:r>
        <w:rPr>
          <w:rFonts w:hint="eastAsia"/>
          <w:sz w:val="24"/>
          <w:szCs w:val="24"/>
        </w:rPr>
        <w:t>04</w:t>
      </w:r>
      <w:r>
        <w:rPr>
          <w:rFonts w:hint="eastAsia"/>
          <w:sz w:val="24"/>
          <w:szCs w:val="24"/>
        </w:rPr>
        <w:t>、</w:t>
      </w:r>
      <w:r>
        <w:rPr>
          <w:rFonts w:hint="eastAsia"/>
          <w:sz w:val="24"/>
          <w:szCs w:val="24"/>
        </w:rPr>
        <w:t>18</w:t>
      </w:r>
      <w:r>
        <w:rPr>
          <w:rFonts w:hint="eastAsia"/>
          <w:sz w:val="24"/>
          <w:szCs w:val="24"/>
        </w:rPr>
        <w:t>层至</w:t>
      </w:r>
      <w:r>
        <w:rPr>
          <w:rFonts w:hint="eastAsia"/>
          <w:sz w:val="24"/>
          <w:szCs w:val="24"/>
        </w:rPr>
        <w:t>21</w:t>
      </w:r>
      <w:r>
        <w:rPr>
          <w:rFonts w:hint="eastAsia"/>
          <w:sz w:val="24"/>
          <w:szCs w:val="24"/>
        </w:rPr>
        <w:t>层</w:t>
      </w:r>
    </w:p>
    <w:p w:rsidR="00783788" w:rsidRDefault="002C6E18">
      <w:pPr>
        <w:spacing w:line="360" w:lineRule="auto"/>
        <w:ind w:firstLineChars="200" w:firstLine="480"/>
        <w:rPr>
          <w:sz w:val="24"/>
          <w:szCs w:val="24"/>
        </w:rPr>
      </w:pPr>
      <w:r>
        <w:rPr>
          <w:rFonts w:hint="eastAsia"/>
          <w:sz w:val="24"/>
          <w:szCs w:val="24"/>
        </w:rPr>
        <w:t>法定代表人：龙增来</w:t>
      </w:r>
    </w:p>
    <w:p w:rsidR="00783788" w:rsidRDefault="002C6E18">
      <w:pPr>
        <w:spacing w:line="360" w:lineRule="auto"/>
        <w:ind w:firstLineChars="200" w:firstLine="480"/>
        <w:rPr>
          <w:sz w:val="24"/>
          <w:szCs w:val="24"/>
        </w:rPr>
      </w:pPr>
      <w:r>
        <w:rPr>
          <w:rFonts w:hint="eastAsia"/>
          <w:sz w:val="24"/>
          <w:szCs w:val="24"/>
        </w:rPr>
        <w:t>电话：（</w:t>
      </w:r>
      <w:r>
        <w:rPr>
          <w:rFonts w:hint="eastAsia"/>
          <w:sz w:val="24"/>
          <w:szCs w:val="24"/>
        </w:rPr>
        <w:t>0755</w:t>
      </w:r>
      <w:r>
        <w:rPr>
          <w:rFonts w:hint="eastAsia"/>
          <w:sz w:val="24"/>
          <w:szCs w:val="24"/>
        </w:rPr>
        <w:t>）</w:t>
      </w:r>
      <w:r>
        <w:rPr>
          <w:rFonts w:hint="eastAsia"/>
          <w:sz w:val="24"/>
          <w:szCs w:val="24"/>
        </w:rPr>
        <w:t>82023442</w:t>
      </w:r>
    </w:p>
    <w:p w:rsidR="00783788" w:rsidRDefault="002C6E18">
      <w:pPr>
        <w:spacing w:line="360" w:lineRule="auto"/>
        <w:ind w:firstLineChars="200" w:firstLine="480"/>
        <w:rPr>
          <w:sz w:val="24"/>
          <w:szCs w:val="24"/>
        </w:rPr>
      </w:pPr>
      <w:r>
        <w:rPr>
          <w:rFonts w:hint="eastAsia"/>
          <w:sz w:val="24"/>
          <w:szCs w:val="24"/>
        </w:rPr>
        <w:t>传真：（</w:t>
      </w:r>
      <w:r>
        <w:rPr>
          <w:rFonts w:hint="eastAsia"/>
          <w:sz w:val="24"/>
          <w:szCs w:val="24"/>
        </w:rPr>
        <w:t>0755</w:t>
      </w:r>
      <w:r>
        <w:rPr>
          <w:rFonts w:hint="eastAsia"/>
          <w:sz w:val="24"/>
          <w:szCs w:val="24"/>
        </w:rPr>
        <w:t>）</w:t>
      </w:r>
      <w:r>
        <w:rPr>
          <w:rFonts w:hint="eastAsia"/>
          <w:sz w:val="24"/>
          <w:szCs w:val="24"/>
        </w:rPr>
        <w:t>82026539</w:t>
      </w:r>
    </w:p>
    <w:p w:rsidR="00783788" w:rsidRDefault="002C6E18">
      <w:pPr>
        <w:spacing w:line="360" w:lineRule="auto"/>
        <w:ind w:firstLineChars="200" w:firstLine="480"/>
        <w:rPr>
          <w:sz w:val="24"/>
          <w:szCs w:val="24"/>
        </w:rPr>
      </w:pPr>
      <w:r>
        <w:rPr>
          <w:rFonts w:hint="eastAsia"/>
          <w:sz w:val="24"/>
          <w:szCs w:val="24"/>
        </w:rPr>
        <w:t>联系人：刘毅</w:t>
      </w:r>
    </w:p>
    <w:p w:rsidR="00783788" w:rsidRDefault="002C6E18">
      <w:pPr>
        <w:spacing w:line="360" w:lineRule="auto"/>
        <w:ind w:firstLineChars="200" w:firstLine="480"/>
        <w:rPr>
          <w:sz w:val="24"/>
          <w:szCs w:val="24"/>
        </w:rPr>
      </w:pPr>
      <w:r>
        <w:rPr>
          <w:rFonts w:hint="eastAsia"/>
          <w:sz w:val="24"/>
          <w:szCs w:val="24"/>
        </w:rPr>
        <w:t>客户服务电话：</w:t>
      </w:r>
      <w:r>
        <w:rPr>
          <w:rFonts w:hint="eastAsia"/>
          <w:sz w:val="24"/>
          <w:szCs w:val="24"/>
        </w:rPr>
        <w:t>400-600-8008</w:t>
      </w:r>
    </w:p>
    <w:p w:rsidR="00783788" w:rsidRDefault="002C6E18">
      <w:pPr>
        <w:spacing w:line="360" w:lineRule="auto"/>
        <w:ind w:firstLineChars="200" w:firstLine="480"/>
        <w:rPr>
          <w:sz w:val="24"/>
          <w:szCs w:val="24"/>
        </w:rPr>
      </w:pPr>
      <w:r>
        <w:rPr>
          <w:rFonts w:hint="eastAsia"/>
          <w:sz w:val="24"/>
          <w:szCs w:val="24"/>
        </w:rPr>
        <w:t>网址：</w:t>
      </w:r>
      <w:r>
        <w:rPr>
          <w:rFonts w:hint="eastAsia"/>
          <w:sz w:val="24"/>
          <w:szCs w:val="24"/>
        </w:rPr>
        <w:t>www.china-invs.cn</w:t>
      </w:r>
    </w:p>
    <w:p w:rsidR="00783788" w:rsidRDefault="002C6E18">
      <w:pPr>
        <w:spacing w:line="360" w:lineRule="auto"/>
        <w:ind w:firstLineChars="200" w:firstLine="480"/>
        <w:rPr>
          <w:sz w:val="24"/>
          <w:szCs w:val="24"/>
        </w:rPr>
      </w:pPr>
      <w:r>
        <w:rPr>
          <w:rFonts w:hint="eastAsia"/>
          <w:sz w:val="24"/>
          <w:szCs w:val="24"/>
        </w:rPr>
        <w:t>（</w:t>
      </w:r>
      <w:r>
        <w:rPr>
          <w:rFonts w:hint="eastAsia"/>
          <w:sz w:val="24"/>
          <w:szCs w:val="24"/>
        </w:rPr>
        <w:t>25</w:t>
      </w:r>
      <w:r>
        <w:rPr>
          <w:rFonts w:hint="eastAsia"/>
          <w:sz w:val="24"/>
          <w:szCs w:val="24"/>
        </w:rPr>
        <w:t>）</w:t>
      </w:r>
      <w:r>
        <w:rPr>
          <w:rFonts w:hint="eastAsia"/>
          <w:sz w:val="24"/>
          <w:szCs w:val="24"/>
        </w:rPr>
        <w:t xml:space="preserve"> </w:t>
      </w:r>
      <w:r>
        <w:rPr>
          <w:rFonts w:hint="eastAsia"/>
          <w:sz w:val="24"/>
          <w:szCs w:val="24"/>
        </w:rPr>
        <w:t>华融证券股份有限公司</w:t>
      </w:r>
    </w:p>
    <w:p w:rsidR="00783788" w:rsidRDefault="002C6E18">
      <w:pPr>
        <w:spacing w:line="360" w:lineRule="auto"/>
        <w:ind w:firstLineChars="200" w:firstLine="480"/>
        <w:rPr>
          <w:sz w:val="24"/>
          <w:szCs w:val="24"/>
        </w:rPr>
      </w:pPr>
      <w:r>
        <w:rPr>
          <w:rFonts w:hint="eastAsia"/>
          <w:sz w:val="24"/>
          <w:szCs w:val="24"/>
        </w:rPr>
        <w:t>住所：北京市西城区金融大街</w:t>
      </w:r>
      <w:r>
        <w:rPr>
          <w:rFonts w:hint="eastAsia"/>
          <w:sz w:val="24"/>
          <w:szCs w:val="24"/>
        </w:rPr>
        <w:t>8</w:t>
      </w:r>
      <w:r>
        <w:rPr>
          <w:rFonts w:hint="eastAsia"/>
          <w:sz w:val="24"/>
          <w:szCs w:val="24"/>
        </w:rPr>
        <w:t>号</w:t>
      </w:r>
    </w:p>
    <w:p w:rsidR="00783788" w:rsidRDefault="002C6E18">
      <w:pPr>
        <w:spacing w:line="360" w:lineRule="auto"/>
        <w:ind w:firstLineChars="200" w:firstLine="480"/>
        <w:rPr>
          <w:sz w:val="24"/>
          <w:szCs w:val="24"/>
        </w:rPr>
      </w:pPr>
      <w:r>
        <w:rPr>
          <w:rFonts w:hint="eastAsia"/>
          <w:sz w:val="24"/>
          <w:szCs w:val="24"/>
        </w:rPr>
        <w:t>办公地址：北京市西城区金融大街</w:t>
      </w:r>
      <w:r>
        <w:rPr>
          <w:rFonts w:hint="eastAsia"/>
          <w:sz w:val="24"/>
          <w:szCs w:val="24"/>
        </w:rPr>
        <w:t>8</w:t>
      </w:r>
      <w:r>
        <w:rPr>
          <w:rFonts w:hint="eastAsia"/>
          <w:sz w:val="24"/>
          <w:szCs w:val="24"/>
        </w:rPr>
        <w:t>号</w:t>
      </w:r>
    </w:p>
    <w:p w:rsidR="00783788" w:rsidRDefault="002C6E18">
      <w:pPr>
        <w:spacing w:line="360" w:lineRule="auto"/>
        <w:ind w:firstLineChars="200" w:firstLine="480"/>
        <w:rPr>
          <w:sz w:val="24"/>
          <w:szCs w:val="24"/>
        </w:rPr>
      </w:pPr>
      <w:r>
        <w:rPr>
          <w:rFonts w:hint="eastAsia"/>
          <w:sz w:val="24"/>
          <w:szCs w:val="24"/>
        </w:rPr>
        <w:t>法定代表人：宋德清</w:t>
      </w:r>
    </w:p>
    <w:p w:rsidR="00783788" w:rsidRDefault="002C6E18">
      <w:pPr>
        <w:spacing w:line="360" w:lineRule="auto"/>
        <w:ind w:firstLineChars="200" w:firstLine="480"/>
        <w:rPr>
          <w:sz w:val="24"/>
          <w:szCs w:val="24"/>
        </w:rPr>
      </w:pPr>
      <w:r>
        <w:rPr>
          <w:rFonts w:hint="eastAsia"/>
          <w:sz w:val="24"/>
          <w:szCs w:val="24"/>
        </w:rPr>
        <w:t>电话：（</w:t>
      </w:r>
      <w:r>
        <w:rPr>
          <w:rFonts w:hint="eastAsia"/>
          <w:sz w:val="24"/>
          <w:szCs w:val="24"/>
        </w:rPr>
        <w:t>010</w:t>
      </w:r>
      <w:r>
        <w:rPr>
          <w:rFonts w:hint="eastAsia"/>
          <w:sz w:val="24"/>
          <w:szCs w:val="24"/>
        </w:rPr>
        <w:t>）</w:t>
      </w:r>
      <w:r>
        <w:rPr>
          <w:rFonts w:hint="eastAsia"/>
          <w:sz w:val="24"/>
          <w:szCs w:val="24"/>
        </w:rPr>
        <w:t>58568235</w:t>
      </w:r>
    </w:p>
    <w:p w:rsidR="00783788" w:rsidRDefault="002C6E18">
      <w:pPr>
        <w:spacing w:line="360" w:lineRule="auto"/>
        <w:ind w:firstLineChars="200" w:firstLine="480"/>
        <w:rPr>
          <w:sz w:val="24"/>
          <w:szCs w:val="24"/>
        </w:rPr>
      </w:pPr>
      <w:r>
        <w:rPr>
          <w:rFonts w:hint="eastAsia"/>
          <w:sz w:val="24"/>
          <w:szCs w:val="24"/>
        </w:rPr>
        <w:t>传真：（</w:t>
      </w:r>
      <w:r>
        <w:rPr>
          <w:rFonts w:hint="eastAsia"/>
          <w:sz w:val="24"/>
          <w:szCs w:val="24"/>
        </w:rPr>
        <w:t>010</w:t>
      </w:r>
      <w:r>
        <w:rPr>
          <w:rFonts w:hint="eastAsia"/>
          <w:sz w:val="24"/>
          <w:szCs w:val="24"/>
        </w:rPr>
        <w:t>）</w:t>
      </w:r>
      <w:r>
        <w:rPr>
          <w:rFonts w:hint="eastAsia"/>
          <w:sz w:val="24"/>
          <w:szCs w:val="24"/>
        </w:rPr>
        <w:t>58568062</w:t>
      </w:r>
    </w:p>
    <w:p w:rsidR="00783788" w:rsidRDefault="002C6E18">
      <w:pPr>
        <w:spacing w:line="360" w:lineRule="auto"/>
        <w:ind w:firstLineChars="200" w:firstLine="480"/>
        <w:rPr>
          <w:sz w:val="24"/>
          <w:szCs w:val="24"/>
        </w:rPr>
      </w:pPr>
      <w:r>
        <w:rPr>
          <w:rFonts w:hint="eastAsia"/>
          <w:sz w:val="24"/>
          <w:szCs w:val="24"/>
        </w:rPr>
        <w:t>联系人：黄恒</w:t>
      </w:r>
    </w:p>
    <w:p w:rsidR="00783788" w:rsidRDefault="002C6E18">
      <w:pPr>
        <w:spacing w:line="360" w:lineRule="auto"/>
        <w:ind w:firstLineChars="200" w:firstLine="480"/>
        <w:rPr>
          <w:sz w:val="24"/>
          <w:szCs w:val="24"/>
        </w:rPr>
      </w:pPr>
      <w:r>
        <w:rPr>
          <w:rFonts w:hint="eastAsia"/>
          <w:sz w:val="24"/>
          <w:szCs w:val="24"/>
        </w:rPr>
        <w:t>客户服务电话：（</w:t>
      </w:r>
      <w:r>
        <w:rPr>
          <w:rFonts w:hint="eastAsia"/>
          <w:sz w:val="24"/>
          <w:szCs w:val="24"/>
        </w:rPr>
        <w:t>010</w:t>
      </w:r>
      <w:r>
        <w:rPr>
          <w:rFonts w:hint="eastAsia"/>
          <w:sz w:val="24"/>
          <w:szCs w:val="24"/>
        </w:rPr>
        <w:t>）</w:t>
      </w:r>
      <w:r>
        <w:rPr>
          <w:rFonts w:hint="eastAsia"/>
          <w:sz w:val="24"/>
          <w:szCs w:val="24"/>
        </w:rPr>
        <w:t>58568118</w:t>
      </w:r>
    </w:p>
    <w:p w:rsidR="00783788" w:rsidRDefault="002C6E18">
      <w:pPr>
        <w:spacing w:line="360" w:lineRule="auto"/>
        <w:ind w:firstLineChars="200" w:firstLine="480"/>
        <w:rPr>
          <w:sz w:val="24"/>
          <w:szCs w:val="24"/>
        </w:rPr>
      </w:pPr>
      <w:r>
        <w:rPr>
          <w:rFonts w:hint="eastAsia"/>
          <w:sz w:val="24"/>
          <w:szCs w:val="24"/>
        </w:rPr>
        <w:t>网址：</w:t>
      </w:r>
      <w:r>
        <w:rPr>
          <w:rFonts w:hint="eastAsia"/>
          <w:sz w:val="24"/>
          <w:szCs w:val="24"/>
        </w:rPr>
        <w:t>www.hrsec.com.cn</w:t>
      </w:r>
    </w:p>
    <w:p w:rsidR="00783788" w:rsidRDefault="002C6E18">
      <w:pPr>
        <w:spacing w:line="360" w:lineRule="auto"/>
        <w:ind w:firstLineChars="200" w:firstLine="480"/>
        <w:rPr>
          <w:sz w:val="24"/>
          <w:szCs w:val="24"/>
        </w:rPr>
      </w:pPr>
      <w:r>
        <w:rPr>
          <w:rFonts w:hint="eastAsia"/>
          <w:sz w:val="24"/>
          <w:szCs w:val="24"/>
        </w:rPr>
        <w:t>（</w:t>
      </w:r>
      <w:r>
        <w:rPr>
          <w:rFonts w:hint="eastAsia"/>
          <w:sz w:val="24"/>
          <w:szCs w:val="24"/>
        </w:rPr>
        <w:t>26</w:t>
      </w:r>
      <w:r>
        <w:rPr>
          <w:rFonts w:hint="eastAsia"/>
          <w:sz w:val="24"/>
          <w:szCs w:val="24"/>
        </w:rPr>
        <w:t>）</w:t>
      </w:r>
      <w:r>
        <w:rPr>
          <w:rFonts w:hint="eastAsia"/>
          <w:sz w:val="24"/>
          <w:szCs w:val="24"/>
        </w:rPr>
        <w:t xml:space="preserve"> </w:t>
      </w:r>
      <w:r>
        <w:rPr>
          <w:rFonts w:hint="eastAsia"/>
          <w:sz w:val="24"/>
          <w:szCs w:val="24"/>
        </w:rPr>
        <w:t>天相投资顾问有限公司</w:t>
      </w:r>
    </w:p>
    <w:p w:rsidR="00783788" w:rsidRDefault="002C6E18">
      <w:pPr>
        <w:spacing w:line="360" w:lineRule="auto"/>
        <w:ind w:firstLineChars="200" w:firstLine="480"/>
        <w:rPr>
          <w:sz w:val="24"/>
          <w:szCs w:val="24"/>
        </w:rPr>
      </w:pPr>
      <w:r>
        <w:rPr>
          <w:rFonts w:hint="eastAsia"/>
          <w:sz w:val="24"/>
          <w:szCs w:val="24"/>
        </w:rPr>
        <w:t>住所：北京市西城区金融街</w:t>
      </w:r>
      <w:r>
        <w:rPr>
          <w:rFonts w:hint="eastAsia"/>
          <w:sz w:val="24"/>
          <w:szCs w:val="24"/>
        </w:rPr>
        <w:t>19</w:t>
      </w:r>
      <w:r>
        <w:rPr>
          <w:rFonts w:hint="eastAsia"/>
          <w:sz w:val="24"/>
          <w:szCs w:val="24"/>
        </w:rPr>
        <w:t>号富凯大厦</w:t>
      </w:r>
      <w:r>
        <w:rPr>
          <w:rFonts w:hint="eastAsia"/>
          <w:sz w:val="24"/>
          <w:szCs w:val="24"/>
        </w:rPr>
        <w:t>B</w:t>
      </w:r>
      <w:r>
        <w:rPr>
          <w:rFonts w:hint="eastAsia"/>
          <w:sz w:val="24"/>
          <w:szCs w:val="24"/>
        </w:rPr>
        <w:t>座</w:t>
      </w:r>
      <w:r>
        <w:rPr>
          <w:rFonts w:hint="eastAsia"/>
          <w:sz w:val="24"/>
          <w:szCs w:val="24"/>
        </w:rPr>
        <w:t>701</w:t>
      </w:r>
    </w:p>
    <w:p w:rsidR="00783788" w:rsidRDefault="002C6E18">
      <w:pPr>
        <w:spacing w:line="360" w:lineRule="auto"/>
        <w:ind w:firstLineChars="200" w:firstLine="480"/>
        <w:rPr>
          <w:sz w:val="24"/>
          <w:szCs w:val="24"/>
        </w:rPr>
      </w:pPr>
      <w:r>
        <w:rPr>
          <w:rFonts w:hint="eastAsia"/>
          <w:sz w:val="24"/>
          <w:szCs w:val="24"/>
        </w:rPr>
        <w:t>办公地址：北京市西城区新街口外大街</w:t>
      </w:r>
      <w:r>
        <w:rPr>
          <w:rFonts w:hint="eastAsia"/>
          <w:sz w:val="24"/>
          <w:szCs w:val="24"/>
        </w:rPr>
        <w:t>28</w:t>
      </w:r>
      <w:r>
        <w:rPr>
          <w:rFonts w:hint="eastAsia"/>
          <w:sz w:val="24"/>
          <w:szCs w:val="24"/>
        </w:rPr>
        <w:t>号</w:t>
      </w:r>
      <w:r>
        <w:rPr>
          <w:rFonts w:hint="eastAsia"/>
          <w:sz w:val="24"/>
          <w:szCs w:val="24"/>
        </w:rPr>
        <w:t>C</w:t>
      </w:r>
      <w:r>
        <w:rPr>
          <w:rFonts w:hint="eastAsia"/>
          <w:sz w:val="24"/>
          <w:szCs w:val="24"/>
        </w:rPr>
        <w:t>座</w:t>
      </w:r>
      <w:r>
        <w:rPr>
          <w:rFonts w:hint="eastAsia"/>
          <w:sz w:val="24"/>
          <w:szCs w:val="24"/>
        </w:rPr>
        <w:t>5</w:t>
      </w:r>
      <w:r>
        <w:rPr>
          <w:rFonts w:hint="eastAsia"/>
          <w:sz w:val="24"/>
          <w:szCs w:val="24"/>
        </w:rPr>
        <w:t>层</w:t>
      </w:r>
    </w:p>
    <w:p w:rsidR="00783788" w:rsidRDefault="002C6E18">
      <w:pPr>
        <w:spacing w:line="360" w:lineRule="auto"/>
        <w:ind w:firstLineChars="200" w:firstLine="480"/>
        <w:rPr>
          <w:sz w:val="24"/>
          <w:szCs w:val="24"/>
        </w:rPr>
      </w:pPr>
      <w:r>
        <w:rPr>
          <w:rFonts w:hint="eastAsia"/>
          <w:sz w:val="24"/>
          <w:szCs w:val="24"/>
        </w:rPr>
        <w:t>法定代表人：林义相</w:t>
      </w:r>
    </w:p>
    <w:p w:rsidR="00783788" w:rsidRDefault="002C6E18">
      <w:pPr>
        <w:spacing w:line="360" w:lineRule="auto"/>
        <w:ind w:firstLineChars="200" w:firstLine="480"/>
        <w:rPr>
          <w:sz w:val="24"/>
          <w:szCs w:val="24"/>
        </w:rPr>
      </w:pPr>
      <w:r>
        <w:rPr>
          <w:rFonts w:hint="eastAsia"/>
          <w:sz w:val="24"/>
          <w:szCs w:val="24"/>
        </w:rPr>
        <w:t>电话：（</w:t>
      </w:r>
      <w:r>
        <w:rPr>
          <w:rFonts w:hint="eastAsia"/>
          <w:sz w:val="24"/>
          <w:szCs w:val="24"/>
        </w:rPr>
        <w:t>010</w:t>
      </w:r>
      <w:r>
        <w:rPr>
          <w:rFonts w:hint="eastAsia"/>
          <w:sz w:val="24"/>
          <w:szCs w:val="24"/>
        </w:rPr>
        <w:t>）</w:t>
      </w:r>
      <w:r>
        <w:rPr>
          <w:rFonts w:hint="eastAsia"/>
          <w:sz w:val="24"/>
          <w:szCs w:val="24"/>
        </w:rPr>
        <w:t>66045529</w:t>
      </w:r>
    </w:p>
    <w:p w:rsidR="00783788" w:rsidRDefault="002C6E18">
      <w:pPr>
        <w:spacing w:line="360" w:lineRule="auto"/>
        <w:ind w:firstLineChars="200" w:firstLine="480"/>
        <w:rPr>
          <w:sz w:val="24"/>
          <w:szCs w:val="24"/>
        </w:rPr>
      </w:pPr>
      <w:r>
        <w:rPr>
          <w:rFonts w:hint="eastAsia"/>
          <w:sz w:val="24"/>
          <w:szCs w:val="24"/>
        </w:rPr>
        <w:t>传真：（</w:t>
      </w:r>
      <w:r>
        <w:rPr>
          <w:rFonts w:hint="eastAsia"/>
          <w:sz w:val="24"/>
          <w:szCs w:val="24"/>
        </w:rPr>
        <w:t>010</w:t>
      </w:r>
      <w:r>
        <w:rPr>
          <w:rFonts w:hint="eastAsia"/>
          <w:sz w:val="24"/>
          <w:szCs w:val="24"/>
        </w:rPr>
        <w:t>）</w:t>
      </w:r>
      <w:r>
        <w:rPr>
          <w:rFonts w:hint="eastAsia"/>
          <w:sz w:val="24"/>
          <w:szCs w:val="24"/>
        </w:rPr>
        <w:t>66045518</w:t>
      </w:r>
    </w:p>
    <w:p w:rsidR="00783788" w:rsidRDefault="002C6E18">
      <w:pPr>
        <w:spacing w:line="360" w:lineRule="auto"/>
        <w:ind w:firstLineChars="200" w:firstLine="480"/>
        <w:rPr>
          <w:sz w:val="24"/>
          <w:szCs w:val="24"/>
        </w:rPr>
      </w:pPr>
      <w:r>
        <w:rPr>
          <w:rFonts w:hint="eastAsia"/>
          <w:sz w:val="24"/>
          <w:szCs w:val="24"/>
        </w:rPr>
        <w:t>联系人：尹伶</w:t>
      </w:r>
    </w:p>
    <w:p w:rsidR="00783788" w:rsidRDefault="002C6E18">
      <w:pPr>
        <w:spacing w:line="360" w:lineRule="auto"/>
        <w:ind w:firstLineChars="200" w:firstLine="480"/>
        <w:rPr>
          <w:sz w:val="24"/>
          <w:szCs w:val="24"/>
        </w:rPr>
      </w:pPr>
      <w:r>
        <w:rPr>
          <w:rFonts w:hint="eastAsia"/>
          <w:sz w:val="24"/>
          <w:szCs w:val="24"/>
        </w:rPr>
        <w:t>客户服务电话：（</w:t>
      </w:r>
      <w:r>
        <w:rPr>
          <w:rFonts w:hint="eastAsia"/>
          <w:sz w:val="24"/>
          <w:szCs w:val="24"/>
        </w:rPr>
        <w:t>010</w:t>
      </w:r>
      <w:r>
        <w:rPr>
          <w:rFonts w:hint="eastAsia"/>
          <w:sz w:val="24"/>
          <w:szCs w:val="24"/>
        </w:rPr>
        <w:t>）</w:t>
      </w:r>
      <w:r>
        <w:rPr>
          <w:rFonts w:hint="eastAsia"/>
          <w:sz w:val="24"/>
          <w:szCs w:val="24"/>
        </w:rPr>
        <w:t>66045678</w:t>
      </w:r>
    </w:p>
    <w:p w:rsidR="00783788" w:rsidRDefault="002C6E18">
      <w:pPr>
        <w:spacing w:line="360" w:lineRule="auto"/>
        <w:ind w:firstLineChars="200" w:firstLine="480"/>
        <w:rPr>
          <w:sz w:val="24"/>
          <w:szCs w:val="24"/>
        </w:rPr>
      </w:pPr>
      <w:r>
        <w:rPr>
          <w:rFonts w:hint="eastAsia"/>
          <w:sz w:val="24"/>
          <w:szCs w:val="24"/>
        </w:rPr>
        <w:t>网址：</w:t>
      </w:r>
      <w:r>
        <w:rPr>
          <w:rFonts w:hint="eastAsia"/>
          <w:sz w:val="24"/>
          <w:szCs w:val="24"/>
        </w:rPr>
        <w:t>http://www.txsec.com</w:t>
      </w:r>
      <w:r>
        <w:rPr>
          <w:rFonts w:hint="eastAsia"/>
          <w:sz w:val="24"/>
          <w:szCs w:val="24"/>
        </w:rPr>
        <w:t>，</w:t>
      </w:r>
      <w:r>
        <w:rPr>
          <w:rFonts w:hint="eastAsia"/>
          <w:sz w:val="24"/>
          <w:szCs w:val="24"/>
        </w:rPr>
        <w:t>www.jjm.com.cn</w:t>
      </w:r>
    </w:p>
    <w:p w:rsidR="00783788" w:rsidRDefault="002C6E18">
      <w:pPr>
        <w:spacing w:line="360" w:lineRule="auto"/>
        <w:ind w:firstLineChars="200" w:firstLine="480"/>
        <w:rPr>
          <w:sz w:val="24"/>
          <w:szCs w:val="24"/>
        </w:rPr>
      </w:pPr>
      <w:r>
        <w:rPr>
          <w:rFonts w:hint="eastAsia"/>
          <w:sz w:val="24"/>
          <w:szCs w:val="24"/>
        </w:rPr>
        <w:t>（</w:t>
      </w:r>
      <w:r>
        <w:rPr>
          <w:rFonts w:hint="eastAsia"/>
          <w:sz w:val="24"/>
          <w:szCs w:val="24"/>
        </w:rPr>
        <w:t>27</w:t>
      </w:r>
      <w:r>
        <w:rPr>
          <w:rFonts w:hint="eastAsia"/>
          <w:sz w:val="24"/>
          <w:szCs w:val="24"/>
        </w:rPr>
        <w:t>）联讯证券股份有限公司</w:t>
      </w:r>
    </w:p>
    <w:p w:rsidR="00783788" w:rsidRDefault="002C6E18">
      <w:pPr>
        <w:spacing w:line="360" w:lineRule="auto"/>
        <w:ind w:firstLineChars="200" w:firstLine="480"/>
        <w:rPr>
          <w:sz w:val="24"/>
          <w:szCs w:val="24"/>
        </w:rPr>
      </w:pPr>
      <w:r>
        <w:rPr>
          <w:rFonts w:hint="eastAsia"/>
          <w:sz w:val="24"/>
          <w:szCs w:val="24"/>
        </w:rPr>
        <w:t>住所：</w:t>
      </w:r>
      <w:r>
        <w:rPr>
          <w:rFonts w:hint="eastAsia"/>
          <w:sz w:val="24"/>
          <w:szCs w:val="24"/>
        </w:rPr>
        <w:t xml:space="preserve"> </w:t>
      </w:r>
      <w:r>
        <w:rPr>
          <w:rFonts w:hint="eastAsia"/>
          <w:sz w:val="24"/>
          <w:szCs w:val="24"/>
        </w:rPr>
        <w:t>惠州市江北东江三路</w:t>
      </w:r>
      <w:r>
        <w:rPr>
          <w:rFonts w:hint="eastAsia"/>
          <w:sz w:val="24"/>
          <w:szCs w:val="24"/>
        </w:rPr>
        <w:t>55</w:t>
      </w:r>
      <w:r>
        <w:rPr>
          <w:rFonts w:hint="eastAsia"/>
          <w:sz w:val="24"/>
          <w:szCs w:val="24"/>
        </w:rPr>
        <w:t>号广播电视新闻中心西面一层大堂和三、四层</w:t>
      </w:r>
    </w:p>
    <w:p w:rsidR="00783788" w:rsidRDefault="002C6E18">
      <w:pPr>
        <w:spacing w:line="360" w:lineRule="auto"/>
        <w:ind w:firstLineChars="200" w:firstLine="480"/>
        <w:rPr>
          <w:sz w:val="24"/>
          <w:szCs w:val="24"/>
        </w:rPr>
      </w:pPr>
      <w:r>
        <w:rPr>
          <w:rFonts w:hint="eastAsia"/>
          <w:sz w:val="24"/>
          <w:szCs w:val="24"/>
        </w:rPr>
        <w:t>办公地址：惠州市江北东江三路</w:t>
      </w:r>
      <w:r>
        <w:rPr>
          <w:rFonts w:hint="eastAsia"/>
          <w:sz w:val="24"/>
          <w:szCs w:val="24"/>
        </w:rPr>
        <w:t>55</w:t>
      </w:r>
      <w:r>
        <w:rPr>
          <w:rFonts w:hint="eastAsia"/>
          <w:sz w:val="24"/>
          <w:szCs w:val="24"/>
        </w:rPr>
        <w:t>号广播电视新闻中心西面一层大堂和三、四层</w:t>
      </w:r>
    </w:p>
    <w:p w:rsidR="00783788" w:rsidRDefault="002C6E18">
      <w:pPr>
        <w:spacing w:line="360" w:lineRule="auto"/>
        <w:ind w:firstLineChars="200" w:firstLine="480"/>
        <w:rPr>
          <w:sz w:val="24"/>
          <w:szCs w:val="24"/>
        </w:rPr>
      </w:pPr>
      <w:r>
        <w:rPr>
          <w:rFonts w:hint="eastAsia"/>
          <w:sz w:val="24"/>
          <w:szCs w:val="24"/>
        </w:rPr>
        <w:t>法定代表人：徐刚</w:t>
      </w:r>
    </w:p>
    <w:p w:rsidR="00783788" w:rsidRDefault="002C6E18">
      <w:pPr>
        <w:spacing w:line="360" w:lineRule="auto"/>
        <w:ind w:firstLineChars="200" w:firstLine="480"/>
        <w:rPr>
          <w:sz w:val="24"/>
          <w:szCs w:val="24"/>
        </w:rPr>
      </w:pPr>
      <w:r>
        <w:rPr>
          <w:rFonts w:hint="eastAsia"/>
          <w:sz w:val="24"/>
          <w:szCs w:val="24"/>
        </w:rPr>
        <w:t>电话：（</w:t>
      </w:r>
      <w:r>
        <w:rPr>
          <w:rFonts w:hint="eastAsia"/>
          <w:sz w:val="24"/>
          <w:szCs w:val="24"/>
        </w:rPr>
        <w:t>021</w:t>
      </w:r>
      <w:r>
        <w:rPr>
          <w:rFonts w:hint="eastAsia"/>
          <w:sz w:val="24"/>
          <w:szCs w:val="24"/>
        </w:rPr>
        <w:t>）</w:t>
      </w:r>
      <w:r>
        <w:rPr>
          <w:rFonts w:hint="eastAsia"/>
          <w:sz w:val="24"/>
          <w:szCs w:val="24"/>
        </w:rPr>
        <w:t xml:space="preserve">33606736 </w:t>
      </w:r>
    </w:p>
    <w:p w:rsidR="00783788" w:rsidRDefault="002C6E18">
      <w:pPr>
        <w:spacing w:line="360" w:lineRule="auto"/>
        <w:ind w:firstLineChars="200" w:firstLine="480"/>
        <w:rPr>
          <w:sz w:val="24"/>
          <w:szCs w:val="24"/>
        </w:rPr>
      </w:pPr>
      <w:r>
        <w:rPr>
          <w:rFonts w:hint="eastAsia"/>
          <w:sz w:val="24"/>
          <w:szCs w:val="24"/>
        </w:rPr>
        <w:t>传真：（</w:t>
      </w:r>
      <w:r>
        <w:rPr>
          <w:rFonts w:hint="eastAsia"/>
          <w:sz w:val="24"/>
          <w:szCs w:val="24"/>
        </w:rPr>
        <w:t>021</w:t>
      </w:r>
      <w:r>
        <w:rPr>
          <w:rFonts w:hint="eastAsia"/>
          <w:sz w:val="24"/>
          <w:szCs w:val="24"/>
        </w:rPr>
        <w:t>）</w:t>
      </w:r>
      <w:r>
        <w:rPr>
          <w:rFonts w:hint="eastAsia"/>
          <w:sz w:val="24"/>
          <w:szCs w:val="24"/>
        </w:rPr>
        <w:t xml:space="preserve">33606760 </w:t>
      </w:r>
    </w:p>
    <w:p w:rsidR="00783788" w:rsidRDefault="002C6E18">
      <w:pPr>
        <w:spacing w:line="360" w:lineRule="auto"/>
        <w:ind w:firstLineChars="200" w:firstLine="480"/>
        <w:rPr>
          <w:sz w:val="24"/>
          <w:szCs w:val="24"/>
        </w:rPr>
      </w:pPr>
      <w:r>
        <w:rPr>
          <w:rFonts w:hint="eastAsia"/>
          <w:sz w:val="24"/>
          <w:szCs w:val="24"/>
        </w:rPr>
        <w:t>联系人：陈思</w:t>
      </w:r>
      <w:r>
        <w:rPr>
          <w:rFonts w:hint="eastAsia"/>
          <w:sz w:val="24"/>
          <w:szCs w:val="24"/>
        </w:rPr>
        <w:t xml:space="preserve"> </w:t>
      </w:r>
    </w:p>
    <w:p w:rsidR="00783788" w:rsidRDefault="002C6E18">
      <w:pPr>
        <w:spacing w:line="360" w:lineRule="auto"/>
        <w:ind w:firstLineChars="200" w:firstLine="480"/>
        <w:rPr>
          <w:sz w:val="24"/>
          <w:szCs w:val="24"/>
        </w:rPr>
      </w:pPr>
      <w:r>
        <w:rPr>
          <w:rFonts w:hint="eastAsia"/>
          <w:sz w:val="24"/>
          <w:szCs w:val="24"/>
        </w:rPr>
        <w:t>客户服务电话：</w:t>
      </w:r>
      <w:r>
        <w:rPr>
          <w:rFonts w:hint="eastAsia"/>
          <w:sz w:val="24"/>
          <w:szCs w:val="24"/>
        </w:rPr>
        <w:t>95564</w:t>
      </w:r>
    </w:p>
    <w:p w:rsidR="00783788" w:rsidRDefault="002C6E18">
      <w:pPr>
        <w:spacing w:line="360" w:lineRule="auto"/>
        <w:ind w:firstLineChars="200" w:firstLine="480"/>
        <w:rPr>
          <w:sz w:val="24"/>
          <w:szCs w:val="24"/>
        </w:rPr>
      </w:pPr>
      <w:r>
        <w:rPr>
          <w:rFonts w:hint="eastAsia"/>
          <w:sz w:val="24"/>
          <w:szCs w:val="24"/>
        </w:rPr>
        <w:t>网址：</w:t>
      </w:r>
      <w:r>
        <w:rPr>
          <w:rFonts w:hint="eastAsia"/>
          <w:sz w:val="24"/>
          <w:szCs w:val="24"/>
        </w:rPr>
        <w:t>www.lxzq.com.cn</w:t>
      </w:r>
    </w:p>
    <w:p w:rsidR="00783788" w:rsidRDefault="002C6E18">
      <w:pPr>
        <w:spacing w:line="360" w:lineRule="auto"/>
        <w:ind w:firstLineChars="200" w:firstLine="480"/>
        <w:rPr>
          <w:sz w:val="24"/>
          <w:szCs w:val="24"/>
        </w:rPr>
      </w:pPr>
      <w:r>
        <w:rPr>
          <w:rFonts w:hint="eastAsia"/>
          <w:sz w:val="24"/>
          <w:szCs w:val="24"/>
        </w:rPr>
        <w:t>（</w:t>
      </w:r>
      <w:r>
        <w:rPr>
          <w:rFonts w:hint="eastAsia"/>
          <w:sz w:val="24"/>
          <w:szCs w:val="24"/>
        </w:rPr>
        <w:t>28</w:t>
      </w:r>
      <w:r>
        <w:rPr>
          <w:rFonts w:hint="eastAsia"/>
          <w:sz w:val="24"/>
          <w:szCs w:val="24"/>
        </w:rPr>
        <w:t>）</w:t>
      </w:r>
      <w:r>
        <w:rPr>
          <w:rFonts w:hint="eastAsia"/>
          <w:sz w:val="24"/>
          <w:szCs w:val="24"/>
        </w:rPr>
        <w:t xml:space="preserve"> </w:t>
      </w:r>
      <w:r>
        <w:rPr>
          <w:rFonts w:hint="eastAsia"/>
          <w:sz w:val="24"/>
          <w:szCs w:val="24"/>
        </w:rPr>
        <w:t>杭州数米基金销售有限公司</w:t>
      </w:r>
    </w:p>
    <w:p w:rsidR="00783788" w:rsidRDefault="002C6E18">
      <w:pPr>
        <w:spacing w:line="360" w:lineRule="auto"/>
        <w:ind w:firstLineChars="200" w:firstLine="480"/>
        <w:rPr>
          <w:sz w:val="24"/>
          <w:szCs w:val="24"/>
        </w:rPr>
      </w:pPr>
      <w:r>
        <w:rPr>
          <w:rFonts w:hint="eastAsia"/>
          <w:sz w:val="24"/>
          <w:szCs w:val="24"/>
        </w:rPr>
        <w:t>住所：杭州市余杭区仓前街道海曙路东</w:t>
      </w:r>
      <w:r>
        <w:rPr>
          <w:rFonts w:hint="eastAsia"/>
          <w:sz w:val="24"/>
          <w:szCs w:val="24"/>
        </w:rPr>
        <w:t>2</w:t>
      </w:r>
      <w:r>
        <w:rPr>
          <w:rFonts w:hint="eastAsia"/>
          <w:sz w:val="24"/>
          <w:szCs w:val="24"/>
        </w:rPr>
        <w:t>号</w:t>
      </w:r>
    </w:p>
    <w:p w:rsidR="00783788" w:rsidRDefault="002C6E18">
      <w:pPr>
        <w:spacing w:line="360" w:lineRule="auto"/>
        <w:ind w:firstLineChars="200" w:firstLine="480"/>
        <w:rPr>
          <w:sz w:val="24"/>
          <w:szCs w:val="24"/>
        </w:rPr>
      </w:pPr>
      <w:r>
        <w:rPr>
          <w:rFonts w:hint="eastAsia"/>
          <w:sz w:val="24"/>
          <w:szCs w:val="24"/>
        </w:rPr>
        <w:t>办公地址：浙江省杭州市滨江区江南大道</w:t>
      </w:r>
      <w:r>
        <w:rPr>
          <w:rFonts w:hint="eastAsia"/>
          <w:sz w:val="24"/>
          <w:szCs w:val="24"/>
        </w:rPr>
        <w:t>3588</w:t>
      </w:r>
      <w:r>
        <w:rPr>
          <w:rFonts w:hint="eastAsia"/>
          <w:sz w:val="24"/>
          <w:szCs w:val="24"/>
        </w:rPr>
        <w:t>号恒生大厦</w:t>
      </w:r>
      <w:r>
        <w:rPr>
          <w:rFonts w:hint="eastAsia"/>
          <w:sz w:val="24"/>
          <w:szCs w:val="24"/>
        </w:rPr>
        <w:t>12</w:t>
      </w:r>
      <w:r>
        <w:rPr>
          <w:rFonts w:hint="eastAsia"/>
          <w:sz w:val="24"/>
          <w:szCs w:val="24"/>
        </w:rPr>
        <w:t>楼</w:t>
      </w:r>
    </w:p>
    <w:p w:rsidR="00783788" w:rsidRDefault="002C6E18">
      <w:pPr>
        <w:spacing w:line="360" w:lineRule="auto"/>
        <w:ind w:firstLineChars="200" w:firstLine="480"/>
        <w:rPr>
          <w:sz w:val="24"/>
          <w:szCs w:val="24"/>
        </w:rPr>
      </w:pPr>
      <w:r>
        <w:rPr>
          <w:rFonts w:hint="eastAsia"/>
          <w:sz w:val="24"/>
          <w:szCs w:val="24"/>
        </w:rPr>
        <w:t>法定代表人：陈柏青</w:t>
      </w:r>
    </w:p>
    <w:p w:rsidR="00783788" w:rsidRDefault="002C6E18">
      <w:pPr>
        <w:spacing w:line="360" w:lineRule="auto"/>
        <w:ind w:firstLineChars="200" w:firstLine="480"/>
        <w:rPr>
          <w:sz w:val="24"/>
          <w:szCs w:val="24"/>
        </w:rPr>
      </w:pPr>
      <w:r>
        <w:rPr>
          <w:rFonts w:hint="eastAsia"/>
          <w:sz w:val="24"/>
          <w:szCs w:val="24"/>
        </w:rPr>
        <w:t>电话：（</w:t>
      </w:r>
      <w:r>
        <w:rPr>
          <w:rFonts w:hint="eastAsia"/>
          <w:sz w:val="24"/>
          <w:szCs w:val="24"/>
        </w:rPr>
        <w:t>0571</w:t>
      </w:r>
      <w:r>
        <w:rPr>
          <w:rFonts w:hint="eastAsia"/>
          <w:sz w:val="24"/>
          <w:szCs w:val="24"/>
        </w:rPr>
        <w:t>）</w:t>
      </w:r>
      <w:r>
        <w:rPr>
          <w:rFonts w:hint="eastAsia"/>
          <w:sz w:val="24"/>
          <w:szCs w:val="24"/>
        </w:rPr>
        <w:t>28829790</w:t>
      </w:r>
      <w:r>
        <w:rPr>
          <w:rFonts w:hint="eastAsia"/>
          <w:sz w:val="24"/>
          <w:szCs w:val="24"/>
        </w:rPr>
        <w:t>，（</w:t>
      </w:r>
      <w:r>
        <w:rPr>
          <w:rFonts w:hint="eastAsia"/>
          <w:sz w:val="24"/>
          <w:szCs w:val="24"/>
        </w:rPr>
        <w:t>021</w:t>
      </w:r>
      <w:r>
        <w:rPr>
          <w:rFonts w:hint="eastAsia"/>
          <w:sz w:val="24"/>
          <w:szCs w:val="24"/>
        </w:rPr>
        <w:t>）</w:t>
      </w:r>
      <w:r>
        <w:rPr>
          <w:rFonts w:hint="eastAsia"/>
          <w:sz w:val="24"/>
          <w:szCs w:val="24"/>
        </w:rPr>
        <w:t>60897869</w:t>
      </w:r>
    </w:p>
    <w:p w:rsidR="00783788" w:rsidRDefault="002C6E18">
      <w:pPr>
        <w:spacing w:line="360" w:lineRule="auto"/>
        <w:ind w:firstLineChars="200" w:firstLine="480"/>
        <w:rPr>
          <w:sz w:val="24"/>
          <w:szCs w:val="24"/>
        </w:rPr>
      </w:pPr>
      <w:r>
        <w:rPr>
          <w:rFonts w:hint="eastAsia"/>
          <w:sz w:val="24"/>
          <w:szCs w:val="24"/>
        </w:rPr>
        <w:t>传真：（</w:t>
      </w:r>
      <w:r>
        <w:rPr>
          <w:rFonts w:hint="eastAsia"/>
          <w:sz w:val="24"/>
          <w:szCs w:val="24"/>
        </w:rPr>
        <w:t>0571</w:t>
      </w:r>
      <w:r>
        <w:rPr>
          <w:rFonts w:hint="eastAsia"/>
          <w:sz w:val="24"/>
          <w:szCs w:val="24"/>
        </w:rPr>
        <w:t>）</w:t>
      </w:r>
      <w:r>
        <w:rPr>
          <w:rFonts w:hint="eastAsia"/>
          <w:sz w:val="24"/>
          <w:szCs w:val="24"/>
        </w:rPr>
        <w:t>26698533</w:t>
      </w:r>
    </w:p>
    <w:p w:rsidR="00783788" w:rsidRDefault="002C6E18">
      <w:pPr>
        <w:spacing w:line="360" w:lineRule="auto"/>
        <w:ind w:firstLineChars="200" w:firstLine="480"/>
        <w:rPr>
          <w:sz w:val="24"/>
          <w:szCs w:val="24"/>
        </w:rPr>
      </w:pPr>
      <w:r>
        <w:rPr>
          <w:rFonts w:hint="eastAsia"/>
          <w:sz w:val="24"/>
          <w:szCs w:val="24"/>
        </w:rPr>
        <w:t>联系人：周嬿旻</w:t>
      </w:r>
    </w:p>
    <w:p w:rsidR="00783788" w:rsidRDefault="002C6E18">
      <w:pPr>
        <w:spacing w:line="360" w:lineRule="auto"/>
        <w:ind w:firstLineChars="200" w:firstLine="480"/>
        <w:rPr>
          <w:sz w:val="24"/>
          <w:szCs w:val="24"/>
        </w:rPr>
      </w:pPr>
      <w:r>
        <w:rPr>
          <w:rFonts w:hint="eastAsia"/>
          <w:sz w:val="24"/>
          <w:szCs w:val="24"/>
        </w:rPr>
        <w:t>客户服务电话：</w:t>
      </w:r>
      <w:r>
        <w:rPr>
          <w:rFonts w:hint="eastAsia"/>
          <w:sz w:val="24"/>
          <w:szCs w:val="24"/>
        </w:rPr>
        <w:t>4000-766-123</w:t>
      </w:r>
    </w:p>
    <w:p w:rsidR="00783788" w:rsidRDefault="002C6E18">
      <w:pPr>
        <w:spacing w:line="360" w:lineRule="auto"/>
        <w:ind w:firstLineChars="200" w:firstLine="480"/>
        <w:rPr>
          <w:sz w:val="24"/>
          <w:szCs w:val="24"/>
        </w:rPr>
      </w:pPr>
      <w:r>
        <w:rPr>
          <w:rFonts w:hint="eastAsia"/>
          <w:sz w:val="24"/>
          <w:szCs w:val="24"/>
        </w:rPr>
        <w:t>网址：</w:t>
      </w:r>
      <w:r>
        <w:rPr>
          <w:rFonts w:hint="eastAsia"/>
          <w:sz w:val="24"/>
          <w:szCs w:val="24"/>
        </w:rPr>
        <w:t>www.fund123.cn</w:t>
      </w:r>
    </w:p>
    <w:p w:rsidR="00783788" w:rsidRDefault="002C6E18">
      <w:pPr>
        <w:spacing w:line="360" w:lineRule="auto"/>
        <w:ind w:firstLineChars="200" w:firstLine="480"/>
        <w:rPr>
          <w:sz w:val="24"/>
          <w:szCs w:val="24"/>
        </w:rPr>
      </w:pPr>
      <w:r>
        <w:rPr>
          <w:rFonts w:hint="eastAsia"/>
          <w:sz w:val="24"/>
          <w:szCs w:val="24"/>
        </w:rPr>
        <w:t>（</w:t>
      </w:r>
      <w:r>
        <w:rPr>
          <w:rFonts w:hint="eastAsia"/>
          <w:sz w:val="24"/>
          <w:szCs w:val="24"/>
        </w:rPr>
        <w:t>29</w:t>
      </w:r>
      <w:r>
        <w:rPr>
          <w:rFonts w:hint="eastAsia"/>
          <w:sz w:val="24"/>
          <w:szCs w:val="24"/>
        </w:rPr>
        <w:t>）</w:t>
      </w:r>
      <w:r>
        <w:rPr>
          <w:rFonts w:hint="eastAsia"/>
          <w:sz w:val="24"/>
          <w:szCs w:val="24"/>
        </w:rPr>
        <w:t xml:space="preserve"> </w:t>
      </w:r>
      <w:r>
        <w:rPr>
          <w:rFonts w:hint="eastAsia"/>
          <w:sz w:val="24"/>
          <w:szCs w:val="24"/>
        </w:rPr>
        <w:t>深圳众禄基金销售有限公司</w:t>
      </w:r>
    </w:p>
    <w:p w:rsidR="00783788" w:rsidRDefault="002C6E18">
      <w:pPr>
        <w:spacing w:line="360" w:lineRule="auto"/>
        <w:ind w:firstLineChars="200" w:firstLine="480"/>
        <w:rPr>
          <w:sz w:val="24"/>
          <w:szCs w:val="24"/>
        </w:rPr>
      </w:pPr>
      <w:r>
        <w:rPr>
          <w:rFonts w:hint="eastAsia"/>
          <w:sz w:val="24"/>
          <w:szCs w:val="24"/>
        </w:rPr>
        <w:t>住所：深圳市罗湖区梨园路物资控股置地大厦</w:t>
      </w:r>
      <w:r>
        <w:rPr>
          <w:rFonts w:hint="eastAsia"/>
          <w:sz w:val="24"/>
          <w:szCs w:val="24"/>
        </w:rPr>
        <w:t>8</w:t>
      </w:r>
      <w:r>
        <w:rPr>
          <w:rFonts w:hint="eastAsia"/>
          <w:sz w:val="24"/>
          <w:szCs w:val="24"/>
        </w:rPr>
        <w:t>楼</w:t>
      </w:r>
    </w:p>
    <w:p w:rsidR="00783788" w:rsidRDefault="002C6E18">
      <w:pPr>
        <w:spacing w:line="360" w:lineRule="auto"/>
        <w:ind w:firstLineChars="200" w:firstLine="480"/>
        <w:rPr>
          <w:sz w:val="24"/>
          <w:szCs w:val="24"/>
        </w:rPr>
      </w:pPr>
      <w:r>
        <w:rPr>
          <w:rFonts w:hint="eastAsia"/>
          <w:sz w:val="24"/>
          <w:szCs w:val="24"/>
        </w:rPr>
        <w:t>办公地址：深圳市罗湖区梨园路物资控股置地大厦</w:t>
      </w:r>
      <w:r>
        <w:rPr>
          <w:rFonts w:hint="eastAsia"/>
          <w:sz w:val="24"/>
          <w:szCs w:val="24"/>
        </w:rPr>
        <w:t>8</w:t>
      </w:r>
      <w:r>
        <w:rPr>
          <w:rFonts w:hint="eastAsia"/>
          <w:sz w:val="24"/>
          <w:szCs w:val="24"/>
        </w:rPr>
        <w:t>楼</w:t>
      </w:r>
    </w:p>
    <w:p w:rsidR="00783788" w:rsidRDefault="002C6E18">
      <w:pPr>
        <w:spacing w:line="360" w:lineRule="auto"/>
        <w:ind w:firstLineChars="200" w:firstLine="480"/>
        <w:rPr>
          <w:sz w:val="24"/>
          <w:szCs w:val="24"/>
        </w:rPr>
      </w:pPr>
      <w:r>
        <w:rPr>
          <w:rFonts w:hint="eastAsia"/>
          <w:sz w:val="24"/>
          <w:szCs w:val="24"/>
        </w:rPr>
        <w:t>法定代表人：薛峰</w:t>
      </w:r>
    </w:p>
    <w:p w:rsidR="00783788" w:rsidRDefault="002C6E18">
      <w:pPr>
        <w:spacing w:line="360" w:lineRule="auto"/>
        <w:ind w:firstLineChars="200" w:firstLine="480"/>
        <w:rPr>
          <w:sz w:val="24"/>
          <w:szCs w:val="24"/>
        </w:rPr>
      </w:pPr>
      <w:r>
        <w:rPr>
          <w:rFonts w:hint="eastAsia"/>
          <w:sz w:val="24"/>
          <w:szCs w:val="24"/>
        </w:rPr>
        <w:t>电话：（</w:t>
      </w:r>
      <w:r>
        <w:rPr>
          <w:rFonts w:hint="eastAsia"/>
          <w:sz w:val="24"/>
          <w:szCs w:val="24"/>
        </w:rPr>
        <w:t>0755</w:t>
      </w:r>
      <w:r>
        <w:rPr>
          <w:rFonts w:hint="eastAsia"/>
          <w:sz w:val="24"/>
          <w:szCs w:val="24"/>
        </w:rPr>
        <w:t>）</w:t>
      </w:r>
      <w:r>
        <w:rPr>
          <w:rFonts w:hint="eastAsia"/>
          <w:sz w:val="24"/>
          <w:szCs w:val="24"/>
        </w:rPr>
        <w:t>33227953</w:t>
      </w:r>
    </w:p>
    <w:p w:rsidR="00783788" w:rsidRDefault="002C6E18">
      <w:pPr>
        <w:spacing w:line="360" w:lineRule="auto"/>
        <w:ind w:firstLineChars="200" w:firstLine="480"/>
        <w:rPr>
          <w:sz w:val="24"/>
          <w:szCs w:val="24"/>
        </w:rPr>
      </w:pPr>
      <w:r>
        <w:rPr>
          <w:rFonts w:hint="eastAsia"/>
          <w:sz w:val="24"/>
          <w:szCs w:val="24"/>
        </w:rPr>
        <w:t>传真：（</w:t>
      </w:r>
      <w:r>
        <w:rPr>
          <w:rFonts w:hint="eastAsia"/>
          <w:sz w:val="24"/>
          <w:szCs w:val="24"/>
        </w:rPr>
        <w:t>0755</w:t>
      </w:r>
      <w:r>
        <w:rPr>
          <w:rFonts w:hint="eastAsia"/>
          <w:sz w:val="24"/>
          <w:szCs w:val="24"/>
        </w:rPr>
        <w:t>）</w:t>
      </w:r>
      <w:r>
        <w:rPr>
          <w:rFonts w:hint="eastAsia"/>
          <w:sz w:val="24"/>
          <w:szCs w:val="24"/>
        </w:rPr>
        <w:t>33227951</w:t>
      </w:r>
    </w:p>
    <w:p w:rsidR="00783788" w:rsidRDefault="002C6E18">
      <w:pPr>
        <w:spacing w:line="360" w:lineRule="auto"/>
        <w:ind w:firstLineChars="200" w:firstLine="480"/>
        <w:rPr>
          <w:sz w:val="24"/>
          <w:szCs w:val="24"/>
        </w:rPr>
      </w:pPr>
      <w:r>
        <w:rPr>
          <w:rFonts w:hint="eastAsia"/>
          <w:sz w:val="24"/>
          <w:szCs w:val="24"/>
        </w:rPr>
        <w:t>联系人：汤素娅</w:t>
      </w:r>
    </w:p>
    <w:p w:rsidR="00783788" w:rsidRDefault="002C6E18">
      <w:pPr>
        <w:spacing w:line="360" w:lineRule="auto"/>
        <w:ind w:firstLineChars="200" w:firstLine="480"/>
        <w:rPr>
          <w:sz w:val="24"/>
          <w:szCs w:val="24"/>
        </w:rPr>
      </w:pPr>
      <w:r>
        <w:rPr>
          <w:rFonts w:hint="eastAsia"/>
          <w:sz w:val="24"/>
          <w:szCs w:val="24"/>
        </w:rPr>
        <w:t>客户服务电话：</w:t>
      </w:r>
      <w:r>
        <w:rPr>
          <w:rFonts w:hint="eastAsia"/>
          <w:sz w:val="24"/>
          <w:szCs w:val="24"/>
        </w:rPr>
        <w:t>4006-788-887</w:t>
      </w:r>
    </w:p>
    <w:p w:rsidR="00783788" w:rsidRDefault="002C6E18">
      <w:pPr>
        <w:spacing w:line="360" w:lineRule="auto"/>
        <w:ind w:firstLineChars="200" w:firstLine="480"/>
        <w:rPr>
          <w:sz w:val="24"/>
          <w:szCs w:val="24"/>
        </w:rPr>
      </w:pPr>
      <w:r>
        <w:rPr>
          <w:rFonts w:hint="eastAsia"/>
          <w:sz w:val="24"/>
          <w:szCs w:val="24"/>
        </w:rPr>
        <w:t>网址：</w:t>
      </w:r>
      <w:r>
        <w:rPr>
          <w:rFonts w:hint="eastAsia"/>
          <w:sz w:val="24"/>
          <w:szCs w:val="24"/>
        </w:rPr>
        <w:t>www.zlfund.cn</w:t>
      </w:r>
      <w:r>
        <w:rPr>
          <w:rFonts w:hint="eastAsia"/>
          <w:sz w:val="24"/>
          <w:szCs w:val="24"/>
        </w:rPr>
        <w:t>，</w:t>
      </w:r>
      <w:r>
        <w:rPr>
          <w:rFonts w:hint="eastAsia"/>
          <w:sz w:val="24"/>
          <w:szCs w:val="24"/>
        </w:rPr>
        <w:t>www.jjmmw.com</w:t>
      </w:r>
    </w:p>
    <w:p w:rsidR="00783788" w:rsidRDefault="002C6E18">
      <w:pPr>
        <w:spacing w:line="360" w:lineRule="auto"/>
        <w:ind w:firstLineChars="200" w:firstLine="480"/>
        <w:rPr>
          <w:sz w:val="24"/>
          <w:szCs w:val="24"/>
        </w:rPr>
      </w:pPr>
      <w:r>
        <w:rPr>
          <w:rFonts w:hint="eastAsia"/>
          <w:sz w:val="24"/>
          <w:szCs w:val="24"/>
        </w:rPr>
        <w:t>（</w:t>
      </w:r>
      <w:r>
        <w:rPr>
          <w:rFonts w:hint="eastAsia"/>
          <w:sz w:val="24"/>
          <w:szCs w:val="24"/>
        </w:rPr>
        <w:t>30</w:t>
      </w:r>
      <w:r>
        <w:rPr>
          <w:rFonts w:hint="eastAsia"/>
          <w:sz w:val="24"/>
          <w:szCs w:val="24"/>
        </w:rPr>
        <w:t>）</w:t>
      </w:r>
      <w:r>
        <w:rPr>
          <w:rFonts w:hint="eastAsia"/>
          <w:sz w:val="24"/>
          <w:szCs w:val="24"/>
        </w:rPr>
        <w:t xml:space="preserve"> </w:t>
      </w:r>
      <w:r>
        <w:rPr>
          <w:rFonts w:hint="eastAsia"/>
          <w:sz w:val="24"/>
          <w:szCs w:val="24"/>
        </w:rPr>
        <w:t>上海长量基金销售投资顾问有限公司</w:t>
      </w:r>
    </w:p>
    <w:p w:rsidR="00783788" w:rsidRDefault="002C6E18">
      <w:pPr>
        <w:spacing w:line="360" w:lineRule="auto"/>
        <w:ind w:firstLineChars="200" w:firstLine="480"/>
        <w:rPr>
          <w:sz w:val="24"/>
          <w:szCs w:val="24"/>
        </w:rPr>
      </w:pPr>
      <w:r>
        <w:rPr>
          <w:rFonts w:hint="eastAsia"/>
          <w:sz w:val="24"/>
          <w:szCs w:val="24"/>
        </w:rPr>
        <w:t>住所：上海市浦东新区高翔路</w:t>
      </w:r>
      <w:r>
        <w:rPr>
          <w:rFonts w:hint="eastAsia"/>
          <w:sz w:val="24"/>
          <w:szCs w:val="24"/>
        </w:rPr>
        <w:t>526</w:t>
      </w:r>
      <w:r>
        <w:rPr>
          <w:rFonts w:hint="eastAsia"/>
          <w:sz w:val="24"/>
          <w:szCs w:val="24"/>
        </w:rPr>
        <w:t>号</w:t>
      </w:r>
      <w:r>
        <w:rPr>
          <w:rFonts w:hint="eastAsia"/>
          <w:sz w:val="24"/>
          <w:szCs w:val="24"/>
        </w:rPr>
        <w:t>2</w:t>
      </w:r>
      <w:r>
        <w:rPr>
          <w:rFonts w:hint="eastAsia"/>
          <w:sz w:val="24"/>
          <w:szCs w:val="24"/>
        </w:rPr>
        <w:t>幢</w:t>
      </w:r>
      <w:r>
        <w:rPr>
          <w:rFonts w:hint="eastAsia"/>
          <w:sz w:val="24"/>
          <w:szCs w:val="24"/>
        </w:rPr>
        <w:t>220</w:t>
      </w:r>
      <w:r>
        <w:rPr>
          <w:rFonts w:hint="eastAsia"/>
          <w:sz w:val="24"/>
          <w:szCs w:val="24"/>
        </w:rPr>
        <w:t>室</w:t>
      </w:r>
    </w:p>
    <w:p w:rsidR="00783788" w:rsidRDefault="002C6E18">
      <w:pPr>
        <w:spacing w:line="360" w:lineRule="auto"/>
        <w:ind w:firstLineChars="200" w:firstLine="480"/>
        <w:rPr>
          <w:sz w:val="24"/>
          <w:szCs w:val="24"/>
        </w:rPr>
      </w:pPr>
      <w:r>
        <w:rPr>
          <w:rFonts w:hint="eastAsia"/>
          <w:sz w:val="24"/>
          <w:szCs w:val="24"/>
        </w:rPr>
        <w:t>办公地址：上海市浦东新区浦东大道</w:t>
      </w:r>
      <w:r>
        <w:rPr>
          <w:rFonts w:hint="eastAsia"/>
          <w:sz w:val="24"/>
          <w:szCs w:val="24"/>
        </w:rPr>
        <w:t>555</w:t>
      </w:r>
      <w:r>
        <w:rPr>
          <w:rFonts w:hint="eastAsia"/>
          <w:sz w:val="24"/>
          <w:szCs w:val="24"/>
        </w:rPr>
        <w:t>号裕景国际</w:t>
      </w:r>
      <w:r>
        <w:rPr>
          <w:rFonts w:hint="eastAsia"/>
          <w:sz w:val="24"/>
          <w:szCs w:val="24"/>
        </w:rPr>
        <w:t>B</w:t>
      </w:r>
      <w:r>
        <w:rPr>
          <w:rFonts w:hint="eastAsia"/>
          <w:sz w:val="24"/>
          <w:szCs w:val="24"/>
        </w:rPr>
        <w:t>座</w:t>
      </w:r>
      <w:r>
        <w:rPr>
          <w:rFonts w:hint="eastAsia"/>
          <w:sz w:val="24"/>
          <w:szCs w:val="24"/>
        </w:rPr>
        <w:t>16</w:t>
      </w:r>
      <w:r>
        <w:rPr>
          <w:rFonts w:hint="eastAsia"/>
          <w:sz w:val="24"/>
          <w:szCs w:val="24"/>
        </w:rPr>
        <w:t>层</w:t>
      </w:r>
    </w:p>
    <w:p w:rsidR="00783788" w:rsidRDefault="002C6E18">
      <w:pPr>
        <w:spacing w:line="360" w:lineRule="auto"/>
        <w:ind w:firstLineChars="200" w:firstLine="480"/>
        <w:rPr>
          <w:sz w:val="24"/>
          <w:szCs w:val="24"/>
        </w:rPr>
      </w:pPr>
      <w:r>
        <w:rPr>
          <w:rFonts w:hint="eastAsia"/>
          <w:sz w:val="24"/>
          <w:szCs w:val="24"/>
        </w:rPr>
        <w:t>法定代表人：张跃伟</w:t>
      </w:r>
    </w:p>
    <w:p w:rsidR="00783788" w:rsidRDefault="002C6E18">
      <w:pPr>
        <w:spacing w:line="360" w:lineRule="auto"/>
        <w:ind w:firstLineChars="200" w:firstLine="480"/>
        <w:rPr>
          <w:sz w:val="24"/>
          <w:szCs w:val="24"/>
        </w:rPr>
      </w:pPr>
      <w:r>
        <w:rPr>
          <w:rFonts w:hint="eastAsia"/>
          <w:sz w:val="24"/>
          <w:szCs w:val="24"/>
        </w:rPr>
        <w:t>电话：（</w:t>
      </w:r>
      <w:r>
        <w:rPr>
          <w:rFonts w:hint="eastAsia"/>
          <w:sz w:val="24"/>
          <w:szCs w:val="24"/>
        </w:rPr>
        <w:t>021</w:t>
      </w:r>
      <w:r>
        <w:rPr>
          <w:rFonts w:hint="eastAsia"/>
          <w:sz w:val="24"/>
          <w:szCs w:val="24"/>
        </w:rPr>
        <w:t>）</w:t>
      </w:r>
      <w:r>
        <w:rPr>
          <w:rFonts w:hint="eastAsia"/>
          <w:sz w:val="24"/>
          <w:szCs w:val="24"/>
        </w:rPr>
        <w:t>20691832</w:t>
      </w:r>
    </w:p>
    <w:p w:rsidR="00783788" w:rsidRDefault="002C6E18">
      <w:pPr>
        <w:spacing w:line="360" w:lineRule="auto"/>
        <w:ind w:firstLineChars="200" w:firstLine="480"/>
        <w:rPr>
          <w:sz w:val="24"/>
          <w:szCs w:val="24"/>
        </w:rPr>
      </w:pPr>
      <w:r>
        <w:rPr>
          <w:rFonts w:hint="eastAsia"/>
          <w:sz w:val="24"/>
          <w:szCs w:val="24"/>
        </w:rPr>
        <w:t>传真：（</w:t>
      </w:r>
      <w:r>
        <w:rPr>
          <w:rFonts w:hint="eastAsia"/>
          <w:sz w:val="24"/>
          <w:szCs w:val="24"/>
        </w:rPr>
        <w:t>021</w:t>
      </w:r>
      <w:r>
        <w:rPr>
          <w:rFonts w:hint="eastAsia"/>
          <w:sz w:val="24"/>
          <w:szCs w:val="24"/>
        </w:rPr>
        <w:t>）</w:t>
      </w:r>
      <w:r>
        <w:rPr>
          <w:rFonts w:hint="eastAsia"/>
          <w:sz w:val="24"/>
          <w:szCs w:val="24"/>
        </w:rPr>
        <w:t xml:space="preserve">20691861 </w:t>
      </w:r>
    </w:p>
    <w:p w:rsidR="00783788" w:rsidRDefault="002C6E18">
      <w:pPr>
        <w:spacing w:line="360" w:lineRule="auto"/>
        <w:ind w:firstLineChars="200" w:firstLine="480"/>
        <w:rPr>
          <w:sz w:val="24"/>
          <w:szCs w:val="24"/>
        </w:rPr>
      </w:pPr>
      <w:r>
        <w:rPr>
          <w:rFonts w:hint="eastAsia"/>
          <w:sz w:val="24"/>
          <w:szCs w:val="24"/>
        </w:rPr>
        <w:t>联系人：单丙烨</w:t>
      </w:r>
    </w:p>
    <w:p w:rsidR="00783788" w:rsidRDefault="002C6E18">
      <w:pPr>
        <w:spacing w:line="360" w:lineRule="auto"/>
        <w:ind w:firstLineChars="200" w:firstLine="480"/>
        <w:rPr>
          <w:sz w:val="24"/>
          <w:szCs w:val="24"/>
        </w:rPr>
      </w:pPr>
      <w:r>
        <w:rPr>
          <w:rFonts w:hint="eastAsia"/>
          <w:sz w:val="24"/>
          <w:szCs w:val="24"/>
        </w:rPr>
        <w:t>客户服务电话：</w:t>
      </w:r>
      <w:r>
        <w:rPr>
          <w:rFonts w:hint="eastAsia"/>
          <w:sz w:val="24"/>
          <w:szCs w:val="24"/>
        </w:rPr>
        <w:t xml:space="preserve">400-089-1289 </w:t>
      </w:r>
    </w:p>
    <w:p w:rsidR="00783788" w:rsidRDefault="002C6E18">
      <w:pPr>
        <w:spacing w:line="360" w:lineRule="auto"/>
        <w:ind w:firstLineChars="200" w:firstLine="480"/>
        <w:rPr>
          <w:sz w:val="24"/>
          <w:szCs w:val="24"/>
        </w:rPr>
      </w:pPr>
      <w:r>
        <w:rPr>
          <w:rFonts w:hint="eastAsia"/>
          <w:sz w:val="24"/>
          <w:szCs w:val="24"/>
        </w:rPr>
        <w:t>网址：</w:t>
      </w:r>
      <w:r>
        <w:rPr>
          <w:rFonts w:hint="eastAsia"/>
          <w:sz w:val="24"/>
          <w:szCs w:val="24"/>
        </w:rPr>
        <w:t>www.erichfund.com</w:t>
      </w:r>
    </w:p>
    <w:p w:rsidR="00783788" w:rsidRDefault="002C6E18">
      <w:pPr>
        <w:spacing w:line="360" w:lineRule="auto"/>
        <w:ind w:firstLineChars="200" w:firstLine="480"/>
        <w:rPr>
          <w:sz w:val="24"/>
          <w:szCs w:val="24"/>
        </w:rPr>
      </w:pPr>
      <w:r>
        <w:rPr>
          <w:rFonts w:hint="eastAsia"/>
          <w:sz w:val="24"/>
          <w:szCs w:val="24"/>
        </w:rPr>
        <w:t>（</w:t>
      </w:r>
      <w:r>
        <w:rPr>
          <w:rFonts w:hint="eastAsia"/>
          <w:sz w:val="24"/>
          <w:szCs w:val="24"/>
        </w:rPr>
        <w:t>31</w:t>
      </w:r>
      <w:r>
        <w:rPr>
          <w:rFonts w:hint="eastAsia"/>
          <w:sz w:val="24"/>
          <w:szCs w:val="24"/>
        </w:rPr>
        <w:t>）上海好买基金销售有限公司</w:t>
      </w:r>
      <w:r>
        <w:rPr>
          <w:rFonts w:hint="eastAsia"/>
          <w:sz w:val="24"/>
          <w:szCs w:val="24"/>
        </w:rPr>
        <w:t xml:space="preserve"> </w:t>
      </w:r>
    </w:p>
    <w:p w:rsidR="00783788" w:rsidRDefault="002C6E18">
      <w:pPr>
        <w:spacing w:line="360" w:lineRule="auto"/>
        <w:ind w:firstLineChars="200" w:firstLine="480"/>
        <w:rPr>
          <w:sz w:val="24"/>
          <w:szCs w:val="24"/>
        </w:rPr>
      </w:pPr>
      <w:r>
        <w:rPr>
          <w:rFonts w:hint="eastAsia"/>
          <w:sz w:val="24"/>
          <w:szCs w:val="24"/>
        </w:rPr>
        <w:t>住所：上海市虹口区场中路</w:t>
      </w:r>
      <w:r>
        <w:rPr>
          <w:rFonts w:hint="eastAsia"/>
          <w:sz w:val="24"/>
          <w:szCs w:val="24"/>
        </w:rPr>
        <w:t>685</w:t>
      </w:r>
      <w:r>
        <w:rPr>
          <w:rFonts w:hint="eastAsia"/>
          <w:sz w:val="24"/>
          <w:szCs w:val="24"/>
        </w:rPr>
        <w:t>弄</w:t>
      </w:r>
      <w:r>
        <w:rPr>
          <w:rFonts w:hint="eastAsia"/>
          <w:sz w:val="24"/>
          <w:szCs w:val="24"/>
        </w:rPr>
        <w:t>37</w:t>
      </w:r>
      <w:r>
        <w:rPr>
          <w:rFonts w:hint="eastAsia"/>
          <w:sz w:val="24"/>
          <w:szCs w:val="24"/>
        </w:rPr>
        <w:t>号</w:t>
      </w:r>
      <w:r>
        <w:rPr>
          <w:rFonts w:hint="eastAsia"/>
          <w:sz w:val="24"/>
          <w:szCs w:val="24"/>
        </w:rPr>
        <w:t>4</w:t>
      </w:r>
      <w:r>
        <w:rPr>
          <w:rFonts w:hint="eastAsia"/>
          <w:sz w:val="24"/>
          <w:szCs w:val="24"/>
        </w:rPr>
        <w:t>号楼</w:t>
      </w:r>
      <w:r>
        <w:rPr>
          <w:rFonts w:hint="eastAsia"/>
          <w:sz w:val="24"/>
          <w:szCs w:val="24"/>
        </w:rPr>
        <w:t>449</w:t>
      </w:r>
      <w:r>
        <w:rPr>
          <w:rFonts w:hint="eastAsia"/>
          <w:sz w:val="24"/>
          <w:szCs w:val="24"/>
        </w:rPr>
        <w:t>室</w:t>
      </w:r>
      <w:r>
        <w:rPr>
          <w:rFonts w:hint="eastAsia"/>
          <w:sz w:val="24"/>
          <w:szCs w:val="24"/>
        </w:rPr>
        <w:t xml:space="preserve"> </w:t>
      </w:r>
    </w:p>
    <w:p w:rsidR="00783788" w:rsidRDefault="002C6E18">
      <w:pPr>
        <w:spacing w:line="360" w:lineRule="auto"/>
        <w:ind w:firstLineChars="200" w:firstLine="480"/>
        <w:rPr>
          <w:sz w:val="24"/>
          <w:szCs w:val="24"/>
        </w:rPr>
      </w:pPr>
      <w:r>
        <w:rPr>
          <w:rFonts w:hint="eastAsia"/>
          <w:sz w:val="24"/>
          <w:szCs w:val="24"/>
        </w:rPr>
        <w:t>办公地址：上海市浦东新区浦东南路</w:t>
      </w:r>
      <w:r>
        <w:rPr>
          <w:rFonts w:hint="eastAsia"/>
          <w:sz w:val="24"/>
          <w:szCs w:val="24"/>
        </w:rPr>
        <w:t>1118</w:t>
      </w:r>
      <w:r>
        <w:rPr>
          <w:rFonts w:hint="eastAsia"/>
          <w:sz w:val="24"/>
          <w:szCs w:val="24"/>
        </w:rPr>
        <w:t>号鄂尔多斯国际大厦</w:t>
      </w:r>
      <w:r>
        <w:rPr>
          <w:rFonts w:hint="eastAsia"/>
          <w:sz w:val="24"/>
          <w:szCs w:val="24"/>
        </w:rPr>
        <w:t>903-906</w:t>
      </w:r>
      <w:r>
        <w:rPr>
          <w:rFonts w:hint="eastAsia"/>
          <w:sz w:val="24"/>
          <w:szCs w:val="24"/>
        </w:rPr>
        <w:t>室</w:t>
      </w:r>
      <w:r>
        <w:rPr>
          <w:rFonts w:hint="eastAsia"/>
          <w:sz w:val="24"/>
          <w:szCs w:val="24"/>
        </w:rPr>
        <w:t xml:space="preserve"> </w:t>
      </w:r>
    </w:p>
    <w:p w:rsidR="00783788" w:rsidRDefault="002C6E18">
      <w:pPr>
        <w:spacing w:line="360" w:lineRule="auto"/>
        <w:ind w:firstLineChars="200" w:firstLine="480"/>
        <w:rPr>
          <w:sz w:val="24"/>
          <w:szCs w:val="24"/>
        </w:rPr>
      </w:pPr>
      <w:r>
        <w:rPr>
          <w:rFonts w:hint="eastAsia"/>
          <w:sz w:val="24"/>
          <w:szCs w:val="24"/>
        </w:rPr>
        <w:t>法定代表人：杨文斌</w:t>
      </w:r>
      <w:r>
        <w:rPr>
          <w:rFonts w:hint="eastAsia"/>
          <w:sz w:val="24"/>
          <w:szCs w:val="24"/>
        </w:rPr>
        <w:t xml:space="preserve"> </w:t>
      </w:r>
    </w:p>
    <w:p w:rsidR="00783788" w:rsidRDefault="002C6E18">
      <w:pPr>
        <w:spacing w:line="360" w:lineRule="auto"/>
        <w:ind w:firstLineChars="200" w:firstLine="480"/>
        <w:rPr>
          <w:sz w:val="24"/>
          <w:szCs w:val="24"/>
        </w:rPr>
      </w:pPr>
      <w:r>
        <w:rPr>
          <w:rFonts w:hint="eastAsia"/>
          <w:sz w:val="24"/>
          <w:szCs w:val="24"/>
        </w:rPr>
        <w:t>传真：（</w:t>
      </w:r>
      <w:r>
        <w:rPr>
          <w:rFonts w:hint="eastAsia"/>
          <w:sz w:val="24"/>
          <w:szCs w:val="24"/>
        </w:rPr>
        <w:t>021</w:t>
      </w:r>
      <w:r>
        <w:rPr>
          <w:rFonts w:hint="eastAsia"/>
          <w:sz w:val="24"/>
          <w:szCs w:val="24"/>
        </w:rPr>
        <w:t>）</w:t>
      </w:r>
      <w:r>
        <w:rPr>
          <w:rFonts w:hint="eastAsia"/>
          <w:sz w:val="24"/>
          <w:szCs w:val="24"/>
        </w:rPr>
        <w:t xml:space="preserve">68596916 </w:t>
      </w:r>
    </w:p>
    <w:p w:rsidR="00783788" w:rsidRDefault="002C6E18">
      <w:pPr>
        <w:spacing w:line="360" w:lineRule="auto"/>
        <w:ind w:firstLineChars="200" w:firstLine="480"/>
        <w:rPr>
          <w:sz w:val="24"/>
          <w:szCs w:val="24"/>
        </w:rPr>
      </w:pPr>
      <w:r>
        <w:rPr>
          <w:rFonts w:hint="eastAsia"/>
          <w:sz w:val="24"/>
          <w:szCs w:val="24"/>
        </w:rPr>
        <w:t>联系人：薛年</w:t>
      </w:r>
    </w:p>
    <w:p w:rsidR="00783788" w:rsidRDefault="002C6E18">
      <w:pPr>
        <w:spacing w:line="360" w:lineRule="auto"/>
        <w:ind w:firstLineChars="200" w:firstLine="480"/>
        <w:rPr>
          <w:sz w:val="24"/>
          <w:szCs w:val="24"/>
        </w:rPr>
      </w:pPr>
      <w:r>
        <w:rPr>
          <w:rFonts w:hint="eastAsia"/>
          <w:sz w:val="24"/>
          <w:szCs w:val="24"/>
        </w:rPr>
        <w:t>客户服务电话：</w:t>
      </w:r>
      <w:r>
        <w:rPr>
          <w:rFonts w:hint="eastAsia"/>
          <w:sz w:val="24"/>
          <w:szCs w:val="24"/>
        </w:rPr>
        <w:t xml:space="preserve">400-700-9665 </w:t>
      </w:r>
    </w:p>
    <w:p w:rsidR="00783788" w:rsidRDefault="002C6E18">
      <w:pPr>
        <w:spacing w:line="360" w:lineRule="auto"/>
        <w:ind w:firstLineChars="200" w:firstLine="480"/>
        <w:rPr>
          <w:sz w:val="24"/>
          <w:szCs w:val="24"/>
        </w:rPr>
      </w:pPr>
      <w:r>
        <w:rPr>
          <w:rFonts w:hint="eastAsia"/>
          <w:sz w:val="24"/>
          <w:szCs w:val="24"/>
        </w:rPr>
        <w:t>网址：</w:t>
      </w:r>
      <w:r>
        <w:rPr>
          <w:rFonts w:hint="eastAsia"/>
          <w:sz w:val="24"/>
          <w:szCs w:val="24"/>
        </w:rPr>
        <w:t>www.ehowbuy.com</w:t>
      </w:r>
    </w:p>
    <w:p w:rsidR="00783788" w:rsidRDefault="002C6E18">
      <w:pPr>
        <w:spacing w:line="360" w:lineRule="auto"/>
        <w:ind w:firstLineChars="200" w:firstLine="480"/>
        <w:rPr>
          <w:sz w:val="24"/>
          <w:szCs w:val="24"/>
        </w:rPr>
      </w:pPr>
      <w:r>
        <w:rPr>
          <w:rFonts w:hint="eastAsia"/>
          <w:sz w:val="24"/>
          <w:szCs w:val="24"/>
        </w:rPr>
        <w:t>（</w:t>
      </w:r>
      <w:r>
        <w:rPr>
          <w:rFonts w:hint="eastAsia"/>
          <w:sz w:val="24"/>
          <w:szCs w:val="24"/>
        </w:rPr>
        <w:t>32</w:t>
      </w:r>
      <w:r>
        <w:rPr>
          <w:rFonts w:hint="eastAsia"/>
          <w:sz w:val="24"/>
          <w:szCs w:val="24"/>
        </w:rPr>
        <w:t>）诺亚正行</w:t>
      </w:r>
      <w:r>
        <w:rPr>
          <w:rFonts w:hint="eastAsia"/>
          <w:sz w:val="24"/>
          <w:szCs w:val="24"/>
        </w:rPr>
        <w:t>(</w:t>
      </w:r>
      <w:r>
        <w:rPr>
          <w:rFonts w:hint="eastAsia"/>
          <w:sz w:val="24"/>
          <w:szCs w:val="24"/>
        </w:rPr>
        <w:t>上海</w:t>
      </w:r>
      <w:r>
        <w:rPr>
          <w:rFonts w:hint="eastAsia"/>
          <w:sz w:val="24"/>
          <w:szCs w:val="24"/>
        </w:rPr>
        <w:t>)</w:t>
      </w:r>
      <w:r>
        <w:rPr>
          <w:rFonts w:hint="eastAsia"/>
          <w:sz w:val="24"/>
          <w:szCs w:val="24"/>
        </w:rPr>
        <w:t>基金销售投资顾问有限公司</w:t>
      </w:r>
    </w:p>
    <w:p w:rsidR="00783788" w:rsidRDefault="002C6E18">
      <w:pPr>
        <w:spacing w:line="360" w:lineRule="auto"/>
        <w:ind w:firstLineChars="200" w:firstLine="480"/>
        <w:rPr>
          <w:sz w:val="24"/>
          <w:szCs w:val="24"/>
        </w:rPr>
      </w:pPr>
      <w:r>
        <w:rPr>
          <w:rFonts w:hint="eastAsia"/>
          <w:sz w:val="24"/>
          <w:szCs w:val="24"/>
        </w:rPr>
        <w:t>住所：上海市虹口区飞虹路</w:t>
      </w:r>
      <w:r>
        <w:rPr>
          <w:rFonts w:hint="eastAsia"/>
          <w:sz w:val="24"/>
          <w:szCs w:val="24"/>
        </w:rPr>
        <w:t>360</w:t>
      </w:r>
      <w:r>
        <w:rPr>
          <w:rFonts w:hint="eastAsia"/>
          <w:sz w:val="24"/>
          <w:szCs w:val="24"/>
        </w:rPr>
        <w:t>弄</w:t>
      </w:r>
      <w:r>
        <w:rPr>
          <w:rFonts w:hint="eastAsia"/>
          <w:sz w:val="24"/>
          <w:szCs w:val="24"/>
        </w:rPr>
        <w:t>9</w:t>
      </w:r>
      <w:r>
        <w:rPr>
          <w:rFonts w:hint="eastAsia"/>
          <w:sz w:val="24"/>
          <w:szCs w:val="24"/>
        </w:rPr>
        <w:t>号</w:t>
      </w:r>
      <w:r>
        <w:rPr>
          <w:rFonts w:hint="eastAsia"/>
          <w:sz w:val="24"/>
          <w:szCs w:val="24"/>
        </w:rPr>
        <w:t>3724</w:t>
      </w:r>
      <w:r>
        <w:rPr>
          <w:rFonts w:hint="eastAsia"/>
          <w:sz w:val="24"/>
          <w:szCs w:val="24"/>
        </w:rPr>
        <w:t>室</w:t>
      </w:r>
    </w:p>
    <w:p w:rsidR="00783788" w:rsidRDefault="002C6E18">
      <w:pPr>
        <w:spacing w:line="360" w:lineRule="auto"/>
        <w:ind w:firstLineChars="200" w:firstLine="480"/>
        <w:rPr>
          <w:sz w:val="24"/>
          <w:szCs w:val="24"/>
        </w:rPr>
      </w:pPr>
      <w:r>
        <w:rPr>
          <w:rFonts w:hint="eastAsia"/>
          <w:sz w:val="24"/>
          <w:szCs w:val="24"/>
        </w:rPr>
        <w:t>办公地址：上海杨浦区秦皇岛路</w:t>
      </w:r>
      <w:r>
        <w:rPr>
          <w:rFonts w:hint="eastAsia"/>
          <w:sz w:val="24"/>
          <w:szCs w:val="24"/>
        </w:rPr>
        <w:t>32</w:t>
      </w:r>
      <w:r>
        <w:rPr>
          <w:rFonts w:hint="eastAsia"/>
          <w:sz w:val="24"/>
          <w:szCs w:val="24"/>
        </w:rPr>
        <w:t>号</w:t>
      </w:r>
      <w:r>
        <w:rPr>
          <w:rFonts w:hint="eastAsia"/>
          <w:sz w:val="24"/>
          <w:szCs w:val="24"/>
        </w:rPr>
        <w:t>C</w:t>
      </w:r>
      <w:r>
        <w:rPr>
          <w:rFonts w:hint="eastAsia"/>
          <w:sz w:val="24"/>
          <w:szCs w:val="24"/>
        </w:rPr>
        <w:t>栋</w:t>
      </w:r>
      <w:r>
        <w:rPr>
          <w:rFonts w:hint="eastAsia"/>
          <w:sz w:val="24"/>
          <w:szCs w:val="24"/>
        </w:rPr>
        <w:t xml:space="preserve"> 2</w:t>
      </w:r>
      <w:r>
        <w:rPr>
          <w:rFonts w:hint="eastAsia"/>
          <w:sz w:val="24"/>
          <w:szCs w:val="24"/>
        </w:rPr>
        <w:t>楼</w:t>
      </w:r>
    </w:p>
    <w:p w:rsidR="00783788" w:rsidRDefault="002C6E18">
      <w:pPr>
        <w:spacing w:line="360" w:lineRule="auto"/>
        <w:ind w:firstLineChars="200" w:firstLine="480"/>
        <w:rPr>
          <w:sz w:val="24"/>
          <w:szCs w:val="24"/>
        </w:rPr>
      </w:pPr>
      <w:r>
        <w:rPr>
          <w:rFonts w:hint="eastAsia"/>
          <w:sz w:val="24"/>
          <w:szCs w:val="24"/>
        </w:rPr>
        <w:t>法定代表人：汪静波</w:t>
      </w:r>
    </w:p>
    <w:p w:rsidR="00783788" w:rsidRDefault="002C6E18">
      <w:pPr>
        <w:spacing w:line="360" w:lineRule="auto"/>
        <w:ind w:firstLineChars="200" w:firstLine="480"/>
        <w:rPr>
          <w:sz w:val="24"/>
          <w:szCs w:val="24"/>
        </w:rPr>
      </w:pPr>
      <w:r>
        <w:rPr>
          <w:rFonts w:hint="eastAsia"/>
          <w:sz w:val="24"/>
          <w:szCs w:val="24"/>
        </w:rPr>
        <w:t>电话：（</w:t>
      </w:r>
      <w:r>
        <w:rPr>
          <w:rFonts w:hint="eastAsia"/>
          <w:sz w:val="24"/>
          <w:szCs w:val="24"/>
        </w:rPr>
        <w:t>021</w:t>
      </w:r>
      <w:r>
        <w:rPr>
          <w:rFonts w:hint="eastAsia"/>
          <w:sz w:val="24"/>
          <w:szCs w:val="24"/>
        </w:rPr>
        <w:t>）</w:t>
      </w:r>
      <w:r>
        <w:rPr>
          <w:rFonts w:hint="eastAsia"/>
          <w:sz w:val="24"/>
          <w:szCs w:val="24"/>
        </w:rPr>
        <w:t>38600735</w:t>
      </w:r>
    </w:p>
    <w:p w:rsidR="00783788" w:rsidRDefault="002C6E18">
      <w:pPr>
        <w:spacing w:line="360" w:lineRule="auto"/>
        <w:ind w:firstLineChars="200" w:firstLine="480"/>
        <w:rPr>
          <w:sz w:val="24"/>
          <w:szCs w:val="24"/>
        </w:rPr>
      </w:pPr>
      <w:r>
        <w:rPr>
          <w:rFonts w:hint="eastAsia"/>
          <w:sz w:val="24"/>
          <w:szCs w:val="24"/>
        </w:rPr>
        <w:t>传真：（</w:t>
      </w:r>
      <w:r>
        <w:rPr>
          <w:rFonts w:hint="eastAsia"/>
          <w:sz w:val="24"/>
          <w:szCs w:val="24"/>
        </w:rPr>
        <w:t>021</w:t>
      </w:r>
      <w:r>
        <w:rPr>
          <w:rFonts w:hint="eastAsia"/>
          <w:sz w:val="24"/>
          <w:szCs w:val="24"/>
        </w:rPr>
        <w:t>）</w:t>
      </w:r>
      <w:r>
        <w:rPr>
          <w:rFonts w:hint="eastAsia"/>
          <w:sz w:val="24"/>
          <w:szCs w:val="24"/>
        </w:rPr>
        <w:t>38509777</w:t>
      </w:r>
    </w:p>
    <w:p w:rsidR="00783788" w:rsidRDefault="002C6E18">
      <w:pPr>
        <w:spacing w:line="360" w:lineRule="auto"/>
        <w:ind w:firstLineChars="200" w:firstLine="480"/>
        <w:rPr>
          <w:sz w:val="24"/>
          <w:szCs w:val="24"/>
        </w:rPr>
      </w:pPr>
      <w:r>
        <w:rPr>
          <w:rFonts w:hint="eastAsia"/>
          <w:sz w:val="24"/>
          <w:szCs w:val="24"/>
        </w:rPr>
        <w:t>联系人：方成</w:t>
      </w:r>
    </w:p>
    <w:p w:rsidR="00783788" w:rsidRDefault="002C6E18">
      <w:pPr>
        <w:spacing w:line="360" w:lineRule="auto"/>
        <w:ind w:firstLineChars="200" w:firstLine="480"/>
        <w:rPr>
          <w:sz w:val="24"/>
          <w:szCs w:val="24"/>
        </w:rPr>
      </w:pPr>
      <w:r>
        <w:rPr>
          <w:rFonts w:hint="eastAsia"/>
          <w:sz w:val="24"/>
          <w:szCs w:val="24"/>
        </w:rPr>
        <w:t>客户服务电话：</w:t>
      </w:r>
      <w:r>
        <w:rPr>
          <w:rFonts w:hint="eastAsia"/>
          <w:sz w:val="24"/>
          <w:szCs w:val="24"/>
        </w:rPr>
        <w:t>400-821-5399</w:t>
      </w:r>
    </w:p>
    <w:p w:rsidR="00783788" w:rsidRDefault="002C6E18">
      <w:pPr>
        <w:spacing w:line="360" w:lineRule="auto"/>
        <w:ind w:firstLineChars="200" w:firstLine="480"/>
        <w:rPr>
          <w:sz w:val="24"/>
          <w:szCs w:val="24"/>
        </w:rPr>
      </w:pPr>
      <w:r>
        <w:rPr>
          <w:rFonts w:hint="eastAsia"/>
          <w:sz w:val="24"/>
          <w:szCs w:val="24"/>
        </w:rPr>
        <w:t>网址：</w:t>
      </w:r>
      <w:r>
        <w:rPr>
          <w:rFonts w:hint="eastAsia"/>
          <w:sz w:val="24"/>
          <w:szCs w:val="24"/>
        </w:rPr>
        <w:t>www.noah-fund.com</w:t>
      </w:r>
    </w:p>
    <w:p w:rsidR="00783788" w:rsidRDefault="002C6E18">
      <w:pPr>
        <w:spacing w:line="360" w:lineRule="auto"/>
        <w:ind w:firstLineChars="200" w:firstLine="480"/>
        <w:rPr>
          <w:sz w:val="24"/>
          <w:szCs w:val="24"/>
        </w:rPr>
      </w:pPr>
      <w:r>
        <w:rPr>
          <w:rFonts w:hint="eastAsia"/>
          <w:sz w:val="24"/>
          <w:szCs w:val="24"/>
        </w:rPr>
        <w:t>（</w:t>
      </w:r>
      <w:r>
        <w:rPr>
          <w:rFonts w:hint="eastAsia"/>
          <w:sz w:val="24"/>
          <w:szCs w:val="24"/>
        </w:rPr>
        <w:t>33</w:t>
      </w:r>
      <w:r>
        <w:rPr>
          <w:rFonts w:hint="eastAsia"/>
          <w:sz w:val="24"/>
          <w:szCs w:val="24"/>
        </w:rPr>
        <w:t>）和讯信息科技有限公司</w:t>
      </w:r>
      <w:r>
        <w:rPr>
          <w:rFonts w:hint="eastAsia"/>
          <w:sz w:val="24"/>
          <w:szCs w:val="24"/>
        </w:rPr>
        <w:t xml:space="preserve"> </w:t>
      </w:r>
    </w:p>
    <w:p w:rsidR="00783788" w:rsidRDefault="002C6E18">
      <w:pPr>
        <w:spacing w:line="360" w:lineRule="auto"/>
        <w:ind w:firstLineChars="200" w:firstLine="480"/>
        <w:rPr>
          <w:sz w:val="24"/>
          <w:szCs w:val="24"/>
        </w:rPr>
      </w:pPr>
      <w:r>
        <w:rPr>
          <w:rFonts w:hint="eastAsia"/>
          <w:sz w:val="24"/>
          <w:szCs w:val="24"/>
        </w:rPr>
        <w:t>住所：北京市朝阳区朝外大街</w:t>
      </w:r>
      <w:r>
        <w:rPr>
          <w:rFonts w:hint="eastAsia"/>
          <w:sz w:val="24"/>
          <w:szCs w:val="24"/>
        </w:rPr>
        <w:t>22</w:t>
      </w:r>
      <w:r>
        <w:rPr>
          <w:rFonts w:hint="eastAsia"/>
          <w:sz w:val="24"/>
          <w:szCs w:val="24"/>
        </w:rPr>
        <w:t>号泛利大厦</w:t>
      </w:r>
      <w:r>
        <w:rPr>
          <w:rFonts w:hint="eastAsia"/>
          <w:sz w:val="24"/>
          <w:szCs w:val="24"/>
        </w:rPr>
        <w:t>10</w:t>
      </w:r>
      <w:r>
        <w:rPr>
          <w:rFonts w:hint="eastAsia"/>
          <w:sz w:val="24"/>
          <w:szCs w:val="24"/>
        </w:rPr>
        <w:t>层</w:t>
      </w:r>
    </w:p>
    <w:p w:rsidR="00783788" w:rsidRDefault="002C6E18">
      <w:pPr>
        <w:spacing w:line="360" w:lineRule="auto"/>
        <w:ind w:firstLineChars="200" w:firstLine="480"/>
        <w:rPr>
          <w:sz w:val="24"/>
          <w:szCs w:val="24"/>
        </w:rPr>
      </w:pPr>
      <w:r>
        <w:rPr>
          <w:rFonts w:hint="eastAsia"/>
          <w:sz w:val="24"/>
          <w:szCs w:val="24"/>
        </w:rPr>
        <w:t>办公地址：北京市朝阳区朝外大街</w:t>
      </w:r>
      <w:r>
        <w:rPr>
          <w:rFonts w:hint="eastAsia"/>
          <w:sz w:val="24"/>
          <w:szCs w:val="24"/>
        </w:rPr>
        <w:t>22</w:t>
      </w:r>
      <w:r>
        <w:rPr>
          <w:rFonts w:hint="eastAsia"/>
          <w:sz w:val="24"/>
          <w:szCs w:val="24"/>
        </w:rPr>
        <w:t>号泛利大厦</w:t>
      </w:r>
      <w:r>
        <w:rPr>
          <w:rFonts w:hint="eastAsia"/>
          <w:sz w:val="24"/>
          <w:szCs w:val="24"/>
        </w:rPr>
        <w:t>10</w:t>
      </w:r>
      <w:r>
        <w:rPr>
          <w:rFonts w:hint="eastAsia"/>
          <w:sz w:val="24"/>
          <w:szCs w:val="24"/>
        </w:rPr>
        <w:t>层</w:t>
      </w:r>
    </w:p>
    <w:p w:rsidR="00783788" w:rsidRDefault="002C6E18">
      <w:pPr>
        <w:spacing w:line="360" w:lineRule="auto"/>
        <w:ind w:firstLineChars="200" w:firstLine="480"/>
        <w:rPr>
          <w:sz w:val="24"/>
          <w:szCs w:val="24"/>
        </w:rPr>
      </w:pPr>
      <w:r>
        <w:rPr>
          <w:rFonts w:hint="eastAsia"/>
          <w:sz w:val="24"/>
          <w:szCs w:val="24"/>
        </w:rPr>
        <w:t>法定代表人：王莉</w:t>
      </w:r>
    </w:p>
    <w:p w:rsidR="00783788" w:rsidRDefault="002C6E18">
      <w:pPr>
        <w:spacing w:line="360" w:lineRule="auto"/>
        <w:ind w:firstLineChars="200" w:firstLine="480"/>
        <w:rPr>
          <w:sz w:val="24"/>
          <w:szCs w:val="24"/>
        </w:rPr>
      </w:pPr>
      <w:r>
        <w:rPr>
          <w:rFonts w:hint="eastAsia"/>
          <w:sz w:val="24"/>
          <w:szCs w:val="24"/>
        </w:rPr>
        <w:t>电话：（</w:t>
      </w:r>
      <w:r>
        <w:rPr>
          <w:rFonts w:hint="eastAsia"/>
          <w:sz w:val="24"/>
          <w:szCs w:val="24"/>
        </w:rPr>
        <w:t>021</w:t>
      </w:r>
      <w:r>
        <w:rPr>
          <w:rFonts w:hint="eastAsia"/>
          <w:sz w:val="24"/>
          <w:szCs w:val="24"/>
        </w:rPr>
        <w:t>）</w:t>
      </w:r>
      <w:r>
        <w:rPr>
          <w:rFonts w:hint="eastAsia"/>
          <w:sz w:val="24"/>
          <w:szCs w:val="24"/>
        </w:rPr>
        <w:t>20835789</w:t>
      </w:r>
    </w:p>
    <w:p w:rsidR="00783788" w:rsidRDefault="002C6E18">
      <w:pPr>
        <w:spacing w:line="360" w:lineRule="auto"/>
        <w:ind w:firstLineChars="200" w:firstLine="480"/>
        <w:rPr>
          <w:sz w:val="24"/>
          <w:szCs w:val="24"/>
        </w:rPr>
      </w:pPr>
      <w:r>
        <w:rPr>
          <w:rFonts w:hint="eastAsia"/>
          <w:sz w:val="24"/>
          <w:szCs w:val="24"/>
        </w:rPr>
        <w:t>传真：（</w:t>
      </w:r>
      <w:r>
        <w:rPr>
          <w:rFonts w:hint="eastAsia"/>
          <w:sz w:val="24"/>
          <w:szCs w:val="24"/>
        </w:rPr>
        <w:t>021</w:t>
      </w:r>
      <w:r>
        <w:rPr>
          <w:rFonts w:hint="eastAsia"/>
          <w:sz w:val="24"/>
          <w:szCs w:val="24"/>
        </w:rPr>
        <w:t>）</w:t>
      </w:r>
      <w:r>
        <w:rPr>
          <w:rFonts w:hint="eastAsia"/>
          <w:sz w:val="24"/>
          <w:szCs w:val="24"/>
        </w:rPr>
        <w:t>20835879</w:t>
      </w:r>
    </w:p>
    <w:p w:rsidR="00783788" w:rsidRDefault="002C6E18">
      <w:pPr>
        <w:spacing w:line="360" w:lineRule="auto"/>
        <w:ind w:firstLineChars="200" w:firstLine="480"/>
        <w:rPr>
          <w:sz w:val="24"/>
          <w:szCs w:val="24"/>
        </w:rPr>
      </w:pPr>
      <w:r>
        <w:rPr>
          <w:rFonts w:hint="eastAsia"/>
          <w:sz w:val="24"/>
          <w:szCs w:val="24"/>
        </w:rPr>
        <w:t>联系人：周轶</w:t>
      </w:r>
    </w:p>
    <w:p w:rsidR="00783788" w:rsidRDefault="002C6E18">
      <w:pPr>
        <w:spacing w:line="360" w:lineRule="auto"/>
        <w:ind w:firstLineChars="200" w:firstLine="480"/>
        <w:rPr>
          <w:sz w:val="24"/>
          <w:szCs w:val="24"/>
        </w:rPr>
      </w:pPr>
      <w:r>
        <w:rPr>
          <w:rFonts w:hint="eastAsia"/>
          <w:sz w:val="24"/>
          <w:szCs w:val="24"/>
        </w:rPr>
        <w:t>客户服务电话：</w:t>
      </w:r>
      <w:r>
        <w:rPr>
          <w:rFonts w:hint="eastAsia"/>
          <w:sz w:val="24"/>
          <w:szCs w:val="24"/>
        </w:rPr>
        <w:t>4009200022</w:t>
      </w:r>
    </w:p>
    <w:p w:rsidR="00783788" w:rsidRDefault="002C6E18">
      <w:pPr>
        <w:spacing w:line="360" w:lineRule="auto"/>
        <w:ind w:firstLineChars="200" w:firstLine="480"/>
        <w:rPr>
          <w:sz w:val="24"/>
          <w:szCs w:val="24"/>
        </w:rPr>
      </w:pPr>
      <w:r>
        <w:rPr>
          <w:rFonts w:hint="eastAsia"/>
          <w:sz w:val="24"/>
          <w:szCs w:val="24"/>
        </w:rPr>
        <w:t>网址：</w:t>
      </w:r>
      <w:r>
        <w:rPr>
          <w:rFonts w:hint="eastAsia"/>
          <w:sz w:val="24"/>
          <w:szCs w:val="24"/>
        </w:rPr>
        <w:t>http://licaike.hexun.com/</w:t>
      </w:r>
    </w:p>
    <w:p w:rsidR="00783788" w:rsidRDefault="002C6E18">
      <w:pPr>
        <w:spacing w:line="360" w:lineRule="auto"/>
        <w:ind w:firstLineChars="200" w:firstLine="480"/>
        <w:rPr>
          <w:sz w:val="24"/>
          <w:szCs w:val="24"/>
        </w:rPr>
      </w:pPr>
      <w:r>
        <w:rPr>
          <w:rFonts w:hint="eastAsia"/>
          <w:sz w:val="24"/>
          <w:szCs w:val="24"/>
        </w:rPr>
        <w:t>（</w:t>
      </w:r>
      <w:r>
        <w:rPr>
          <w:rFonts w:hint="eastAsia"/>
          <w:sz w:val="24"/>
          <w:szCs w:val="24"/>
        </w:rPr>
        <w:t>34</w:t>
      </w:r>
      <w:r>
        <w:rPr>
          <w:rFonts w:hint="eastAsia"/>
          <w:sz w:val="24"/>
          <w:szCs w:val="24"/>
        </w:rPr>
        <w:t>）上海天天基金销售有限公司</w:t>
      </w:r>
      <w:r>
        <w:rPr>
          <w:rFonts w:hint="eastAsia"/>
          <w:sz w:val="24"/>
          <w:szCs w:val="24"/>
        </w:rPr>
        <w:t xml:space="preserve"> </w:t>
      </w:r>
    </w:p>
    <w:p w:rsidR="00783788" w:rsidRDefault="002C6E18">
      <w:pPr>
        <w:spacing w:line="360" w:lineRule="auto"/>
        <w:ind w:firstLineChars="200" w:firstLine="480"/>
        <w:rPr>
          <w:sz w:val="24"/>
          <w:szCs w:val="24"/>
        </w:rPr>
      </w:pPr>
      <w:r>
        <w:rPr>
          <w:rFonts w:hint="eastAsia"/>
          <w:sz w:val="24"/>
          <w:szCs w:val="24"/>
        </w:rPr>
        <w:t>住所：上海市徐汇区龙田路</w:t>
      </w:r>
      <w:r>
        <w:rPr>
          <w:rFonts w:hint="eastAsia"/>
          <w:sz w:val="24"/>
          <w:szCs w:val="24"/>
        </w:rPr>
        <w:t>190</w:t>
      </w:r>
      <w:r>
        <w:rPr>
          <w:rFonts w:hint="eastAsia"/>
          <w:sz w:val="24"/>
          <w:szCs w:val="24"/>
        </w:rPr>
        <w:t>号</w:t>
      </w:r>
      <w:r>
        <w:rPr>
          <w:rFonts w:hint="eastAsia"/>
          <w:sz w:val="24"/>
          <w:szCs w:val="24"/>
        </w:rPr>
        <w:t>2</w:t>
      </w:r>
      <w:r>
        <w:rPr>
          <w:rFonts w:hint="eastAsia"/>
          <w:sz w:val="24"/>
          <w:szCs w:val="24"/>
        </w:rPr>
        <w:t>号楼</w:t>
      </w:r>
      <w:r>
        <w:rPr>
          <w:rFonts w:hint="eastAsia"/>
          <w:sz w:val="24"/>
          <w:szCs w:val="24"/>
        </w:rPr>
        <w:t>2</w:t>
      </w:r>
      <w:r>
        <w:rPr>
          <w:rFonts w:hint="eastAsia"/>
          <w:sz w:val="24"/>
          <w:szCs w:val="24"/>
        </w:rPr>
        <w:t>层</w:t>
      </w:r>
      <w:r>
        <w:rPr>
          <w:rFonts w:hint="eastAsia"/>
          <w:sz w:val="24"/>
          <w:szCs w:val="24"/>
        </w:rPr>
        <w:t xml:space="preserve"> </w:t>
      </w:r>
    </w:p>
    <w:p w:rsidR="00783788" w:rsidRDefault="002C6E18">
      <w:pPr>
        <w:spacing w:line="360" w:lineRule="auto"/>
        <w:ind w:firstLineChars="200" w:firstLine="480"/>
        <w:rPr>
          <w:sz w:val="24"/>
          <w:szCs w:val="24"/>
        </w:rPr>
      </w:pPr>
      <w:r>
        <w:rPr>
          <w:rFonts w:hint="eastAsia"/>
          <w:sz w:val="24"/>
          <w:szCs w:val="24"/>
        </w:rPr>
        <w:t>办公地址：上海市徐汇区龙田路</w:t>
      </w:r>
      <w:r>
        <w:rPr>
          <w:rFonts w:hint="eastAsia"/>
          <w:sz w:val="24"/>
          <w:szCs w:val="24"/>
        </w:rPr>
        <w:t>195</w:t>
      </w:r>
      <w:r>
        <w:rPr>
          <w:rFonts w:hint="eastAsia"/>
          <w:sz w:val="24"/>
          <w:szCs w:val="24"/>
        </w:rPr>
        <w:t>号</w:t>
      </w:r>
      <w:r>
        <w:rPr>
          <w:rFonts w:hint="eastAsia"/>
          <w:sz w:val="24"/>
          <w:szCs w:val="24"/>
        </w:rPr>
        <w:t>3C</w:t>
      </w:r>
      <w:r>
        <w:rPr>
          <w:rFonts w:hint="eastAsia"/>
          <w:sz w:val="24"/>
          <w:szCs w:val="24"/>
        </w:rPr>
        <w:t>座</w:t>
      </w:r>
      <w:r>
        <w:rPr>
          <w:rFonts w:hint="eastAsia"/>
          <w:sz w:val="24"/>
          <w:szCs w:val="24"/>
        </w:rPr>
        <w:t>10</w:t>
      </w:r>
      <w:r>
        <w:rPr>
          <w:rFonts w:hint="eastAsia"/>
          <w:sz w:val="24"/>
          <w:szCs w:val="24"/>
        </w:rPr>
        <w:t>楼</w:t>
      </w:r>
    </w:p>
    <w:p w:rsidR="00783788" w:rsidRDefault="002C6E18">
      <w:pPr>
        <w:spacing w:line="360" w:lineRule="auto"/>
        <w:ind w:firstLineChars="200" w:firstLine="480"/>
        <w:rPr>
          <w:sz w:val="24"/>
          <w:szCs w:val="24"/>
        </w:rPr>
      </w:pPr>
      <w:r>
        <w:rPr>
          <w:rFonts w:hint="eastAsia"/>
          <w:sz w:val="24"/>
          <w:szCs w:val="24"/>
        </w:rPr>
        <w:t>法定代表人：其实</w:t>
      </w:r>
    </w:p>
    <w:p w:rsidR="00783788" w:rsidRDefault="002C6E18">
      <w:pPr>
        <w:spacing w:line="360" w:lineRule="auto"/>
        <w:ind w:firstLineChars="200" w:firstLine="480"/>
        <w:rPr>
          <w:sz w:val="24"/>
          <w:szCs w:val="24"/>
        </w:rPr>
      </w:pPr>
      <w:r>
        <w:rPr>
          <w:rFonts w:hint="eastAsia"/>
          <w:sz w:val="24"/>
          <w:szCs w:val="24"/>
        </w:rPr>
        <w:t>电话：（</w:t>
      </w:r>
      <w:r>
        <w:rPr>
          <w:rFonts w:hint="eastAsia"/>
          <w:sz w:val="24"/>
          <w:szCs w:val="24"/>
        </w:rPr>
        <w:t>021</w:t>
      </w:r>
      <w:r>
        <w:rPr>
          <w:rFonts w:hint="eastAsia"/>
          <w:sz w:val="24"/>
          <w:szCs w:val="24"/>
        </w:rPr>
        <w:t>）</w:t>
      </w:r>
      <w:r>
        <w:rPr>
          <w:rFonts w:hint="eastAsia"/>
          <w:sz w:val="24"/>
          <w:szCs w:val="24"/>
        </w:rPr>
        <w:t>54509998</w:t>
      </w:r>
    </w:p>
    <w:p w:rsidR="00783788" w:rsidRDefault="002C6E18">
      <w:pPr>
        <w:spacing w:line="360" w:lineRule="auto"/>
        <w:ind w:firstLineChars="200" w:firstLine="480"/>
        <w:rPr>
          <w:sz w:val="24"/>
          <w:szCs w:val="24"/>
        </w:rPr>
      </w:pPr>
      <w:r>
        <w:rPr>
          <w:rFonts w:hint="eastAsia"/>
          <w:sz w:val="24"/>
          <w:szCs w:val="24"/>
        </w:rPr>
        <w:t>传真：（</w:t>
      </w:r>
      <w:r>
        <w:rPr>
          <w:rFonts w:hint="eastAsia"/>
          <w:sz w:val="24"/>
          <w:szCs w:val="24"/>
        </w:rPr>
        <w:t>021</w:t>
      </w:r>
      <w:r>
        <w:rPr>
          <w:rFonts w:hint="eastAsia"/>
          <w:sz w:val="24"/>
          <w:szCs w:val="24"/>
        </w:rPr>
        <w:t>）</w:t>
      </w:r>
      <w:r>
        <w:rPr>
          <w:rFonts w:hint="eastAsia"/>
          <w:sz w:val="24"/>
          <w:szCs w:val="24"/>
        </w:rPr>
        <w:t>64385308</w:t>
      </w:r>
    </w:p>
    <w:p w:rsidR="00783788" w:rsidRDefault="002C6E18">
      <w:pPr>
        <w:spacing w:line="360" w:lineRule="auto"/>
        <w:ind w:firstLineChars="200" w:firstLine="480"/>
        <w:rPr>
          <w:sz w:val="24"/>
          <w:szCs w:val="24"/>
        </w:rPr>
      </w:pPr>
      <w:r>
        <w:rPr>
          <w:rFonts w:hint="eastAsia"/>
          <w:sz w:val="24"/>
          <w:szCs w:val="24"/>
        </w:rPr>
        <w:t>联系人：潘世友</w:t>
      </w:r>
    </w:p>
    <w:p w:rsidR="00783788" w:rsidRDefault="002C6E18">
      <w:pPr>
        <w:spacing w:line="360" w:lineRule="auto"/>
        <w:ind w:firstLineChars="200" w:firstLine="480"/>
        <w:rPr>
          <w:sz w:val="24"/>
          <w:szCs w:val="24"/>
        </w:rPr>
      </w:pPr>
      <w:r>
        <w:rPr>
          <w:rFonts w:hint="eastAsia"/>
          <w:sz w:val="24"/>
          <w:szCs w:val="24"/>
        </w:rPr>
        <w:t>客户服务电话：</w:t>
      </w:r>
      <w:r>
        <w:rPr>
          <w:rFonts w:hint="eastAsia"/>
          <w:sz w:val="24"/>
          <w:szCs w:val="24"/>
        </w:rPr>
        <w:t>400-1818-188</w:t>
      </w:r>
    </w:p>
    <w:p w:rsidR="00783788" w:rsidRDefault="002C6E18">
      <w:pPr>
        <w:spacing w:line="360" w:lineRule="auto"/>
        <w:ind w:firstLineChars="200" w:firstLine="480"/>
        <w:rPr>
          <w:sz w:val="24"/>
          <w:szCs w:val="24"/>
        </w:rPr>
      </w:pPr>
      <w:r>
        <w:rPr>
          <w:rFonts w:hint="eastAsia"/>
          <w:sz w:val="24"/>
          <w:szCs w:val="24"/>
        </w:rPr>
        <w:t>网址：</w:t>
      </w:r>
      <w:r>
        <w:rPr>
          <w:rFonts w:hint="eastAsia"/>
          <w:sz w:val="24"/>
          <w:szCs w:val="24"/>
        </w:rPr>
        <w:t>www.1234567.com.cn</w:t>
      </w:r>
    </w:p>
    <w:p w:rsidR="00783788" w:rsidRDefault="002C6E18">
      <w:pPr>
        <w:spacing w:line="360" w:lineRule="auto"/>
        <w:ind w:firstLineChars="200" w:firstLine="480"/>
        <w:rPr>
          <w:sz w:val="24"/>
          <w:szCs w:val="24"/>
        </w:rPr>
      </w:pPr>
      <w:r>
        <w:rPr>
          <w:rFonts w:hint="eastAsia"/>
          <w:sz w:val="24"/>
          <w:szCs w:val="24"/>
        </w:rPr>
        <w:t>（</w:t>
      </w:r>
      <w:r>
        <w:rPr>
          <w:rFonts w:hint="eastAsia"/>
          <w:sz w:val="24"/>
          <w:szCs w:val="24"/>
        </w:rPr>
        <w:t>35</w:t>
      </w:r>
      <w:r>
        <w:rPr>
          <w:rFonts w:hint="eastAsia"/>
          <w:sz w:val="24"/>
          <w:szCs w:val="24"/>
        </w:rPr>
        <w:t>）北京钱景财富投资管理有限公司</w:t>
      </w:r>
      <w:r>
        <w:rPr>
          <w:rFonts w:hint="eastAsia"/>
          <w:sz w:val="24"/>
          <w:szCs w:val="24"/>
        </w:rPr>
        <w:t xml:space="preserve"> </w:t>
      </w:r>
    </w:p>
    <w:p w:rsidR="00783788" w:rsidRDefault="002C6E18">
      <w:pPr>
        <w:spacing w:line="360" w:lineRule="auto"/>
        <w:ind w:firstLineChars="200" w:firstLine="480"/>
        <w:rPr>
          <w:sz w:val="24"/>
          <w:szCs w:val="24"/>
        </w:rPr>
      </w:pPr>
      <w:r>
        <w:rPr>
          <w:rFonts w:hint="eastAsia"/>
          <w:sz w:val="24"/>
          <w:szCs w:val="24"/>
        </w:rPr>
        <w:t>住所：北京市海淀区丹棱街</w:t>
      </w:r>
      <w:r>
        <w:rPr>
          <w:rFonts w:hint="eastAsia"/>
          <w:sz w:val="24"/>
          <w:szCs w:val="24"/>
        </w:rPr>
        <w:t>6</w:t>
      </w:r>
      <w:r>
        <w:rPr>
          <w:rFonts w:hint="eastAsia"/>
          <w:sz w:val="24"/>
          <w:szCs w:val="24"/>
        </w:rPr>
        <w:t>幢</w:t>
      </w:r>
      <w:r>
        <w:rPr>
          <w:rFonts w:hint="eastAsia"/>
          <w:sz w:val="24"/>
          <w:szCs w:val="24"/>
        </w:rPr>
        <w:t>1</w:t>
      </w:r>
      <w:r>
        <w:rPr>
          <w:rFonts w:hint="eastAsia"/>
          <w:sz w:val="24"/>
          <w:szCs w:val="24"/>
        </w:rPr>
        <w:t>号</w:t>
      </w:r>
      <w:r>
        <w:rPr>
          <w:rFonts w:hint="eastAsia"/>
          <w:sz w:val="24"/>
          <w:szCs w:val="24"/>
        </w:rPr>
        <w:t>9</w:t>
      </w:r>
      <w:r>
        <w:rPr>
          <w:rFonts w:hint="eastAsia"/>
          <w:sz w:val="24"/>
          <w:szCs w:val="24"/>
        </w:rPr>
        <w:t>层</w:t>
      </w:r>
      <w:r>
        <w:rPr>
          <w:rFonts w:hint="eastAsia"/>
          <w:sz w:val="24"/>
          <w:szCs w:val="24"/>
        </w:rPr>
        <w:t>1008-1012</w:t>
      </w:r>
    </w:p>
    <w:p w:rsidR="00783788" w:rsidRDefault="002C6E18">
      <w:pPr>
        <w:spacing w:line="360" w:lineRule="auto"/>
        <w:ind w:firstLineChars="200" w:firstLine="480"/>
        <w:rPr>
          <w:sz w:val="24"/>
          <w:szCs w:val="24"/>
        </w:rPr>
      </w:pPr>
      <w:r>
        <w:rPr>
          <w:rFonts w:hint="eastAsia"/>
          <w:sz w:val="24"/>
          <w:szCs w:val="24"/>
        </w:rPr>
        <w:t>办公地址：北京市海淀区丹棱街</w:t>
      </w:r>
      <w:r>
        <w:rPr>
          <w:rFonts w:hint="eastAsia"/>
          <w:sz w:val="24"/>
          <w:szCs w:val="24"/>
        </w:rPr>
        <w:t>6</w:t>
      </w:r>
      <w:r>
        <w:rPr>
          <w:rFonts w:hint="eastAsia"/>
          <w:sz w:val="24"/>
          <w:szCs w:val="24"/>
        </w:rPr>
        <w:t>幢</w:t>
      </w:r>
      <w:r>
        <w:rPr>
          <w:rFonts w:hint="eastAsia"/>
          <w:sz w:val="24"/>
          <w:szCs w:val="24"/>
        </w:rPr>
        <w:t>1</w:t>
      </w:r>
      <w:r>
        <w:rPr>
          <w:rFonts w:hint="eastAsia"/>
          <w:sz w:val="24"/>
          <w:szCs w:val="24"/>
        </w:rPr>
        <w:t>号</w:t>
      </w:r>
      <w:r>
        <w:rPr>
          <w:rFonts w:hint="eastAsia"/>
          <w:sz w:val="24"/>
          <w:szCs w:val="24"/>
        </w:rPr>
        <w:t>9</w:t>
      </w:r>
      <w:r>
        <w:rPr>
          <w:rFonts w:hint="eastAsia"/>
          <w:sz w:val="24"/>
          <w:szCs w:val="24"/>
        </w:rPr>
        <w:t>层</w:t>
      </w:r>
      <w:r>
        <w:rPr>
          <w:rFonts w:hint="eastAsia"/>
          <w:sz w:val="24"/>
          <w:szCs w:val="24"/>
        </w:rPr>
        <w:t>1008-1012</w:t>
      </w:r>
    </w:p>
    <w:p w:rsidR="00783788" w:rsidRDefault="002C6E18">
      <w:pPr>
        <w:spacing w:line="360" w:lineRule="auto"/>
        <w:ind w:firstLineChars="200" w:firstLine="480"/>
        <w:rPr>
          <w:sz w:val="24"/>
          <w:szCs w:val="24"/>
        </w:rPr>
      </w:pPr>
      <w:r>
        <w:rPr>
          <w:rFonts w:hint="eastAsia"/>
          <w:sz w:val="24"/>
          <w:szCs w:val="24"/>
        </w:rPr>
        <w:t>法定代表人：赵荣春</w:t>
      </w:r>
    </w:p>
    <w:p w:rsidR="00783788" w:rsidRDefault="002C6E18">
      <w:pPr>
        <w:spacing w:line="360" w:lineRule="auto"/>
        <w:ind w:firstLineChars="200" w:firstLine="480"/>
        <w:rPr>
          <w:sz w:val="24"/>
          <w:szCs w:val="24"/>
        </w:rPr>
      </w:pPr>
      <w:r>
        <w:rPr>
          <w:rFonts w:hint="eastAsia"/>
          <w:sz w:val="24"/>
          <w:szCs w:val="24"/>
        </w:rPr>
        <w:t>电话：（</w:t>
      </w:r>
      <w:r>
        <w:rPr>
          <w:rFonts w:hint="eastAsia"/>
          <w:sz w:val="24"/>
          <w:szCs w:val="24"/>
        </w:rPr>
        <w:t>010</w:t>
      </w:r>
      <w:r>
        <w:rPr>
          <w:rFonts w:hint="eastAsia"/>
          <w:sz w:val="24"/>
          <w:szCs w:val="24"/>
        </w:rPr>
        <w:t>）</w:t>
      </w:r>
      <w:r>
        <w:rPr>
          <w:rFonts w:hint="eastAsia"/>
          <w:sz w:val="24"/>
          <w:szCs w:val="24"/>
        </w:rPr>
        <w:t>57418829</w:t>
      </w:r>
    </w:p>
    <w:p w:rsidR="00783788" w:rsidRDefault="002C6E18">
      <w:pPr>
        <w:spacing w:line="360" w:lineRule="auto"/>
        <w:ind w:firstLineChars="200" w:firstLine="480"/>
        <w:rPr>
          <w:sz w:val="24"/>
          <w:szCs w:val="24"/>
        </w:rPr>
      </w:pPr>
      <w:r>
        <w:rPr>
          <w:rFonts w:hint="eastAsia"/>
          <w:sz w:val="24"/>
          <w:szCs w:val="24"/>
        </w:rPr>
        <w:t>传真：（</w:t>
      </w:r>
      <w:r>
        <w:rPr>
          <w:rFonts w:hint="eastAsia"/>
          <w:sz w:val="24"/>
          <w:szCs w:val="24"/>
        </w:rPr>
        <w:t>010</w:t>
      </w:r>
      <w:r>
        <w:rPr>
          <w:rFonts w:hint="eastAsia"/>
          <w:sz w:val="24"/>
          <w:szCs w:val="24"/>
        </w:rPr>
        <w:t>）</w:t>
      </w:r>
      <w:r>
        <w:rPr>
          <w:rFonts w:hint="eastAsia"/>
          <w:sz w:val="24"/>
          <w:szCs w:val="24"/>
        </w:rPr>
        <w:t>57569671</w:t>
      </w:r>
    </w:p>
    <w:p w:rsidR="00783788" w:rsidRDefault="002C6E18">
      <w:pPr>
        <w:spacing w:line="360" w:lineRule="auto"/>
        <w:ind w:firstLineChars="200" w:firstLine="480"/>
        <w:rPr>
          <w:sz w:val="24"/>
          <w:szCs w:val="24"/>
        </w:rPr>
      </w:pPr>
      <w:r>
        <w:rPr>
          <w:rFonts w:hint="eastAsia"/>
          <w:sz w:val="24"/>
          <w:szCs w:val="24"/>
        </w:rPr>
        <w:t>联系人：</w:t>
      </w:r>
      <w:r>
        <w:rPr>
          <w:rFonts w:hint="eastAsia"/>
          <w:sz w:val="24"/>
          <w:szCs w:val="24"/>
        </w:rPr>
        <w:t xml:space="preserve"> </w:t>
      </w:r>
      <w:r>
        <w:rPr>
          <w:rFonts w:hint="eastAsia"/>
          <w:sz w:val="24"/>
          <w:szCs w:val="24"/>
        </w:rPr>
        <w:t>魏争</w:t>
      </w:r>
    </w:p>
    <w:p w:rsidR="00783788" w:rsidRDefault="002C6E18">
      <w:pPr>
        <w:spacing w:line="360" w:lineRule="auto"/>
        <w:ind w:firstLineChars="200" w:firstLine="480"/>
        <w:rPr>
          <w:sz w:val="24"/>
          <w:szCs w:val="24"/>
        </w:rPr>
      </w:pPr>
      <w:r>
        <w:rPr>
          <w:rFonts w:hint="eastAsia"/>
          <w:sz w:val="24"/>
          <w:szCs w:val="24"/>
        </w:rPr>
        <w:t>客户服务电话：</w:t>
      </w:r>
      <w:r>
        <w:rPr>
          <w:rFonts w:hint="eastAsia"/>
          <w:sz w:val="24"/>
          <w:szCs w:val="24"/>
        </w:rPr>
        <w:t xml:space="preserve"> 400-678-5095</w:t>
      </w:r>
    </w:p>
    <w:p w:rsidR="00783788" w:rsidRDefault="002C6E18">
      <w:pPr>
        <w:spacing w:line="360" w:lineRule="auto"/>
        <w:ind w:firstLineChars="200" w:firstLine="480"/>
        <w:rPr>
          <w:sz w:val="24"/>
          <w:szCs w:val="24"/>
        </w:rPr>
      </w:pPr>
      <w:r>
        <w:rPr>
          <w:rFonts w:hint="eastAsia"/>
          <w:sz w:val="24"/>
          <w:szCs w:val="24"/>
        </w:rPr>
        <w:t>网址：</w:t>
      </w:r>
      <w:r>
        <w:rPr>
          <w:rFonts w:hint="eastAsia"/>
          <w:sz w:val="24"/>
          <w:szCs w:val="24"/>
        </w:rPr>
        <w:t>www.niuji.net</w:t>
      </w:r>
    </w:p>
    <w:p w:rsidR="00783788" w:rsidRDefault="002C6E18">
      <w:pPr>
        <w:spacing w:line="360" w:lineRule="auto"/>
        <w:ind w:firstLineChars="200" w:firstLine="480"/>
        <w:rPr>
          <w:sz w:val="24"/>
          <w:szCs w:val="24"/>
        </w:rPr>
      </w:pPr>
      <w:r>
        <w:rPr>
          <w:rFonts w:hint="eastAsia"/>
          <w:sz w:val="24"/>
          <w:szCs w:val="24"/>
        </w:rPr>
        <w:t>（</w:t>
      </w:r>
      <w:r>
        <w:rPr>
          <w:rFonts w:hint="eastAsia"/>
          <w:sz w:val="24"/>
          <w:szCs w:val="24"/>
        </w:rPr>
        <w:t>36</w:t>
      </w:r>
      <w:r>
        <w:rPr>
          <w:rFonts w:hint="eastAsia"/>
          <w:sz w:val="24"/>
          <w:szCs w:val="24"/>
        </w:rPr>
        <w:t>）深圳市新兰德证券投资咨询有限公司</w:t>
      </w:r>
    </w:p>
    <w:p w:rsidR="00783788" w:rsidRDefault="002C6E18">
      <w:pPr>
        <w:spacing w:line="360" w:lineRule="auto"/>
        <w:ind w:firstLineChars="200" w:firstLine="480"/>
        <w:rPr>
          <w:sz w:val="24"/>
          <w:szCs w:val="24"/>
        </w:rPr>
      </w:pPr>
      <w:r>
        <w:rPr>
          <w:rFonts w:hint="eastAsia"/>
          <w:sz w:val="24"/>
          <w:szCs w:val="24"/>
        </w:rPr>
        <w:t>住所：深圳市福田区华强北路赛格科技园</w:t>
      </w:r>
      <w:r>
        <w:rPr>
          <w:rFonts w:hint="eastAsia"/>
          <w:sz w:val="24"/>
          <w:szCs w:val="24"/>
        </w:rPr>
        <w:t>4</w:t>
      </w:r>
      <w:r>
        <w:rPr>
          <w:rFonts w:hint="eastAsia"/>
          <w:sz w:val="24"/>
          <w:szCs w:val="24"/>
        </w:rPr>
        <w:t>栋</w:t>
      </w:r>
      <w:r>
        <w:rPr>
          <w:rFonts w:hint="eastAsia"/>
          <w:sz w:val="24"/>
          <w:szCs w:val="24"/>
        </w:rPr>
        <w:t>10</w:t>
      </w:r>
      <w:r>
        <w:rPr>
          <w:rFonts w:hint="eastAsia"/>
          <w:sz w:val="24"/>
          <w:szCs w:val="24"/>
        </w:rPr>
        <w:t>层</w:t>
      </w:r>
      <w:r>
        <w:rPr>
          <w:rFonts w:hint="eastAsia"/>
          <w:sz w:val="24"/>
          <w:szCs w:val="24"/>
        </w:rPr>
        <w:t>1006#</w:t>
      </w:r>
    </w:p>
    <w:p w:rsidR="00783788" w:rsidRDefault="002C6E18">
      <w:pPr>
        <w:spacing w:line="360" w:lineRule="auto"/>
        <w:ind w:firstLineChars="200" w:firstLine="480"/>
        <w:rPr>
          <w:sz w:val="24"/>
          <w:szCs w:val="24"/>
        </w:rPr>
      </w:pPr>
      <w:r>
        <w:rPr>
          <w:rFonts w:hint="eastAsia"/>
          <w:sz w:val="24"/>
          <w:szCs w:val="24"/>
        </w:rPr>
        <w:t>办公地址：北京市西城区金融大街</w:t>
      </w:r>
      <w:r>
        <w:rPr>
          <w:rFonts w:hint="eastAsia"/>
          <w:sz w:val="24"/>
          <w:szCs w:val="24"/>
        </w:rPr>
        <w:t>35</w:t>
      </w:r>
      <w:r>
        <w:rPr>
          <w:rFonts w:hint="eastAsia"/>
          <w:sz w:val="24"/>
          <w:szCs w:val="24"/>
        </w:rPr>
        <w:t>号国际企业大厦</w:t>
      </w:r>
      <w:r>
        <w:rPr>
          <w:rFonts w:hint="eastAsia"/>
          <w:sz w:val="24"/>
          <w:szCs w:val="24"/>
        </w:rPr>
        <w:t>C</w:t>
      </w:r>
      <w:r>
        <w:rPr>
          <w:rFonts w:hint="eastAsia"/>
          <w:sz w:val="24"/>
          <w:szCs w:val="24"/>
        </w:rPr>
        <w:t>座</w:t>
      </w:r>
      <w:r>
        <w:rPr>
          <w:rFonts w:hint="eastAsia"/>
          <w:sz w:val="24"/>
          <w:szCs w:val="24"/>
        </w:rPr>
        <w:t>9</w:t>
      </w:r>
      <w:r>
        <w:rPr>
          <w:rFonts w:hint="eastAsia"/>
          <w:sz w:val="24"/>
          <w:szCs w:val="24"/>
        </w:rPr>
        <w:t>层</w:t>
      </w:r>
    </w:p>
    <w:p w:rsidR="00783788" w:rsidRDefault="002C6E18">
      <w:pPr>
        <w:spacing w:line="360" w:lineRule="auto"/>
        <w:ind w:firstLineChars="200" w:firstLine="480"/>
        <w:rPr>
          <w:sz w:val="24"/>
          <w:szCs w:val="24"/>
        </w:rPr>
      </w:pPr>
      <w:r>
        <w:rPr>
          <w:rFonts w:hint="eastAsia"/>
          <w:sz w:val="24"/>
          <w:szCs w:val="24"/>
        </w:rPr>
        <w:t>法定代表人：陈操</w:t>
      </w:r>
    </w:p>
    <w:p w:rsidR="00783788" w:rsidRDefault="002C6E18">
      <w:pPr>
        <w:spacing w:line="360" w:lineRule="auto"/>
        <w:ind w:firstLineChars="200" w:firstLine="480"/>
        <w:rPr>
          <w:sz w:val="24"/>
          <w:szCs w:val="24"/>
        </w:rPr>
      </w:pPr>
      <w:r>
        <w:rPr>
          <w:rFonts w:hint="eastAsia"/>
          <w:sz w:val="24"/>
          <w:szCs w:val="24"/>
        </w:rPr>
        <w:t>电话：（</w:t>
      </w:r>
      <w:r>
        <w:rPr>
          <w:rFonts w:hint="eastAsia"/>
          <w:sz w:val="24"/>
          <w:szCs w:val="24"/>
        </w:rPr>
        <w:t>010</w:t>
      </w:r>
      <w:r>
        <w:rPr>
          <w:rFonts w:hint="eastAsia"/>
          <w:sz w:val="24"/>
          <w:szCs w:val="24"/>
        </w:rPr>
        <w:t>）</w:t>
      </w:r>
      <w:r>
        <w:rPr>
          <w:rFonts w:hint="eastAsia"/>
          <w:sz w:val="24"/>
          <w:szCs w:val="24"/>
        </w:rPr>
        <w:t>58325395</w:t>
      </w:r>
    </w:p>
    <w:p w:rsidR="00783788" w:rsidRDefault="002C6E18">
      <w:pPr>
        <w:spacing w:line="360" w:lineRule="auto"/>
        <w:ind w:firstLineChars="200" w:firstLine="480"/>
        <w:rPr>
          <w:sz w:val="24"/>
          <w:szCs w:val="24"/>
        </w:rPr>
      </w:pPr>
      <w:r>
        <w:rPr>
          <w:rFonts w:hint="eastAsia"/>
          <w:sz w:val="24"/>
          <w:szCs w:val="24"/>
        </w:rPr>
        <w:t>传真：（</w:t>
      </w:r>
      <w:r>
        <w:rPr>
          <w:rFonts w:hint="eastAsia"/>
          <w:sz w:val="24"/>
          <w:szCs w:val="24"/>
        </w:rPr>
        <w:t>010</w:t>
      </w:r>
      <w:r>
        <w:rPr>
          <w:rFonts w:hint="eastAsia"/>
          <w:sz w:val="24"/>
          <w:szCs w:val="24"/>
        </w:rPr>
        <w:t>）</w:t>
      </w:r>
      <w:r>
        <w:rPr>
          <w:rFonts w:hint="eastAsia"/>
          <w:sz w:val="24"/>
          <w:szCs w:val="24"/>
        </w:rPr>
        <w:t>58325282</w:t>
      </w:r>
    </w:p>
    <w:p w:rsidR="00783788" w:rsidRDefault="002C6E18">
      <w:pPr>
        <w:spacing w:line="360" w:lineRule="auto"/>
        <w:ind w:firstLineChars="200" w:firstLine="480"/>
        <w:rPr>
          <w:sz w:val="24"/>
          <w:szCs w:val="24"/>
        </w:rPr>
      </w:pPr>
      <w:r>
        <w:rPr>
          <w:rFonts w:hint="eastAsia"/>
          <w:sz w:val="24"/>
          <w:szCs w:val="24"/>
        </w:rPr>
        <w:t>联系人：刘宝文</w:t>
      </w:r>
      <w:r>
        <w:rPr>
          <w:rFonts w:hint="eastAsia"/>
          <w:sz w:val="24"/>
          <w:szCs w:val="24"/>
        </w:rPr>
        <w:t xml:space="preserve"> </w:t>
      </w:r>
    </w:p>
    <w:p w:rsidR="00783788" w:rsidRDefault="002C6E18">
      <w:pPr>
        <w:spacing w:line="360" w:lineRule="auto"/>
        <w:ind w:firstLineChars="200" w:firstLine="480"/>
        <w:rPr>
          <w:sz w:val="24"/>
          <w:szCs w:val="24"/>
        </w:rPr>
      </w:pPr>
      <w:r>
        <w:rPr>
          <w:rFonts w:hint="eastAsia"/>
          <w:sz w:val="24"/>
          <w:szCs w:val="24"/>
        </w:rPr>
        <w:t>客户服务电话：</w:t>
      </w:r>
      <w:r>
        <w:rPr>
          <w:rFonts w:hint="eastAsia"/>
          <w:sz w:val="24"/>
          <w:szCs w:val="24"/>
        </w:rPr>
        <w:t>400-850-7771</w:t>
      </w:r>
    </w:p>
    <w:p w:rsidR="00783788" w:rsidRDefault="002C6E18">
      <w:pPr>
        <w:spacing w:line="360" w:lineRule="auto"/>
        <w:ind w:firstLineChars="200" w:firstLine="480"/>
        <w:rPr>
          <w:sz w:val="24"/>
          <w:szCs w:val="24"/>
        </w:rPr>
      </w:pPr>
      <w:r>
        <w:rPr>
          <w:rFonts w:hint="eastAsia"/>
          <w:sz w:val="24"/>
          <w:szCs w:val="24"/>
        </w:rPr>
        <w:t>网址：</w:t>
      </w:r>
      <w:r>
        <w:rPr>
          <w:rFonts w:hint="eastAsia"/>
          <w:sz w:val="24"/>
          <w:szCs w:val="24"/>
        </w:rPr>
        <w:t>http://8.jrj.com.cn/</w:t>
      </w:r>
    </w:p>
    <w:p w:rsidR="00783788" w:rsidRDefault="002C6E18">
      <w:pPr>
        <w:spacing w:line="360" w:lineRule="auto"/>
        <w:ind w:firstLineChars="200" w:firstLine="480"/>
        <w:rPr>
          <w:sz w:val="24"/>
          <w:szCs w:val="24"/>
        </w:rPr>
      </w:pPr>
      <w:r>
        <w:rPr>
          <w:rFonts w:hint="eastAsia"/>
          <w:sz w:val="24"/>
          <w:szCs w:val="24"/>
        </w:rPr>
        <w:t>（</w:t>
      </w:r>
      <w:r>
        <w:rPr>
          <w:rFonts w:hint="eastAsia"/>
          <w:sz w:val="24"/>
          <w:szCs w:val="24"/>
        </w:rPr>
        <w:t>37</w:t>
      </w:r>
      <w:r>
        <w:rPr>
          <w:rFonts w:hint="eastAsia"/>
          <w:sz w:val="24"/>
          <w:szCs w:val="24"/>
        </w:rPr>
        <w:t>）北京展恒基金销售有限公司</w:t>
      </w:r>
    </w:p>
    <w:p w:rsidR="00783788" w:rsidRDefault="002C6E18">
      <w:pPr>
        <w:spacing w:line="360" w:lineRule="auto"/>
        <w:ind w:firstLineChars="200" w:firstLine="480"/>
        <w:rPr>
          <w:sz w:val="24"/>
          <w:szCs w:val="24"/>
        </w:rPr>
      </w:pPr>
      <w:r>
        <w:rPr>
          <w:rFonts w:hint="eastAsia"/>
          <w:sz w:val="24"/>
          <w:szCs w:val="24"/>
        </w:rPr>
        <w:t>住所：北京市顺义区后沙峪镇安富街</w:t>
      </w:r>
      <w:r>
        <w:rPr>
          <w:rFonts w:hint="eastAsia"/>
          <w:sz w:val="24"/>
          <w:szCs w:val="24"/>
        </w:rPr>
        <w:t>6</w:t>
      </w:r>
      <w:r>
        <w:rPr>
          <w:rFonts w:hint="eastAsia"/>
          <w:sz w:val="24"/>
          <w:szCs w:val="24"/>
        </w:rPr>
        <w:t>号</w:t>
      </w:r>
    </w:p>
    <w:p w:rsidR="00783788" w:rsidRDefault="002C6E18">
      <w:pPr>
        <w:spacing w:line="360" w:lineRule="auto"/>
        <w:ind w:firstLineChars="200" w:firstLine="480"/>
        <w:rPr>
          <w:sz w:val="24"/>
          <w:szCs w:val="24"/>
        </w:rPr>
      </w:pPr>
      <w:r>
        <w:rPr>
          <w:rFonts w:hint="eastAsia"/>
          <w:sz w:val="24"/>
          <w:szCs w:val="24"/>
        </w:rPr>
        <w:t>办公地址：北京市朝阳区华严北里</w:t>
      </w:r>
      <w:r>
        <w:rPr>
          <w:rFonts w:hint="eastAsia"/>
          <w:sz w:val="24"/>
          <w:szCs w:val="24"/>
        </w:rPr>
        <w:t>2</w:t>
      </w:r>
      <w:r>
        <w:rPr>
          <w:rFonts w:hint="eastAsia"/>
          <w:sz w:val="24"/>
          <w:szCs w:val="24"/>
        </w:rPr>
        <w:t>号民建大厦</w:t>
      </w:r>
      <w:r>
        <w:rPr>
          <w:rFonts w:hint="eastAsia"/>
          <w:sz w:val="24"/>
          <w:szCs w:val="24"/>
        </w:rPr>
        <w:t>6</w:t>
      </w:r>
      <w:r>
        <w:rPr>
          <w:rFonts w:hint="eastAsia"/>
          <w:sz w:val="24"/>
          <w:szCs w:val="24"/>
        </w:rPr>
        <w:t>层</w:t>
      </w:r>
    </w:p>
    <w:p w:rsidR="00783788" w:rsidRDefault="002C6E18">
      <w:pPr>
        <w:spacing w:line="360" w:lineRule="auto"/>
        <w:ind w:firstLineChars="200" w:firstLine="480"/>
        <w:rPr>
          <w:sz w:val="24"/>
          <w:szCs w:val="24"/>
        </w:rPr>
      </w:pPr>
      <w:r>
        <w:rPr>
          <w:rFonts w:hint="eastAsia"/>
          <w:sz w:val="24"/>
          <w:szCs w:val="24"/>
        </w:rPr>
        <w:t>法定代表人：闫振杰</w:t>
      </w:r>
    </w:p>
    <w:p w:rsidR="00783788" w:rsidRDefault="002C6E18">
      <w:pPr>
        <w:spacing w:line="360" w:lineRule="auto"/>
        <w:ind w:firstLineChars="200" w:firstLine="480"/>
        <w:rPr>
          <w:sz w:val="24"/>
          <w:szCs w:val="24"/>
        </w:rPr>
      </w:pPr>
      <w:r>
        <w:rPr>
          <w:rFonts w:hint="eastAsia"/>
          <w:sz w:val="24"/>
          <w:szCs w:val="24"/>
        </w:rPr>
        <w:t>电话：（</w:t>
      </w:r>
      <w:r>
        <w:rPr>
          <w:rFonts w:hint="eastAsia"/>
          <w:sz w:val="24"/>
          <w:szCs w:val="24"/>
        </w:rPr>
        <w:t>010</w:t>
      </w:r>
      <w:r>
        <w:rPr>
          <w:rFonts w:hint="eastAsia"/>
          <w:sz w:val="24"/>
          <w:szCs w:val="24"/>
        </w:rPr>
        <w:t>）</w:t>
      </w:r>
      <w:r>
        <w:rPr>
          <w:rFonts w:hint="eastAsia"/>
          <w:sz w:val="24"/>
          <w:szCs w:val="24"/>
        </w:rPr>
        <w:t>62020088</w:t>
      </w:r>
    </w:p>
    <w:p w:rsidR="00783788" w:rsidRDefault="002C6E18">
      <w:pPr>
        <w:spacing w:line="360" w:lineRule="auto"/>
        <w:ind w:firstLineChars="200" w:firstLine="480"/>
        <w:rPr>
          <w:sz w:val="24"/>
          <w:szCs w:val="24"/>
        </w:rPr>
      </w:pPr>
      <w:r>
        <w:rPr>
          <w:rFonts w:hint="eastAsia"/>
          <w:sz w:val="24"/>
          <w:szCs w:val="24"/>
        </w:rPr>
        <w:t>传真：（</w:t>
      </w:r>
      <w:r>
        <w:rPr>
          <w:rFonts w:hint="eastAsia"/>
          <w:sz w:val="24"/>
          <w:szCs w:val="24"/>
        </w:rPr>
        <w:t>010</w:t>
      </w:r>
      <w:r>
        <w:rPr>
          <w:rFonts w:hint="eastAsia"/>
          <w:sz w:val="24"/>
          <w:szCs w:val="24"/>
        </w:rPr>
        <w:t>）</w:t>
      </w:r>
      <w:r>
        <w:rPr>
          <w:rFonts w:hint="eastAsia"/>
          <w:sz w:val="24"/>
          <w:szCs w:val="24"/>
        </w:rPr>
        <w:t>62020355</w:t>
      </w:r>
    </w:p>
    <w:p w:rsidR="00783788" w:rsidRDefault="002C6E18">
      <w:pPr>
        <w:spacing w:line="360" w:lineRule="auto"/>
        <w:ind w:firstLineChars="200" w:firstLine="480"/>
        <w:rPr>
          <w:sz w:val="24"/>
          <w:szCs w:val="24"/>
        </w:rPr>
      </w:pPr>
      <w:r>
        <w:rPr>
          <w:rFonts w:hint="eastAsia"/>
          <w:sz w:val="24"/>
          <w:szCs w:val="24"/>
        </w:rPr>
        <w:t>联系人：</w:t>
      </w:r>
      <w:r>
        <w:rPr>
          <w:rFonts w:hint="eastAsia"/>
          <w:sz w:val="24"/>
          <w:szCs w:val="24"/>
        </w:rPr>
        <w:t xml:space="preserve"> </w:t>
      </w:r>
      <w:r>
        <w:rPr>
          <w:rFonts w:hint="eastAsia"/>
          <w:sz w:val="24"/>
          <w:szCs w:val="24"/>
        </w:rPr>
        <w:t>翟飞飞</w:t>
      </w:r>
    </w:p>
    <w:p w:rsidR="00783788" w:rsidRDefault="002C6E18">
      <w:pPr>
        <w:spacing w:line="360" w:lineRule="auto"/>
        <w:ind w:firstLineChars="200" w:firstLine="480"/>
        <w:rPr>
          <w:sz w:val="24"/>
          <w:szCs w:val="24"/>
        </w:rPr>
      </w:pPr>
      <w:r>
        <w:rPr>
          <w:rFonts w:hint="eastAsia"/>
          <w:sz w:val="24"/>
          <w:szCs w:val="24"/>
        </w:rPr>
        <w:t>客户服务电话：</w:t>
      </w:r>
      <w:r>
        <w:rPr>
          <w:rFonts w:hint="eastAsia"/>
          <w:sz w:val="24"/>
          <w:szCs w:val="24"/>
        </w:rPr>
        <w:t>400-888-6661</w:t>
      </w:r>
    </w:p>
    <w:p w:rsidR="00783788" w:rsidRDefault="002C6E18">
      <w:pPr>
        <w:spacing w:line="360" w:lineRule="auto"/>
        <w:ind w:firstLineChars="200" w:firstLine="480"/>
        <w:rPr>
          <w:sz w:val="24"/>
          <w:szCs w:val="24"/>
        </w:rPr>
      </w:pPr>
      <w:r>
        <w:rPr>
          <w:rFonts w:hint="eastAsia"/>
          <w:sz w:val="24"/>
          <w:szCs w:val="24"/>
        </w:rPr>
        <w:t>网址：</w:t>
      </w:r>
      <w:r>
        <w:rPr>
          <w:rFonts w:hint="eastAsia"/>
          <w:sz w:val="24"/>
          <w:szCs w:val="24"/>
        </w:rPr>
        <w:t xml:space="preserve">www.myfund.com </w:t>
      </w:r>
    </w:p>
    <w:p w:rsidR="00783788" w:rsidRDefault="002C6E18">
      <w:pPr>
        <w:spacing w:line="360" w:lineRule="auto"/>
        <w:ind w:firstLineChars="200" w:firstLine="480"/>
        <w:rPr>
          <w:sz w:val="24"/>
          <w:szCs w:val="24"/>
        </w:rPr>
      </w:pPr>
      <w:r>
        <w:rPr>
          <w:rFonts w:hint="eastAsia"/>
          <w:sz w:val="24"/>
          <w:szCs w:val="24"/>
        </w:rPr>
        <w:t>（</w:t>
      </w:r>
      <w:r>
        <w:rPr>
          <w:rFonts w:hint="eastAsia"/>
          <w:sz w:val="24"/>
          <w:szCs w:val="24"/>
        </w:rPr>
        <w:t>38</w:t>
      </w:r>
      <w:r>
        <w:rPr>
          <w:rFonts w:hint="eastAsia"/>
          <w:sz w:val="24"/>
          <w:szCs w:val="24"/>
        </w:rPr>
        <w:t>）一路财富（北京）信息科技有限公司</w:t>
      </w:r>
    </w:p>
    <w:p w:rsidR="00783788" w:rsidRDefault="002C6E18">
      <w:pPr>
        <w:spacing w:line="360" w:lineRule="auto"/>
        <w:ind w:firstLineChars="200" w:firstLine="480"/>
        <w:rPr>
          <w:sz w:val="24"/>
          <w:szCs w:val="24"/>
        </w:rPr>
      </w:pPr>
      <w:r>
        <w:rPr>
          <w:rFonts w:hint="eastAsia"/>
          <w:sz w:val="24"/>
          <w:szCs w:val="24"/>
        </w:rPr>
        <w:t>住所：北京市西城区车公庄大街</w:t>
      </w:r>
      <w:r>
        <w:rPr>
          <w:rFonts w:hint="eastAsia"/>
          <w:sz w:val="24"/>
          <w:szCs w:val="24"/>
        </w:rPr>
        <w:t>9</w:t>
      </w:r>
      <w:r>
        <w:rPr>
          <w:rFonts w:hint="eastAsia"/>
          <w:sz w:val="24"/>
          <w:szCs w:val="24"/>
        </w:rPr>
        <w:t>号五栋大楼</w:t>
      </w:r>
      <w:r>
        <w:rPr>
          <w:rFonts w:hint="eastAsia"/>
          <w:sz w:val="24"/>
          <w:szCs w:val="24"/>
        </w:rPr>
        <w:t>C</w:t>
      </w:r>
      <w:r>
        <w:rPr>
          <w:rFonts w:hint="eastAsia"/>
          <w:sz w:val="24"/>
          <w:szCs w:val="24"/>
        </w:rPr>
        <w:t>座</w:t>
      </w:r>
      <w:r>
        <w:rPr>
          <w:rFonts w:hint="eastAsia"/>
          <w:sz w:val="24"/>
          <w:szCs w:val="24"/>
        </w:rPr>
        <w:t>702</w:t>
      </w:r>
    </w:p>
    <w:p w:rsidR="00783788" w:rsidRDefault="002C6E18">
      <w:pPr>
        <w:spacing w:line="360" w:lineRule="auto"/>
        <w:ind w:firstLineChars="200" w:firstLine="480"/>
        <w:rPr>
          <w:sz w:val="24"/>
          <w:szCs w:val="24"/>
        </w:rPr>
      </w:pPr>
      <w:r>
        <w:rPr>
          <w:rFonts w:hint="eastAsia"/>
          <w:sz w:val="24"/>
          <w:szCs w:val="24"/>
        </w:rPr>
        <w:t>办公地址：北京西城区阜成门大街</w:t>
      </w:r>
      <w:r>
        <w:rPr>
          <w:rFonts w:hint="eastAsia"/>
          <w:sz w:val="24"/>
          <w:szCs w:val="24"/>
        </w:rPr>
        <w:t>2</w:t>
      </w:r>
      <w:r>
        <w:rPr>
          <w:rFonts w:hint="eastAsia"/>
          <w:sz w:val="24"/>
          <w:szCs w:val="24"/>
        </w:rPr>
        <w:t>号万通新世界广场</w:t>
      </w:r>
      <w:r>
        <w:rPr>
          <w:rFonts w:hint="eastAsia"/>
          <w:sz w:val="24"/>
          <w:szCs w:val="24"/>
        </w:rPr>
        <w:t>A</w:t>
      </w:r>
      <w:r>
        <w:rPr>
          <w:rFonts w:hint="eastAsia"/>
          <w:sz w:val="24"/>
          <w:szCs w:val="24"/>
        </w:rPr>
        <w:t>座</w:t>
      </w:r>
      <w:r>
        <w:rPr>
          <w:rFonts w:hint="eastAsia"/>
          <w:sz w:val="24"/>
          <w:szCs w:val="24"/>
        </w:rPr>
        <w:t>22</w:t>
      </w:r>
      <w:r>
        <w:rPr>
          <w:rFonts w:hint="eastAsia"/>
          <w:sz w:val="24"/>
          <w:szCs w:val="24"/>
        </w:rPr>
        <w:t>层</w:t>
      </w:r>
      <w:r>
        <w:rPr>
          <w:rFonts w:hint="eastAsia"/>
          <w:sz w:val="24"/>
          <w:szCs w:val="24"/>
        </w:rPr>
        <w:t>2208</w:t>
      </w:r>
    </w:p>
    <w:p w:rsidR="00783788" w:rsidRDefault="002C6E18">
      <w:pPr>
        <w:spacing w:line="360" w:lineRule="auto"/>
        <w:ind w:firstLineChars="200" w:firstLine="480"/>
        <w:rPr>
          <w:sz w:val="24"/>
          <w:szCs w:val="24"/>
        </w:rPr>
      </w:pPr>
      <w:r>
        <w:rPr>
          <w:rFonts w:hint="eastAsia"/>
          <w:sz w:val="24"/>
          <w:szCs w:val="24"/>
        </w:rPr>
        <w:t>法定代表人：</w:t>
      </w:r>
      <w:r>
        <w:rPr>
          <w:rFonts w:hint="eastAsia"/>
          <w:sz w:val="24"/>
          <w:szCs w:val="24"/>
        </w:rPr>
        <w:t xml:space="preserve"> </w:t>
      </w:r>
      <w:r>
        <w:rPr>
          <w:rFonts w:hint="eastAsia"/>
          <w:sz w:val="24"/>
          <w:szCs w:val="24"/>
        </w:rPr>
        <w:t>吴雪秀</w:t>
      </w:r>
    </w:p>
    <w:p w:rsidR="00783788" w:rsidRDefault="002C6E18">
      <w:pPr>
        <w:spacing w:line="360" w:lineRule="auto"/>
        <w:ind w:firstLineChars="200" w:firstLine="480"/>
        <w:rPr>
          <w:sz w:val="24"/>
          <w:szCs w:val="24"/>
        </w:rPr>
      </w:pPr>
      <w:r>
        <w:rPr>
          <w:rFonts w:hint="eastAsia"/>
          <w:sz w:val="24"/>
          <w:szCs w:val="24"/>
        </w:rPr>
        <w:t>电话：</w:t>
      </w:r>
      <w:r>
        <w:rPr>
          <w:rFonts w:hint="eastAsia"/>
          <w:sz w:val="24"/>
          <w:szCs w:val="24"/>
        </w:rPr>
        <w:t>010-88312877</w:t>
      </w:r>
    </w:p>
    <w:p w:rsidR="00783788" w:rsidRDefault="002C6E18">
      <w:pPr>
        <w:spacing w:line="360" w:lineRule="auto"/>
        <w:ind w:firstLineChars="200" w:firstLine="480"/>
        <w:rPr>
          <w:sz w:val="24"/>
          <w:szCs w:val="24"/>
        </w:rPr>
      </w:pPr>
      <w:r>
        <w:rPr>
          <w:rFonts w:hint="eastAsia"/>
          <w:sz w:val="24"/>
          <w:szCs w:val="24"/>
        </w:rPr>
        <w:t>传真：</w:t>
      </w:r>
      <w:r>
        <w:rPr>
          <w:rFonts w:hint="eastAsia"/>
          <w:sz w:val="24"/>
          <w:szCs w:val="24"/>
        </w:rPr>
        <w:t>010-88312099</w:t>
      </w:r>
    </w:p>
    <w:p w:rsidR="00783788" w:rsidRDefault="002C6E18">
      <w:pPr>
        <w:spacing w:line="360" w:lineRule="auto"/>
        <w:ind w:firstLineChars="200" w:firstLine="480"/>
        <w:rPr>
          <w:sz w:val="24"/>
          <w:szCs w:val="24"/>
        </w:rPr>
      </w:pPr>
      <w:r>
        <w:rPr>
          <w:rFonts w:hint="eastAsia"/>
          <w:sz w:val="24"/>
          <w:szCs w:val="24"/>
        </w:rPr>
        <w:t>联系人：</w:t>
      </w:r>
      <w:r>
        <w:rPr>
          <w:rFonts w:hint="eastAsia"/>
          <w:sz w:val="24"/>
          <w:szCs w:val="24"/>
        </w:rPr>
        <w:t xml:space="preserve"> </w:t>
      </w:r>
      <w:r>
        <w:rPr>
          <w:rFonts w:hint="eastAsia"/>
          <w:sz w:val="24"/>
          <w:szCs w:val="24"/>
        </w:rPr>
        <w:t>苏昊</w:t>
      </w:r>
    </w:p>
    <w:p w:rsidR="00783788" w:rsidRDefault="002C6E18">
      <w:pPr>
        <w:spacing w:line="360" w:lineRule="auto"/>
        <w:ind w:firstLineChars="200" w:firstLine="480"/>
        <w:rPr>
          <w:sz w:val="24"/>
          <w:szCs w:val="24"/>
        </w:rPr>
      </w:pPr>
      <w:r>
        <w:rPr>
          <w:rFonts w:hint="eastAsia"/>
          <w:sz w:val="24"/>
          <w:szCs w:val="24"/>
        </w:rPr>
        <w:t>客户服务电话：</w:t>
      </w:r>
      <w:r>
        <w:rPr>
          <w:rFonts w:hint="eastAsia"/>
          <w:sz w:val="24"/>
          <w:szCs w:val="24"/>
        </w:rPr>
        <w:t>400-001-1566</w:t>
      </w:r>
    </w:p>
    <w:p w:rsidR="00783788" w:rsidRDefault="002C6E18">
      <w:pPr>
        <w:spacing w:line="360" w:lineRule="auto"/>
        <w:ind w:firstLineChars="200" w:firstLine="480"/>
        <w:rPr>
          <w:sz w:val="24"/>
          <w:szCs w:val="24"/>
        </w:rPr>
      </w:pPr>
      <w:r>
        <w:rPr>
          <w:rFonts w:hint="eastAsia"/>
          <w:sz w:val="24"/>
          <w:szCs w:val="24"/>
        </w:rPr>
        <w:t>网址：</w:t>
      </w:r>
      <w:r>
        <w:rPr>
          <w:rFonts w:hint="eastAsia"/>
          <w:sz w:val="24"/>
          <w:szCs w:val="24"/>
        </w:rPr>
        <w:t>http://www.yilucaifu.com/</w:t>
      </w:r>
    </w:p>
    <w:p w:rsidR="00783788" w:rsidRDefault="002C6E18">
      <w:pPr>
        <w:spacing w:line="360" w:lineRule="auto"/>
        <w:ind w:firstLineChars="200" w:firstLine="480"/>
        <w:rPr>
          <w:sz w:val="24"/>
          <w:szCs w:val="24"/>
        </w:rPr>
      </w:pPr>
      <w:r>
        <w:rPr>
          <w:rFonts w:hint="eastAsia"/>
          <w:sz w:val="24"/>
          <w:szCs w:val="24"/>
        </w:rPr>
        <w:t>（</w:t>
      </w:r>
      <w:r>
        <w:rPr>
          <w:rFonts w:hint="eastAsia"/>
          <w:sz w:val="24"/>
          <w:szCs w:val="24"/>
        </w:rPr>
        <w:t>39</w:t>
      </w:r>
      <w:r>
        <w:rPr>
          <w:rFonts w:hint="eastAsia"/>
          <w:sz w:val="24"/>
          <w:szCs w:val="24"/>
        </w:rPr>
        <w:t>）上海大智慧财富管理有限公司</w:t>
      </w:r>
    </w:p>
    <w:p w:rsidR="00783788" w:rsidRDefault="002C6E18">
      <w:pPr>
        <w:spacing w:line="360" w:lineRule="auto"/>
        <w:ind w:firstLineChars="200" w:firstLine="480"/>
        <w:rPr>
          <w:sz w:val="24"/>
          <w:szCs w:val="24"/>
        </w:rPr>
      </w:pPr>
      <w:r>
        <w:rPr>
          <w:rFonts w:hint="eastAsia"/>
          <w:sz w:val="24"/>
          <w:szCs w:val="24"/>
        </w:rPr>
        <w:t>住所：上海市浦东新区杨高南路</w:t>
      </w:r>
      <w:r>
        <w:rPr>
          <w:rFonts w:hint="eastAsia"/>
          <w:sz w:val="24"/>
          <w:szCs w:val="24"/>
        </w:rPr>
        <w:t>428</w:t>
      </w:r>
      <w:r>
        <w:rPr>
          <w:rFonts w:hint="eastAsia"/>
          <w:sz w:val="24"/>
          <w:szCs w:val="24"/>
        </w:rPr>
        <w:t>号</w:t>
      </w:r>
      <w:r>
        <w:rPr>
          <w:rFonts w:hint="eastAsia"/>
          <w:sz w:val="24"/>
          <w:szCs w:val="24"/>
        </w:rPr>
        <w:t>1</w:t>
      </w:r>
      <w:r>
        <w:rPr>
          <w:rFonts w:hint="eastAsia"/>
          <w:sz w:val="24"/>
          <w:szCs w:val="24"/>
        </w:rPr>
        <w:t>号楼</w:t>
      </w:r>
      <w:r>
        <w:rPr>
          <w:rFonts w:hint="eastAsia"/>
          <w:sz w:val="24"/>
          <w:szCs w:val="24"/>
        </w:rPr>
        <w:t>10-11</w:t>
      </w:r>
      <w:r>
        <w:rPr>
          <w:rFonts w:hint="eastAsia"/>
          <w:sz w:val="24"/>
          <w:szCs w:val="24"/>
        </w:rPr>
        <w:t>层</w:t>
      </w:r>
      <w:r>
        <w:rPr>
          <w:rFonts w:hint="eastAsia"/>
          <w:sz w:val="24"/>
          <w:szCs w:val="24"/>
        </w:rPr>
        <w:t xml:space="preserve"> </w:t>
      </w:r>
    </w:p>
    <w:p w:rsidR="00783788" w:rsidRDefault="002C6E18">
      <w:pPr>
        <w:spacing w:line="360" w:lineRule="auto"/>
        <w:ind w:firstLineChars="200" w:firstLine="480"/>
        <w:rPr>
          <w:sz w:val="24"/>
          <w:szCs w:val="24"/>
        </w:rPr>
      </w:pPr>
      <w:r>
        <w:rPr>
          <w:rFonts w:hint="eastAsia"/>
          <w:sz w:val="24"/>
          <w:szCs w:val="24"/>
        </w:rPr>
        <w:t>办公地址：上海市浦东新区杨高南路</w:t>
      </w:r>
      <w:r>
        <w:rPr>
          <w:rFonts w:hint="eastAsia"/>
          <w:sz w:val="24"/>
          <w:szCs w:val="24"/>
        </w:rPr>
        <w:t>428</w:t>
      </w:r>
      <w:r>
        <w:rPr>
          <w:rFonts w:hint="eastAsia"/>
          <w:sz w:val="24"/>
          <w:szCs w:val="24"/>
        </w:rPr>
        <w:t>号</w:t>
      </w:r>
      <w:r>
        <w:rPr>
          <w:rFonts w:hint="eastAsia"/>
          <w:sz w:val="24"/>
          <w:szCs w:val="24"/>
        </w:rPr>
        <w:t>1</w:t>
      </w:r>
      <w:r>
        <w:rPr>
          <w:rFonts w:hint="eastAsia"/>
          <w:sz w:val="24"/>
          <w:szCs w:val="24"/>
        </w:rPr>
        <w:t>号楼</w:t>
      </w:r>
      <w:r>
        <w:rPr>
          <w:rFonts w:hint="eastAsia"/>
          <w:sz w:val="24"/>
          <w:szCs w:val="24"/>
        </w:rPr>
        <w:t>10-11</w:t>
      </w:r>
      <w:r>
        <w:rPr>
          <w:rFonts w:hint="eastAsia"/>
          <w:sz w:val="24"/>
          <w:szCs w:val="24"/>
        </w:rPr>
        <w:t>层</w:t>
      </w:r>
      <w:r>
        <w:rPr>
          <w:rFonts w:hint="eastAsia"/>
          <w:sz w:val="24"/>
          <w:szCs w:val="24"/>
        </w:rPr>
        <w:t xml:space="preserve"> </w:t>
      </w:r>
    </w:p>
    <w:p w:rsidR="00783788" w:rsidRDefault="002C6E18">
      <w:pPr>
        <w:spacing w:line="360" w:lineRule="auto"/>
        <w:ind w:firstLineChars="200" w:firstLine="480"/>
        <w:rPr>
          <w:sz w:val="24"/>
          <w:szCs w:val="24"/>
        </w:rPr>
      </w:pPr>
      <w:r>
        <w:rPr>
          <w:rFonts w:hint="eastAsia"/>
          <w:sz w:val="24"/>
          <w:szCs w:val="24"/>
        </w:rPr>
        <w:t>法定代表人：申健</w:t>
      </w:r>
    </w:p>
    <w:p w:rsidR="00783788" w:rsidRDefault="002C6E18">
      <w:pPr>
        <w:spacing w:line="360" w:lineRule="auto"/>
        <w:ind w:firstLineChars="200" w:firstLine="480"/>
        <w:rPr>
          <w:sz w:val="24"/>
          <w:szCs w:val="24"/>
        </w:rPr>
      </w:pPr>
      <w:r>
        <w:rPr>
          <w:rFonts w:hint="eastAsia"/>
          <w:sz w:val="24"/>
          <w:szCs w:val="24"/>
        </w:rPr>
        <w:t>电话：</w:t>
      </w:r>
      <w:r>
        <w:rPr>
          <w:rFonts w:hint="eastAsia"/>
          <w:sz w:val="24"/>
          <w:szCs w:val="24"/>
        </w:rPr>
        <w:t>021-20219931</w:t>
      </w:r>
    </w:p>
    <w:p w:rsidR="00783788" w:rsidRDefault="002C6E18">
      <w:pPr>
        <w:spacing w:line="360" w:lineRule="auto"/>
        <w:ind w:firstLineChars="200" w:firstLine="480"/>
        <w:rPr>
          <w:sz w:val="24"/>
          <w:szCs w:val="24"/>
        </w:rPr>
      </w:pPr>
      <w:r>
        <w:rPr>
          <w:rFonts w:hint="eastAsia"/>
          <w:sz w:val="24"/>
          <w:szCs w:val="24"/>
        </w:rPr>
        <w:t>传真：</w:t>
      </w:r>
      <w:r>
        <w:rPr>
          <w:rFonts w:hint="eastAsia"/>
          <w:sz w:val="24"/>
          <w:szCs w:val="24"/>
        </w:rPr>
        <w:t>021-20219923</w:t>
      </w:r>
    </w:p>
    <w:p w:rsidR="00783788" w:rsidRDefault="002C6E18">
      <w:pPr>
        <w:spacing w:line="360" w:lineRule="auto"/>
        <w:ind w:firstLineChars="200" w:firstLine="480"/>
        <w:rPr>
          <w:sz w:val="24"/>
          <w:szCs w:val="24"/>
        </w:rPr>
      </w:pPr>
      <w:r>
        <w:rPr>
          <w:rFonts w:hint="eastAsia"/>
          <w:sz w:val="24"/>
          <w:szCs w:val="24"/>
        </w:rPr>
        <w:t>联系人：付江</w:t>
      </w:r>
      <w:r>
        <w:rPr>
          <w:rFonts w:hint="eastAsia"/>
          <w:sz w:val="24"/>
          <w:szCs w:val="24"/>
        </w:rPr>
        <w:t xml:space="preserve"> </w:t>
      </w:r>
    </w:p>
    <w:p w:rsidR="00783788" w:rsidRDefault="002C6E18">
      <w:pPr>
        <w:spacing w:line="360" w:lineRule="auto"/>
        <w:ind w:firstLineChars="200" w:firstLine="480"/>
        <w:rPr>
          <w:sz w:val="24"/>
          <w:szCs w:val="24"/>
        </w:rPr>
      </w:pPr>
      <w:r>
        <w:rPr>
          <w:rFonts w:hint="eastAsia"/>
          <w:sz w:val="24"/>
          <w:szCs w:val="24"/>
        </w:rPr>
        <w:t>客户服务电话：</w:t>
      </w:r>
      <w:r>
        <w:rPr>
          <w:rFonts w:hint="eastAsia"/>
          <w:sz w:val="24"/>
          <w:szCs w:val="24"/>
        </w:rPr>
        <w:t>021-20219931</w:t>
      </w:r>
    </w:p>
    <w:p w:rsidR="00783788" w:rsidRDefault="002C6E18">
      <w:pPr>
        <w:spacing w:line="360" w:lineRule="auto"/>
        <w:ind w:firstLineChars="200" w:firstLine="480"/>
        <w:rPr>
          <w:sz w:val="24"/>
          <w:szCs w:val="24"/>
        </w:rPr>
      </w:pPr>
      <w:r>
        <w:rPr>
          <w:rFonts w:hint="eastAsia"/>
          <w:sz w:val="24"/>
          <w:szCs w:val="24"/>
        </w:rPr>
        <w:t>网址：</w:t>
      </w:r>
      <w:r>
        <w:rPr>
          <w:rFonts w:hint="eastAsia"/>
          <w:sz w:val="24"/>
          <w:szCs w:val="24"/>
        </w:rPr>
        <w:t>https://8.gw.com.cn</w:t>
      </w:r>
    </w:p>
    <w:p w:rsidR="00783788" w:rsidRDefault="002C6E18">
      <w:pPr>
        <w:adjustRightInd w:val="0"/>
        <w:snapToGrid w:val="0"/>
        <w:spacing w:line="360" w:lineRule="auto"/>
        <w:ind w:firstLineChars="200" w:firstLine="480"/>
        <w:rPr>
          <w:kern w:val="0"/>
          <w:sz w:val="24"/>
        </w:rPr>
      </w:pPr>
      <w:r>
        <w:rPr>
          <w:rFonts w:hAnsi="宋体"/>
          <w:kern w:val="0"/>
          <w:sz w:val="24"/>
        </w:rPr>
        <w:t>基金管理人可根据有关法律法规的要求，选择其它符合要求的机构代理销售本基金，并及时公告。</w:t>
      </w:r>
    </w:p>
    <w:p w:rsidR="00783788" w:rsidRDefault="002C6E18">
      <w:pPr>
        <w:widowControl/>
        <w:adjustRightInd w:val="0"/>
        <w:snapToGrid w:val="0"/>
        <w:spacing w:line="360" w:lineRule="auto"/>
        <w:ind w:firstLineChars="200" w:firstLine="482"/>
        <w:outlineLvl w:val="1"/>
        <w:rPr>
          <w:b/>
          <w:kern w:val="0"/>
          <w:sz w:val="24"/>
        </w:rPr>
      </w:pPr>
      <w:r>
        <w:rPr>
          <w:b/>
          <w:kern w:val="0"/>
          <w:sz w:val="24"/>
        </w:rPr>
        <w:t>（二）登记机构</w:t>
      </w:r>
      <w:r>
        <w:rPr>
          <w:b/>
          <w:kern w:val="0"/>
          <w:sz w:val="24"/>
        </w:rPr>
        <w:t xml:space="preserve"> </w:t>
      </w:r>
    </w:p>
    <w:p w:rsidR="00783788" w:rsidRDefault="002C6E18">
      <w:pPr>
        <w:adjustRightInd w:val="0"/>
        <w:snapToGrid w:val="0"/>
        <w:spacing w:line="360" w:lineRule="auto"/>
        <w:ind w:firstLineChars="200" w:firstLine="480"/>
        <w:rPr>
          <w:kern w:val="0"/>
          <w:sz w:val="24"/>
        </w:rPr>
      </w:pPr>
      <w:r>
        <w:rPr>
          <w:kern w:val="0"/>
          <w:sz w:val="24"/>
        </w:rPr>
        <w:t>名称：中国证券登记结算有限责任公司</w:t>
      </w:r>
      <w:r>
        <w:rPr>
          <w:kern w:val="0"/>
          <w:sz w:val="24"/>
        </w:rPr>
        <w:t xml:space="preserve"> </w:t>
      </w:r>
    </w:p>
    <w:p w:rsidR="00783788" w:rsidRDefault="002C6E18">
      <w:pPr>
        <w:adjustRightInd w:val="0"/>
        <w:snapToGrid w:val="0"/>
        <w:spacing w:line="360" w:lineRule="auto"/>
        <w:ind w:firstLineChars="200" w:firstLine="480"/>
        <w:rPr>
          <w:kern w:val="0"/>
          <w:sz w:val="24"/>
        </w:rPr>
      </w:pPr>
      <w:r>
        <w:rPr>
          <w:kern w:val="0"/>
          <w:sz w:val="24"/>
        </w:rPr>
        <w:t>住所：北京市西城区太平桥大街</w:t>
      </w:r>
      <w:r>
        <w:rPr>
          <w:kern w:val="0"/>
          <w:sz w:val="24"/>
        </w:rPr>
        <w:t>17</w:t>
      </w:r>
      <w:r>
        <w:rPr>
          <w:kern w:val="0"/>
          <w:sz w:val="24"/>
        </w:rPr>
        <w:t>号</w:t>
      </w:r>
      <w:r>
        <w:rPr>
          <w:kern w:val="0"/>
          <w:sz w:val="24"/>
        </w:rPr>
        <w:t xml:space="preserve"> </w:t>
      </w:r>
    </w:p>
    <w:p w:rsidR="00783788" w:rsidRDefault="002C6E18">
      <w:pPr>
        <w:adjustRightInd w:val="0"/>
        <w:snapToGrid w:val="0"/>
        <w:spacing w:line="360" w:lineRule="auto"/>
        <w:ind w:firstLineChars="200" w:firstLine="480"/>
        <w:rPr>
          <w:kern w:val="0"/>
          <w:sz w:val="24"/>
        </w:rPr>
      </w:pPr>
      <w:r>
        <w:rPr>
          <w:kern w:val="0"/>
          <w:sz w:val="24"/>
        </w:rPr>
        <w:t>办公地址：北京市西城区太平桥大街</w:t>
      </w:r>
      <w:r>
        <w:rPr>
          <w:kern w:val="0"/>
          <w:sz w:val="24"/>
        </w:rPr>
        <w:t>17</w:t>
      </w:r>
      <w:r>
        <w:rPr>
          <w:kern w:val="0"/>
          <w:sz w:val="24"/>
        </w:rPr>
        <w:t>号</w:t>
      </w:r>
    </w:p>
    <w:p w:rsidR="00783788" w:rsidRDefault="002C6E18">
      <w:pPr>
        <w:adjustRightInd w:val="0"/>
        <w:snapToGrid w:val="0"/>
        <w:spacing w:line="360" w:lineRule="auto"/>
        <w:ind w:firstLineChars="200" w:firstLine="480"/>
        <w:rPr>
          <w:kern w:val="0"/>
          <w:sz w:val="24"/>
        </w:rPr>
      </w:pPr>
      <w:r>
        <w:rPr>
          <w:kern w:val="0"/>
          <w:sz w:val="24"/>
        </w:rPr>
        <w:t>法定代表人：</w:t>
      </w:r>
      <w:r>
        <w:rPr>
          <w:rFonts w:hint="eastAsia"/>
          <w:kern w:val="0"/>
          <w:sz w:val="24"/>
        </w:rPr>
        <w:t>周明</w:t>
      </w:r>
      <w:r>
        <w:rPr>
          <w:kern w:val="0"/>
          <w:sz w:val="24"/>
        </w:rPr>
        <w:t xml:space="preserve"> </w:t>
      </w:r>
    </w:p>
    <w:p w:rsidR="00783788" w:rsidRDefault="002C6E18">
      <w:pPr>
        <w:widowControl/>
        <w:adjustRightInd w:val="0"/>
        <w:snapToGrid w:val="0"/>
        <w:spacing w:line="360" w:lineRule="auto"/>
        <w:ind w:firstLineChars="200" w:firstLine="480"/>
        <w:rPr>
          <w:kern w:val="0"/>
          <w:sz w:val="24"/>
        </w:rPr>
      </w:pPr>
      <w:r>
        <w:rPr>
          <w:kern w:val="0"/>
          <w:sz w:val="24"/>
        </w:rPr>
        <w:t>电话：（</w:t>
      </w:r>
      <w:r>
        <w:rPr>
          <w:kern w:val="0"/>
          <w:sz w:val="24"/>
        </w:rPr>
        <w:t>010</w:t>
      </w:r>
      <w:r>
        <w:rPr>
          <w:kern w:val="0"/>
          <w:sz w:val="24"/>
        </w:rPr>
        <w:t>）</w:t>
      </w:r>
      <w:r>
        <w:rPr>
          <w:kern w:val="0"/>
          <w:sz w:val="24"/>
        </w:rPr>
        <w:t>59378839</w:t>
      </w:r>
    </w:p>
    <w:p w:rsidR="00783788" w:rsidRDefault="002C6E18">
      <w:pPr>
        <w:widowControl/>
        <w:adjustRightInd w:val="0"/>
        <w:snapToGrid w:val="0"/>
        <w:spacing w:line="360" w:lineRule="auto"/>
        <w:ind w:firstLineChars="200" w:firstLine="480"/>
        <w:rPr>
          <w:kern w:val="0"/>
          <w:sz w:val="24"/>
        </w:rPr>
      </w:pPr>
      <w:r>
        <w:rPr>
          <w:kern w:val="0"/>
          <w:sz w:val="24"/>
        </w:rPr>
        <w:t>传真：（</w:t>
      </w:r>
      <w:r>
        <w:rPr>
          <w:kern w:val="0"/>
          <w:sz w:val="24"/>
        </w:rPr>
        <w:t>010</w:t>
      </w:r>
      <w:r>
        <w:rPr>
          <w:kern w:val="0"/>
          <w:sz w:val="24"/>
        </w:rPr>
        <w:t>）</w:t>
      </w:r>
      <w:r>
        <w:rPr>
          <w:kern w:val="0"/>
          <w:sz w:val="24"/>
        </w:rPr>
        <w:t>59378907</w:t>
      </w:r>
    </w:p>
    <w:p w:rsidR="00783788" w:rsidRDefault="002C6E18">
      <w:pPr>
        <w:adjustRightInd w:val="0"/>
        <w:snapToGrid w:val="0"/>
        <w:spacing w:line="360" w:lineRule="auto"/>
        <w:ind w:firstLineChars="200" w:firstLine="480"/>
        <w:rPr>
          <w:kern w:val="0"/>
          <w:sz w:val="24"/>
        </w:rPr>
      </w:pPr>
      <w:r>
        <w:rPr>
          <w:kern w:val="0"/>
          <w:sz w:val="24"/>
        </w:rPr>
        <w:t>联系人：朱立元</w:t>
      </w:r>
      <w:r>
        <w:rPr>
          <w:kern w:val="0"/>
          <w:sz w:val="24"/>
        </w:rPr>
        <w:t xml:space="preserve"> </w:t>
      </w:r>
    </w:p>
    <w:p w:rsidR="00783788" w:rsidRDefault="002C6E18">
      <w:pPr>
        <w:widowControl/>
        <w:adjustRightInd w:val="0"/>
        <w:snapToGrid w:val="0"/>
        <w:spacing w:line="360" w:lineRule="auto"/>
        <w:ind w:firstLineChars="200" w:firstLine="482"/>
        <w:outlineLvl w:val="1"/>
        <w:rPr>
          <w:b/>
          <w:kern w:val="0"/>
          <w:sz w:val="24"/>
        </w:rPr>
      </w:pPr>
      <w:r>
        <w:rPr>
          <w:b/>
          <w:kern w:val="0"/>
          <w:sz w:val="24"/>
        </w:rPr>
        <w:t>（三）出具法律意见书的律师事务所</w:t>
      </w:r>
      <w:r>
        <w:rPr>
          <w:b/>
          <w:kern w:val="0"/>
          <w:sz w:val="24"/>
        </w:rPr>
        <w:t xml:space="preserve"> </w:t>
      </w:r>
    </w:p>
    <w:p w:rsidR="00783788" w:rsidRDefault="002C6E18">
      <w:pPr>
        <w:widowControl/>
        <w:adjustRightInd w:val="0"/>
        <w:snapToGrid w:val="0"/>
        <w:spacing w:line="360" w:lineRule="auto"/>
        <w:ind w:firstLineChars="200" w:firstLine="480"/>
        <w:outlineLvl w:val="1"/>
        <w:rPr>
          <w:kern w:val="0"/>
          <w:sz w:val="24"/>
        </w:rPr>
      </w:pPr>
      <w:r>
        <w:rPr>
          <w:kern w:val="0"/>
          <w:sz w:val="24"/>
        </w:rPr>
        <w:t>名称：上海市通力律师事务所</w:t>
      </w:r>
      <w:r>
        <w:rPr>
          <w:kern w:val="0"/>
          <w:sz w:val="24"/>
        </w:rPr>
        <w:t xml:space="preserve"> </w:t>
      </w:r>
    </w:p>
    <w:p w:rsidR="00783788" w:rsidRDefault="002C6E18">
      <w:pPr>
        <w:widowControl/>
        <w:adjustRightInd w:val="0"/>
        <w:snapToGrid w:val="0"/>
        <w:spacing w:line="360" w:lineRule="auto"/>
        <w:ind w:firstLineChars="200" w:firstLine="480"/>
        <w:outlineLvl w:val="1"/>
        <w:rPr>
          <w:kern w:val="0"/>
          <w:sz w:val="24"/>
        </w:rPr>
      </w:pPr>
      <w:r>
        <w:rPr>
          <w:kern w:val="0"/>
          <w:sz w:val="24"/>
        </w:rPr>
        <w:t>住所：上海市银城中路</w:t>
      </w:r>
      <w:r>
        <w:rPr>
          <w:kern w:val="0"/>
          <w:sz w:val="24"/>
        </w:rPr>
        <w:t>68</w:t>
      </w:r>
      <w:r>
        <w:rPr>
          <w:kern w:val="0"/>
          <w:sz w:val="24"/>
        </w:rPr>
        <w:t>号时代金融中心</w:t>
      </w:r>
      <w:r>
        <w:rPr>
          <w:kern w:val="0"/>
          <w:sz w:val="24"/>
        </w:rPr>
        <w:t>19</w:t>
      </w:r>
      <w:r>
        <w:rPr>
          <w:kern w:val="0"/>
          <w:sz w:val="24"/>
        </w:rPr>
        <w:t>楼</w:t>
      </w:r>
    </w:p>
    <w:p w:rsidR="00783788" w:rsidRDefault="002C6E18">
      <w:pPr>
        <w:widowControl/>
        <w:adjustRightInd w:val="0"/>
        <w:snapToGrid w:val="0"/>
        <w:spacing w:line="360" w:lineRule="auto"/>
        <w:ind w:firstLineChars="200" w:firstLine="480"/>
        <w:outlineLvl w:val="1"/>
        <w:rPr>
          <w:kern w:val="0"/>
          <w:sz w:val="24"/>
        </w:rPr>
      </w:pPr>
      <w:r>
        <w:rPr>
          <w:kern w:val="0"/>
          <w:sz w:val="24"/>
        </w:rPr>
        <w:t>办公地址：上海市银城中路</w:t>
      </w:r>
      <w:r>
        <w:rPr>
          <w:kern w:val="0"/>
          <w:sz w:val="24"/>
        </w:rPr>
        <w:t>68</w:t>
      </w:r>
      <w:r>
        <w:rPr>
          <w:kern w:val="0"/>
          <w:sz w:val="24"/>
        </w:rPr>
        <w:t>号时代金融中心</w:t>
      </w:r>
      <w:r>
        <w:rPr>
          <w:kern w:val="0"/>
          <w:sz w:val="24"/>
        </w:rPr>
        <w:t>19</w:t>
      </w:r>
      <w:r>
        <w:rPr>
          <w:kern w:val="0"/>
          <w:sz w:val="24"/>
        </w:rPr>
        <w:t>楼</w:t>
      </w:r>
    </w:p>
    <w:p w:rsidR="00783788" w:rsidRDefault="002C6E18">
      <w:pPr>
        <w:widowControl/>
        <w:adjustRightInd w:val="0"/>
        <w:snapToGrid w:val="0"/>
        <w:spacing w:line="360" w:lineRule="auto"/>
        <w:ind w:firstLineChars="200" w:firstLine="480"/>
        <w:outlineLvl w:val="1"/>
        <w:rPr>
          <w:kern w:val="0"/>
          <w:sz w:val="24"/>
        </w:rPr>
      </w:pPr>
      <w:r>
        <w:rPr>
          <w:kern w:val="0"/>
          <w:sz w:val="24"/>
        </w:rPr>
        <w:t>负责人：</w:t>
      </w:r>
      <w:r>
        <w:rPr>
          <w:rFonts w:hint="eastAsia"/>
          <w:kern w:val="0"/>
          <w:sz w:val="24"/>
        </w:rPr>
        <w:t>俞卫锋</w:t>
      </w:r>
    </w:p>
    <w:p w:rsidR="00783788" w:rsidRDefault="002C6E18">
      <w:pPr>
        <w:widowControl/>
        <w:adjustRightInd w:val="0"/>
        <w:snapToGrid w:val="0"/>
        <w:spacing w:line="360" w:lineRule="auto"/>
        <w:ind w:firstLineChars="200" w:firstLine="480"/>
        <w:outlineLvl w:val="1"/>
        <w:rPr>
          <w:kern w:val="0"/>
          <w:sz w:val="24"/>
        </w:rPr>
      </w:pPr>
      <w:r>
        <w:rPr>
          <w:kern w:val="0"/>
          <w:sz w:val="24"/>
        </w:rPr>
        <w:t>电话：（</w:t>
      </w:r>
      <w:r>
        <w:rPr>
          <w:kern w:val="0"/>
          <w:sz w:val="24"/>
        </w:rPr>
        <w:t>021</w:t>
      </w:r>
      <w:r>
        <w:rPr>
          <w:kern w:val="0"/>
          <w:sz w:val="24"/>
        </w:rPr>
        <w:t>）</w:t>
      </w:r>
      <w:r>
        <w:rPr>
          <w:kern w:val="0"/>
          <w:sz w:val="24"/>
        </w:rPr>
        <w:t xml:space="preserve">31358666  </w:t>
      </w:r>
    </w:p>
    <w:p w:rsidR="00783788" w:rsidRDefault="002C6E18">
      <w:pPr>
        <w:widowControl/>
        <w:adjustRightInd w:val="0"/>
        <w:snapToGrid w:val="0"/>
        <w:spacing w:line="360" w:lineRule="auto"/>
        <w:ind w:firstLineChars="200" w:firstLine="480"/>
        <w:outlineLvl w:val="1"/>
        <w:rPr>
          <w:kern w:val="0"/>
          <w:sz w:val="24"/>
        </w:rPr>
      </w:pPr>
      <w:r>
        <w:rPr>
          <w:kern w:val="0"/>
          <w:sz w:val="24"/>
        </w:rPr>
        <w:t>传真：（</w:t>
      </w:r>
      <w:r>
        <w:rPr>
          <w:kern w:val="0"/>
          <w:sz w:val="24"/>
        </w:rPr>
        <w:t>021</w:t>
      </w:r>
      <w:r>
        <w:rPr>
          <w:kern w:val="0"/>
          <w:sz w:val="24"/>
        </w:rPr>
        <w:t>）</w:t>
      </w:r>
      <w:r>
        <w:rPr>
          <w:kern w:val="0"/>
          <w:sz w:val="24"/>
        </w:rPr>
        <w:t xml:space="preserve">31358600  </w:t>
      </w:r>
    </w:p>
    <w:p w:rsidR="00783788" w:rsidRDefault="002C6E18">
      <w:pPr>
        <w:widowControl/>
        <w:adjustRightInd w:val="0"/>
        <w:snapToGrid w:val="0"/>
        <w:spacing w:line="360" w:lineRule="auto"/>
        <w:ind w:firstLineChars="200" w:firstLine="480"/>
        <w:outlineLvl w:val="1"/>
        <w:rPr>
          <w:kern w:val="0"/>
          <w:sz w:val="24"/>
        </w:rPr>
      </w:pPr>
      <w:r>
        <w:rPr>
          <w:kern w:val="0"/>
          <w:sz w:val="24"/>
        </w:rPr>
        <w:t>联系人：黎明</w:t>
      </w:r>
    </w:p>
    <w:p w:rsidR="00783788" w:rsidRDefault="002C6E18">
      <w:pPr>
        <w:adjustRightInd w:val="0"/>
        <w:snapToGrid w:val="0"/>
        <w:spacing w:line="360" w:lineRule="auto"/>
        <w:ind w:firstLineChars="200" w:firstLine="480"/>
        <w:rPr>
          <w:kern w:val="0"/>
          <w:sz w:val="24"/>
        </w:rPr>
      </w:pPr>
      <w:r>
        <w:rPr>
          <w:kern w:val="0"/>
          <w:sz w:val="24"/>
        </w:rPr>
        <w:t>经办律师：吕红、黎明</w:t>
      </w:r>
    </w:p>
    <w:p w:rsidR="00783788" w:rsidRDefault="002C6E18">
      <w:pPr>
        <w:widowControl/>
        <w:adjustRightInd w:val="0"/>
        <w:snapToGrid w:val="0"/>
        <w:spacing w:line="360" w:lineRule="auto"/>
        <w:ind w:firstLineChars="200" w:firstLine="482"/>
        <w:outlineLvl w:val="1"/>
        <w:rPr>
          <w:b/>
          <w:kern w:val="0"/>
          <w:sz w:val="24"/>
        </w:rPr>
      </w:pPr>
      <w:r>
        <w:rPr>
          <w:b/>
          <w:kern w:val="0"/>
          <w:sz w:val="24"/>
        </w:rPr>
        <w:t>（四）审计基金财产的会计师事务所</w:t>
      </w:r>
      <w:r>
        <w:rPr>
          <w:b/>
          <w:kern w:val="0"/>
          <w:sz w:val="24"/>
        </w:rPr>
        <w:t xml:space="preserve"> </w:t>
      </w:r>
    </w:p>
    <w:p w:rsidR="00783788" w:rsidRDefault="002C6E18">
      <w:pPr>
        <w:widowControl/>
        <w:adjustRightInd w:val="0"/>
        <w:snapToGrid w:val="0"/>
        <w:spacing w:line="360" w:lineRule="auto"/>
        <w:ind w:firstLineChars="200" w:firstLine="480"/>
        <w:outlineLvl w:val="1"/>
        <w:rPr>
          <w:kern w:val="0"/>
          <w:sz w:val="24"/>
        </w:rPr>
      </w:pPr>
      <w:r>
        <w:rPr>
          <w:kern w:val="0"/>
          <w:sz w:val="24"/>
        </w:rPr>
        <w:t>名称：</w:t>
      </w:r>
      <w:r>
        <w:rPr>
          <w:rFonts w:hAnsi="宋体" w:hint="eastAsia"/>
          <w:kern w:val="0"/>
          <w:sz w:val="24"/>
        </w:rPr>
        <w:t>普华永道中天会计师事务所（特殊普通合伙）</w:t>
      </w:r>
    </w:p>
    <w:p w:rsidR="00783788" w:rsidRDefault="002C6E18">
      <w:pPr>
        <w:widowControl/>
        <w:adjustRightInd w:val="0"/>
        <w:snapToGrid w:val="0"/>
        <w:spacing w:line="360" w:lineRule="auto"/>
        <w:ind w:firstLineChars="200" w:firstLine="480"/>
        <w:outlineLvl w:val="1"/>
        <w:rPr>
          <w:kern w:val="0"/>
          <w:sz w:val="24"/>
        </w:rPr>
      </w:pPr>
      <w:r>
        <w:rPr>
          <w:kern w:val="0"/>
          <w:sz w:val="24"/>
        </w:rPr>
        <w:t>住所：上海市浦东新区陆家嘴环路</w:t>
      </w:r>
      <w:r>
        <w:rPr>
          <w:kern w:val="0"/>
          <w:sz w:val="24"/>
        </w:rPr>
        <w:t>1318</w:t>
      </w:r>
      <w:r>
        <w:rPr>
          <w:kern w:val="0"/>
          <w:sz w:val="24"/>
        </w:rPr>
        <w:t>号星展银行大厦</w:t>
      </w:r>
      <w:r>
        <w:rPr>
          <w:kern w:val="0"/>
          <w:sz w:val="24"/>
        </w:rPr>
        <w:t>6</w:t>
      </w:r>
      <w:r>
        <w:rPr>
          <w:kern w:val="0"/>
          <w:sz w:val="24"/>
        </w:rPr>
        <w:t>楼</w:t>
      </w:r>
    </w:p>
    <w:p w:rsidR="00783788" w:rsidRDefault="002C6E18">
      <w:pPr>
        <w:widowControl/>
        <w:adjustRightInd w:val="0"/>
        <w:snapToGrid w:val="0"/>
        <w:spacing w:line="360" w:lineRule="auto"/>
        <w:ind w:firstLineChars="200" w:firstLine="480"/>
        <w:outlineLvl w:val="1"/>
        <w:rPr>
          <w:kern w:val="0"/>
          <w:sz w:val="24"/>
        </w:rPr>
      </w:pPr>
      <w:r>
        <w:rPr>
          <w:kern w:val="0"/>
          <w:sz w:val="24"/>
        </w:rPr>
        <w:t>办公地址：上海市湖滨路</w:t>
      </w:r>
      <w:r>
        <w:rPr>
          <w:kern w:val="0"/>
          <w:sz w:val="24"/>
        </w:rPr>
        <w:t>202</w:t>
      </w:r>
      <w:r>
        <w:rPr>
          <w:kern w:val="0"/>
          <w:sz w:val="24"/>
        </w:rPr>
        <w:t>号普华永道中心</w:t>
      </w:r>
      <w:r>
        <w:rPr>
          <w:kern w:val="0"/>
          <w:sz w:val="24"/>
        </w:rPr>
        <w:t>11</w:t>
      </w:r>
      <w:r>
        <w:rPr>
          <w:kern w:val="0"/>
          <w:sz w:val="24"/>
        </w:rPr>
        <w:t>楼</w:t>
      </w:r>
    </w:p>
    <w:p w:rsidR="00783788" w:rsidRDefault="002C6E18">
      <w:pPr>
        <w:widowControl/>
        <w:adjustRightInd w:val="0"/>
        <w:snapToGrid w:val="0"/>
        <w:spacing w:line="360" w:lineRule="auto"/>
        <w:ind w:firstLineChars="200" w:firstLine="480"/>
        <w:outlineLvl w:val="1"/>
        <w:rPr>
          <w:kern w:val="0"/>
          <w:sz w:val="24"/>
        </w:rPr>
      </w:pPr>
      <w:r>
        <w:rPr>
          <w:rFonts w:hint="eastAsia"/>
          <w:kern w:val="0"/>
          <w:sz w:val="24"/>
        </w:rPr>
        <w:t>首席合伙人</w:t>
      </w:r>
      <w:r>
        <w:rPr>
          <w:kern w:val="0"/>
          <w:sz w:val="24"/>
        </w:rPr>
        <w:t>：杨绍信</w:t>
      </w:r>
    </w:p>
    <w:p w:rsidR="00783788" w:rsidRDefault="002C6E18">
      <w:pPr>
        <w:widowControl/>
        <w:adjustRightInd w:val="0"/>
        <w:snapToGrid w:val="0"/>
        <w:spacing w:line="360" w:lineRule="auto"/>
        <w:ind w:firstLineChars="200" w:firstLine="480"/>
        <w:outlineLvl w:val="1"/>
        <w:rPr>
          <w:kern w:val="0"/>
          <w:sz w:val="24"/>
        </w:rPr>
      </w:pPr>
      <w:r>
        <w:rPr>
          <w:kern w:val="0"/>
          <w:sz w:val="24"/>
        </w:rPr>
        <w:t>电话：（</w:t>
      </w:r>
      <w:r>
        <w:rPr>
          <w:kern w:val="0"/>
          <w:sz w:val="24"/>
        </w:rPr>
        <w:t>021</w:t>
      </w:r>
      <w:r>
        <w:rPr>
          <w:kern w:val="0"/>
          <w:sz w:val="24"/>
        </w:rPr>
        <w:t>）</w:t>
      </w:r>
      <w:r>
        <w:rPr>
          <w:kern w:val="0"/>
          <w:sz w:val="24"/>
        </w:rPr>
        <w:t>23238888</w:t>
      </w:r>
    </w:p>
    <w:p w:rsidR="00783788" w:rsidRDefault="002C6E18">
      <w:pPr>
        <w:widowControl/>
        <w:adjustRightInd w:val="0"/>
        <w:snapToGrid w:val="0"/>
        <w:spacing w:line="360" w:lineRule="auto"/>
        <w:ind w:firstLineChars="200" w:firstLine="480"/>
        <w:outlineLvl w:val="1"/>
        <w:rPr>
          <w:kern w:val="0"/>
          <w:sz w:val="24"/>
        </w:rPr>
      </w:pPr>
      <w:r>
        <w:rPr>
          <w:kern w:val="0"/>
          <w:sz w:val="24"/>
        </w:rPr>
        <w:t>传真：（</w:t>
      </w:r>
      <w:r>
        <w:rPr>
          <w:kern w:val="0"/>
          <w:sz w:val="24"/>
        </w:rPr>
        <w:t>021</w:t>
      </w:r>
      <w:r>
        <w:rPr>
          <w:kern w:val="0"/>
          <w:sz w:val="24"/>
        </w:rPr>
        <w:t>）</w:t>
      </w:r>
      <w:r>
        <w:rPr>
          <w:rFonts w:hint="eastAsia"/>
          <w:kern w:val="0"/>
          <w:sz w:val="24"/>
        </w:rPr>
        <w:t>23</w:t>
      </w:r>
      <w:r>
        <w:rPr>
          <w:kern w:val="0"/>
          <w:sz w:val="24"/>
        </w:rPr>
        <w:t>238800</w:t>
      </w:r>
    </w:p>
    <w:p w:rsidR="00783788" w:rsidRDefault="002C6E18">
      <w:pPr>
        <w:widowControl/>
        <w:adjustRightInd w:val="0"/>
        <w:snapToGrid w:val="0"/>
        <w:spacing w:line="360" w:lineRule="auto"/>
        <w:ind w:firstLineChars="200" w:firstLine="480"/>
        <w:outlineLvl w:val="1"/>
        <w:rPr>
          <w:kern w:val="0"/>
          <w:sz w:val="24"/>
        </w:rPr>
      </w:pPr>
      <w:r>
        <w:rPr>
          <w:kern w:val="0"/>
          <w:sz w:val="24"/>
        </w:rPr>
        <w:t>联系人：</w:t>
      </w:r>
      <w:r>
        <w:rPr>
          <w:rFonts w:ascii="宋体" w:hAnsi="宋体" w:cs="宋体" w:hint="eastAsia"/>
          <w:kern w:val="0"/>
          <w:sz w:val="24"/>
        </w:rPr>
        <w:t>沈兆杰</w:t>
      </w:r>
    </w:p>
    <w:p w:rsidR="00783788" w:rsidRDefault="002C6E18">
      <w:pPr>
        <w:adjustRightInd w:val="0"/>
        <w:snapToGrid w:val="0"/>
        <w:spacing w:line="360" w:lineRule="auto"/>
        <w:ind w:firstLineChars="200" w:firstLine="480"/>
        <w:rPr>
          <w:kern w:val="0"/>
          <w:sz w:val="24"/>
        </w:rPr>
      </w:pPr>
      <w:r>
        <w:rPr>
          <w:kern w:val="0"/>
          <w:sz w:val="24"/>
        </w:rPr>
        <w:t>经办注册会计师：汪棣、</w:t>
      </w:r>
      <w:r>
        <w:rPr>
          <w:rFonts w:ascii="宋体" w:hAnsi="宋体" w:cs="宋体" w:hint="eastAsia"/>
          <w:kern w:val="0"/>
          <w:sz w:val="24"/>
        </w:rPr>
        <w:t>沈兆杰</w:t>
      </w:r>
    </w:p>
    <w:p w:rsidR="00783788" w:rsidRDefault="00783788">
      <w:pPr>
        <w:adjustRightInd w:val="0"/>
        <w:snapToGrid w:val="0"/>
        <w:spacing w:line="360" w:lineRule="auto"/>
        <w:ind w:firstLine="200"/>
        <w:rPr>
          <w:rFonts w:ascii="宋体" w:hAnsi="宋体"/>
          <w:kern w:val="0"/>
          <w:sz w:val="24"/>
        </w:rPr>
      </w:pPr>
    </w:p>
    <w:p w:rsidR="00783788" w:rsidRDefault="002C6E18">
      <w:pPr>
        <w:widowControl/>
        <w:adjustRightInd w:val="0"/>
        <w:snapToGrid w:val="0"/>
        <w:spacing w:beforeLines="100" w:before="240" w:afterLines="50" w:after="120" w:line="360" w:lineRule="auto"/>
        <w:jc w:val="center"/>
        <w:outlineLvl w:val="0"/>
        <w:rPr>
          <w:rFonts w:ascii="宋体" w:hAnsi="宋体"/>
          <w:b/>
          <w:kern w:val="0"/>
          <w:sz w:val="30"/>
        </w:rPr>
      </w:pPr>
      <w:bookmarkStart w:id="17" w:name="_Toc382321317"/>
      <w:r>
        <w:rPr>
          <w:rFonts w:ascii="宋体" w:hAnsi="宋体" w:hint="eastAsia"/>
          <w:b/>
          <w:kern w:val="0"/>
          <w:sz w:val="30"/>
        </w:rPr>
        <w:t>六、基金的募集</w:t>
      </w:r>
      <w:bookmarkEnd w:id="17"/>
    </w:p>
    <w:p w:rsidR="00783788" w:rsidRDefault="002C6E18">
      <w:pPr>
        <w:widowControl/>
        <w:adjustRightInd w:val="0"/>
        <w:snapToGrid w:val="0"/>
        <w:spacing w:line="360" w:lineRule="auto"/>
        <w:ind w:firstLineChars="200" w:firstLine="480"/>
        <w:rPr>
          <w:kern w:val="0"/>
          <w:sz w:val="24"/>
          <w:szCs w:val="24"/>
        </w:rPr>
      </w:pPr>
      <w:r>
        <w:rPr>
          <w:rFonts w:hAnsi="宋体"/>
          <w:kern w:val="0"/>
          <w:sz w:val="24"/>
          <w:szCs w:val="24"/>
        </w:rPr>
        <w:t>本基金由基金管理人依照《基金法》、《运作办法》、基金合同及其他有关规定，并经中国证监会证监许可</w:t>
      </w:r>
      <w:r>
        <w:rPr>
          <w:kern w:val="0"/>
          <w:sz w:val="24"/>
          <w:szCs w:val="24"/>
        </w:rPr>
        <w:t>[20</w:t>
      </w:r>
      <w:r>
        <w:rPr>
          <w:rFonts w:hint="eastAsia"/>
          <w:kern w:val="0"/>
          <w:sz w:val="24"/>
          <w:szCs w:val="24"/>
        </w:rPr>
        <w:t>13</w:t>
      </w:r>
      <w:r>
        <w:rPr>
          <w:kern w:val="0"/>
          <w:sz w:val="24"/>
          <w:szCs w:val="24"/>
        </w:rPr>
        <w:t>]</w:t>
      </w:r>
      <w:r>
        <w:rPr>
          <w:rFonts w:hint="eastAsia"/>
          <w:kern w:val="0"/>
          <w:sz w:val="24"/>
          <w:szCs w:val="24"/>
        </w:rPr>
        <w:t>753</w:t>
      </w:r>
      <w:r>
        <w:rPr>
          <w:rFonts w:hAnsi="宋体"/>
          <w:kern w:val="0"/>
          <w:sz w:val="24"/>
          <w:szCs w:val="24"/>
        </w:rPr>
        <w:t>号文核准募集发售。</w:t>
      </w:r>
      <w:r>
        <w:rPr>
          <w:kern w:val="0"/>
          <w:sz w:val="24"/>
          <w:szCs w:val="24"/>
        </w:rPr>
        <w:t xml:space="preserve"> </w:t>
      </w:r>
    </w:p>
    <w:p w:rsidR="00783788" w:rsidRDefault="002C6E18">
      <w:pPr>
        <w:widowControl/>
        <w:spacing w:line="360" w:lineRule="auto"/>
        <w:ind w:firstLineChars="200" w:firstLine="480"/>
        <w:rPr>
          <w:kern w:val="0"/>
          <w:sz w:val="24"/>
        </w:rPr>
      </w:pPr>
      <w:bookmarkStart w:id="18" w:name="_Hlt91148053"/>
      <w:bookmarkStart w:id="19" w:name="_Hlt91264078"/>
      <w:bookmarkStart w:id="20" w:name="_Hlt91264042"/>
      <w:bookmarkStart w:id="21" w:name="_Hlt90801570"/>
      <w:bookmarkStart w:id="22" w:name="_Hlt90455312"/>
      <w:bookmarkStart w:id="23" w:name="_Toc109537384"/>
      <w:bookmarkEnd w:id="18"/>
      <w:bookmarkEnd w:id="19"/>
      <w:bookmarkEnd w:id="20"/>
      <w:bookmarkEnd w:id="21"/>
      <w:bookmarkEnd w:id="22"/>
      <w:r>
        <w:rPr>
          <w:rFonts w:hint="eastAsia"/>
          <w:kern w:val="0"/>
          <w:sz w:val="24"/>
        </w:rPr>
        <w:t>本基金为契约型开放式混合型基金。基金存续期间为不定期。</w:t>
      </w:r>
    </w:p>
    <w:p w:rsidR="00783788" w:rsidRDefault="002C6E18">
      <w:pPr>
        <w:widowControl/>
        <w:spacing w:line="360" w:lineRule="auto"/>
        <w:ind w:firstLineChars="200" w:firstLine="480"/>
        <w:rPr>
          <w:kern w:val="0"/>
          <w:sz w:val="24"/>
        </w:rPr>
      </w:pPr>
      <w:r>
        <w:rPr>
          <w:rFonts w:hint="eastAsia"/>
          <w:kern w:val="0"/>
          <w:sz w:val="24"/>
        </w:rPr>
        <w:t>本基金募集期间基金份额净值为人民币</w:t>
      </w:r>
      <w:r>
        <w:rPr>
          <w:rFonts w:hint="eastAsia"/>
          <w:kern w:val="0"/>
          <w:sz w:val="24"/>
        </w:rPr>
        <w:t>1.00</w:t>
      </w:r>
      <w:r>
        <w:rPr>
          <w:rFonts w:hint="eastAsia"/>
          <w:kern w:val="0"/>
          <w:sz w:val="24"/>
        </w:rPr>
        <w:t>元，按初始面值发售。</w:t>
      </w:r>
    </w:p>
    <w:p w:rsidR="00783788" w:rsidRDefault="002C6E18">
      <w:pPr>
        <w:widowControl/>
        <w:spacing w:line="360" w:lineRule="auto"/>
        <w:ind w:firstLineChars="200" w:firstLine="480"/>
        <w:rPr>
          <w:kern w:val="0"/>
          <w:sz w:val="24"/>
        </w:rPr>
      </w:pPr>
      <w:r>
        <w:rPr>
          <w:rFonts w:hint="eastAsia"/>
          <w:kern w:val="0"/>
          <w:sz w:val="24"/>
        </w:rPr>
        <w:t>本基金自</w:t>
      </w:r>
      <w:r>
        <w:rPr>
          <w:rFonts w:hint="eastAsia"/>
          <w:color w:val="000000"/>
          <w:sz w:val="24"/>
        </w:rPr>
        <w:t>2013</w:t>
      </w:r>
      <w:r>
        <w:rPr>
          <w:rFonts w:hint="eastAsia"/>
          <w:color w:val="000000"/>
          <w:sz w:val="24"/>
        </w:rPr>
        <w:t>年</w:t>
      </w:r>
      <w:r>
        <w:rPr>
          <w:rFonts w:hint="eastAsia"/>
          <w:color w:val="000000"/>
          <w:sz w:val="24"/>
        </w:rPr>
        <w:t>8</w:t>
      </w:r>
      <w:r>
        <w:rPr>
          <w:rFonts w:hint="eastAsia"/>
          <w:color w:val="000000"/>
          <w:sz w:val="24"/>
        </w:rPr>
        <w:t>月</w:t>
      </w:r>
      <w:r>
        <w:rPr>
          <w:rFonts w:hint="eastAsia"/>
          <w:color w:val="000000"/>
          <w:sz w:val="24"/>
        </w:rPr>
        <w:t>7</w:t>
      </w:r>
      <w:r>
        <w:rPr>
          <w:rFonts w:hint="eastAsia"/>
          <w:color w:val="000000"/>
          <w:sz w:val="24"/>
        </w:rPr>
        <w:t>日</w:t>
      </w:r>
      <w:r>
        <w:rPr>
          <w:rFonts w:hint="eastAsia"/>
          <w:kern w:val="0"/>
          <w:sz w:val="24"/>
        </w:rPr>
        <w:t>至</w:t>
      </w:r>
      <w:r>
        <w:rPr>
          <w:rFonts w:hint="eastAsia"/>
          <w:color w:val="000000"/>
          <w:sz w:val="24"/>
        </w:rPr>
        <w:t>2013</w:t>
      </w:r>
      <w:r>
        <w:rPr>
          <w:rFonts w:hint="eastAsia"/>
          <w:color w:val="000000"/>
          <w:sz w:val="24"/>
        </w:rPr>
        <w:t>年</w:t>
      </w:r>
      <w:r>
        <w:rPr>
          <w:rFonts w:hint="eastAsia"/>
          <w:color w:val="000000"/>
          <w:sz w:val="24"/>
        </w:rPr>
        <w:t>8</w:t>
      </w:r>
      <w:r>
        <w:rPr>
          <w:rFonts w:hint="eastAsia"/>
          <w:color w:val="000000"/>
          <w:sz w:val="24"/>
        </w:rPr>
        <w:t>月</w:t>
      </w:r>
      <w:r>
        <w:rPr>
          <w:rFonts w:hint="eastAsia"/>
          <w:color w:val="000000"/>
          <w:sz w:val="24"/>
        </w:rPr>
        <w:t>30</w:t>
      </w:r>
      <w:r>
        <w:rPr>
          <w:rFonts w:hint="eastAsia"/>
          <w:color w:val="000000"/>
          <w:sz w:val="24"/>
        </w:rPr>
        <w:t>日</w:t>
      </w:r>
      <w:r>
        <w:rPr>
          <w:rFonts w:hint="eastAsia"/>
          <w:kern w:val="0"/>
          <w:sz w:val="24"/>
        </w:rPr>
        <w:t>进行发售。本基金设立募集期共募集</w:t>
      </w:r>
      <w:r>
        <w:rPr>
          <w:rFonts w:hint="eastAsia"/>
          <w:sz w:val="24"/>
        </w:rPr>
        <w:t>642,313,653.44</w:t>
      </w:r>
      <w:r>
        <w:rPr>
          <w:rFonts w:hint="eastAsia"/>
          <w:kern w:val="0"/>
          <w:sz w:val="24"/>
        </w:rPr>
        <w:t>份基金份额，有效认购户数为</w:t>
      </w:r>
      <w:r>
        <w:rPr>
          <w:rFonts w:hint="eastAsia"/>
          <w:sz w:val="24"/>
        </w:rPr>
        <w:t>7,039</w:t>
      </w:r>
      <w:r>
        <w:rPr>
          <w:rFonts w:hint="eastAsia"/>
          <w:kern w:val="0"/>
          <w:sz w:val="24"/>
        </w:rPr>
        <w:t>户。</w:t>
      </w:r>
      <w:r>
        <w:rPr>
          <w:kern w:val="0"/>
          <w:sz w:val="24"/>
        </w:rPr>
        <w:t xml:space="preserve"> </w:t>
      </w:r>
    </w:p>
    <w:p w:rsidR="00783788" w:rsidRDefault="00783788">
      <w:pPr>
        <w:adjustRightInd w:val="0"/>
        <w:snapToGrid w:val="0"/>
        <w:spacing w:line="360" w:lineRule="auto"/>
        <w:ind w:firstLineChars="200" w:firstLine="480"/>
        <w:rPr>
          <w:sz w:val="24"/>
        </w:rPr>
      </w:pPr>
    </w:p>
    <w:p w:rsidR="00783788" w:rsidRDefault="002C6E18">
      <w:pPr>
        <w:widowControl/>
        <w:adjustRightInd w:val="0"/>
        <w:snapToGrid w:val="0"/>
        <w:spacing w:beforeLines="100" w:before="240" w:afterLines="50" w:after="120" w:line="360" w:lineRule="auto"/>
        <w:jc w:val="center"/>
        <w:outlineLvl w:val="0"/>
        <w:rPr>
          <w:rFonts w:ascii="宋体" w:hAnsi="宋体"/>
          <w:b/>
          <w:kern w:val="0"/>
          <w:sz w:val="30"/>
        </w:rPr>
      </w:pPr>
      <w:bookmarkStart w:id="24" w:name="_Toc382321318"/>
      <w:r>
        <w:rPr>
          <w:rFonts w:ascii="宋体" w:hAnsi="宋体" w:hint="eastAsia"/>
          <w:b/>
          <w:kern w:val="0"/>
          <w:sz w:val="30"/>
        </w:rPr>
        <w:t>七、基金合同的生效</w:t>
      </w:r>
      <w:bookmarkEnd w:id="24"/>
    </w:p>
    <w:p w:rsidR="00783788" w:rsidRDefault="002C6E18">
      <w:pPr>
        <w:spacing w:line="360" w:lineRule="auto"/>
        <w:ind w:firstLineChars="200" w:firstLine="480"/>
        <w:rPr>
          <w:rFonts w:ascii="宋体" w:hAnsi="宋体"/>
          <w:kern w:val="0"/>
          <w:sz w:val="24"/>
        </w:rPr>
      </w:pPr>
      <w:bookmarkStart w:id="25" w:name="_Hlt88901074"/>
      <w:bookmarkStart w:id="26" w:name="_Toc341170041"/>
      <w:bookmarkStart w:id="27" w:name="_Toc343850437"/>
      <w:bookmarkStart w:id="28" w:name="_Toc343852995"/>
      <w:bookmarkStart w:id="29" w:name="_Toc311810235"/>
      <w:bookmarkStart w:id="30" w:name="_Toc15118260"/>
      <w:bookmarkStart w:id="31" w:name="_Toc57530272"/>
      <w:bookmarkStart w:id="32" w:name="_Toc79392603"/>
      <w:bookmarkStart w:id="33" w:name="_Toc109537386"/>
      <w:bookmarkEnd w:id="23"/>
      <w:bookmarkEnd w:id="25"/>
      <w:r>
        <w:rPr>
          <w:rFonts w:ascii="宋体" w:hAnsi="宋体" w:hint="eastAsia"/>
          <w:kern w:val="0"/>
          <w:sz w:val="24"/>
        </w:rPr>
        <w:t>根据有关规定，本基金满足基金合同生效条件，基金合同已于2013年9月4日正式生效。自基金合同生效之日起，本基金管理人正式开始管理本基金。</w:t>
      </w:r>
    </w:p>
    <w:p w:rsidR="00783788" w:rsidRDefault="002C6E18">
      <w:pPr>
        <w:spacing w:line="360" w:lineRule="auto"/>
        <w:ind w:firstLineChars="200" w:firstLine="480"/>
        <w:rPr>
          <w:rFonts w:hAnsi="宋体"/>
          <w:sz w:val="24"/>
        </w:rPr>
      </w:pPr>
      <w:r>
        <w:rPr>
          <w:rFonts w:hAnsi="宋体"/>
          <w:sz w:val="24"/>
        </w:rPr>
        <w:t>基金合同生效后，基金份额持有人数量不满</w:t>
      </w:r>
      <w:r>
        <w:rPr>
          <w:rFonts w:hAnsi="宋体"/>
          <w:sz w:val="24"/>
        </w:rPr>
        <w:t>200</w:t>
      </w:r>
      <w:r>
        <w:rPr>
          <w:rFonts w:hAnsi="宋体"/>
          <w:sz w:val="24"/>
        </w:rPr>
        <w:t>人或者基金资产净值低于</w:t>
      </w:r>
      <w:r>
        <w:rPr>
          <w:rFonts w:hAnsi="宋体"/>
          <w:sz w:val="24"/>
        </w:rPr>
        <w:t>5000</w:t>
      </w:r>
      <w:r>
        <w:rPr>
          <w:rFonts w:hAnsi="宋体"/>
          <w:sz w:val="24"/>
        </w:rPr>
        <w:t>万元的，基金管理人应当及时报告中国证监会；连续</w:t>
      </w:r>
      <w:r>
        <w:rPr>
          <w:rFonts w:hAnsi="宋体"/>
          <w:sz w:val="24"/>
        </w:rPr>
        <w:t>20</w:t>
      </w:r>
      <w:r>
        <w:rPr>
          <w:rFonts w:hAnsi="宋体"/>
          <w:sz w:val="24"/>
        </w:rPr>
        <w:t>个工作日出现前述情形的，基金管理人应当向中国证监会说明原因并报送解决方案。</w:t>
      </w:r>
      <w:bookmarkEnd w:id="26"/>
      <w:bookmarkEnd w:id="27"/>
      <w:bookmarkEnd w:id="28"/>
    </w:p>
    <w:p w:rsidR="00783788" w:rsidRDefault="002C6E18">
      <w:pPr>
        <w:spacing w:line="360" w:lineRule="auto"/>
        <w:ind w:firstLineChars="200" w:firstLine="480"/>
        <w:rPr>
          <w:rFonts w:hAnsi="宋体"/>
          <w:sz w:val="24"/>
        </w:rPr>
      </w:pPr>
      <w:bookmarkStart w:id="34" w:name="_Toc343852996"/>
      <w:bookmarkStart w:id="35" w:name="_Toc341170042"/>
      <w:bookmarkStart w:id="36" w:name="_Toc343850438"/>
      <w:r>
        <w:rPr>
          <w:rFonts w:hAnsi="宋体"/>
          <w:sz w:val="24"/>
        </w:rPr>
        <w:t>法律法规另有规定时，从其规定。</w:t>
      </w:r>
      <w:bookmarkEnd w:id="34"/>
      <w:bookmarkEnd w:id="35"/>
      <w:bookmarkEnd w:id="36"/>
    </w:p>
    <w:bookmarkEnd w:id="29"/>
    <w:bookmarkEnd w:id="30"/>
    <w:bookmarkEnd w:id="31"/>
    <w:bookmarkEnd w:id="32"/>
    <w:p w:rsidR="00783788" w:rsidRDefault="00783788">
      <w:pPr>
        <w:widowControl/>
        <w:adjustRightInd w:val="0"/>
        <w:snapToGrid w:val="0"/>
        <w:spacing w:line="360" w:lineRule="auto"/>
        <w:ind w:firstLineChars="200" w:firstLine="482"/>
        <w:outlineLvl w:val="0"/>
        <w:rPr>
          <w:b/>
          <w:kern w:val="0"/>
          <w:sz w:val="24"/>
          <w:szCs w:val="24"/>
        </w:rPr>
      </w:pPr>
    </w:p>
    <w:p w:rsidR="00783788" w:rsidRDefault="002C6E18">
      <w:pPr>
        <w:widowControl/>
        <w:adjustRightInd w:val="0"/>
        <w:snapToGrid w:val="0"/>
        <w:spacing w:beforeLines="100" w:before="240" w:afterLines="50" w:after="120" w:line="360" w:lineRule="auto"/>
        <w:jc w:val="center"/>
        <w:outlineLvl w:val="0"/>
        <w:rPr>
          <w:rFonts w:ascii="宋体" w:hAnsi="宋体"/>
          <w:b/>
          <w:kern w:val="0"/>
          <w:sz w:val="30"/>
        </w:rPr>
      </w:pPr>
      <w:bookmarkStart w:id="37" w:name="_Toc382321319"/>
      <w:r>
        <w:rPr>
          <w:rFonts w:ascii="宋体" w:hAnsi="宋体" w:hint="eastAsia"/>
          <w:b/>
          <w:kern w:val="0"/>
          <w:sz w:val="30"/>
        </w:rPr>
        <w:t>八、基金份额的申购与赎回</w:t>
      </w:r>
      <w:bookmarkEnd w:id="33"/>
      <w:bookmarkEnd w:id="37"/>
    </w:p>
    <w:p w:rsidR="00783788" w:rsidRDefault="002C6E18">
      <w:pPr>
        <w:widowControl/>
        <w:adjustRightInd w:val="0"/>
        <w:snapToGrid w:val="0"/>
        <w:spacing w:line="360" w:lineRule="auto"/>
        <w:ind w:firstLineChars="200" w:firstLine="480"/>
        <w:outlineLvl w:val="1"/>
        <w:rPr>
          <w:b/>
          <w:kern w:val="0"/>
          <w:sz w:val="24"/>
          <w:szCs w:val="24"/>
        </w:rPr>
      </w:pPr>
      <w:r>
        <w:rPr>
          <w:rFonts w:hAnsi="宋体"/>
          <w:bCs/>
          <w:sz w:val="24"/>
          <w:szCs w:val="24"/>
        </w:rPr>
        <w:t>由投资者主动申请办理的申购、赎回等业务适用本部分的约定。本基金定期支付发起的自动赎回适用本招募说明书第九部分</w:t>
      </w:r>
      <w:r>
        <w:rPr>
          <w:rFonts w:hint="eastAsia"/>
          <w:bCs/>
          <w:sz w:val="24"/>
          <w:szCs w:val="24"/>
        </w:rPr>
        <w:t>“</w:t>
      </w:r>
      <w:r>
        <w:rPr>
          <w:rFonts w:hAnsi="宋体"/>
          <w:bCs/>
          <w:sz w:val="24"/>
          <w:szCs w:val="24"/>
        </w:rPr>
        <w:t>基金的定期支付</w:t>
      </w:r>
      <w:r>
        <w:rPr>
          <w:rFonts w:hint="eastAsia"/>
          <w:bCs/>
          <w:sz w:val="24"/>
          <w:szCs w:val="24"/>
        </w:rPr>
        <w:t>”</w:t>
      </w:r>
      <w:r>
        <w:rPr>
          <w:rFonts w:hAnsi="宋体"/>
          <w:bCs/>
          <w:sz w:val="24"/>
          <w:szCs w:val="24"/>
        </w:rPr>
        <w:t>的约定。</w:t>
      </w:r>
    </w:p>
    <w:p w:rsidR="00783788" w:rsidRDefault="002C6E18">
      <w:pPr>
        <w:widowControl/>
        <w:adjustRightInd w:val="0"/>
        <w:snapToGrid w:val="0"/>
        <w:spacing w:line="360" w:lineRule="auto"/>
        <w:ind w:firstLineChars="200" w:firstLine="482"/>
        <w:outlineLvl w:val="1"/>
        <w:rPr>
          <w:b/>
          <w:kern w:val="0"/>
          <w:sz w:val="24"/>
          <w:szCs w:val="24"/>
        </w:rPr>
      </w:pPr>
      <w:r>
        <w:rPr>
          <w:rFonts w:hAnsi="宋体"/>
          <w:b/>
          <w:kern w:val="0"/>
          <w:sz w:val="24"/>
          <w:szCs w:val="24"/>
        </w:rPr>
        <w:t>（一）申购和赎回的场所</w:t>
      </w:r>
      <w:r>
        <w:rPr>
          <w:b/>
          <w:kern w:val="0"/>
          <w:sz w:val="24"/>
          <w:szCs w:val="24"/>
        </w:rPr>
        <w:t xml:space="preserve"> </w:t>
      </w:r>
    </w:p>
    <w:p w:rsidR="00783788" w:rsidRDefault="002C6E18">
      <w:pPr>
        <w:pStyle w:val="a0"/>
        <w:autoSpaceDE w:val="0"/>
        <w:autoSpaceDN w:val="0"/>
        <w:adjustRightInd w:val="0"/>
        <w:snapToGrid w:val="0"/>
        <w:spacing w:line="360" w:lineRule="auto"/>
        <w:ind w:firstLine="480"/>
        <w:rPr>
          <w:sz w:val="24"/>
          <w:szCs w:val="24"/>
        </w:rPr>
      </w:pPr>
      <w:r>
        <w:rPr>
          <w:rFonts w:hAnsi="宋体"/>
          <w:sz w:val="24"/>
          <w:szCs w:val="24"/>
        </w:rPr>
        <w:t>投资人可通过下述场所按照规定的方式进行申购或赎回：</w:t>
      </w:r>
    </w:p>
    <w:p w:rsidR="00783788" w:rsidRDefault="002C6E18">
      <w:pPr>
        <w:pStyle w:val="a0"/>
        <w:autoSpaceDE w:val="0"/>
        <w:autoSpaceDN w:val="0"/>
        <w:adjustRightInd w:val="0"/>
        <w:snapToGrid w:val="0"/>
        <w:spacing w:line="360" w:lineRule="auto"/>
        <w:ind w:firstLine="480"/>
        <w:rPr>
          <w:sz w:val="24"/>
          <w:szCs w:val="24"/>
        </w:rPr>
      </w:pPr>
      <w:r>
        <w:rPr>
          <w:sz w:val="24"/>
          <w:szCs w:val="24"/>
        </w:rPr>
        <w:t>1</w:t>
      </w:r>
      <w:r>
        <w:rPr>
          <w:rFonts w:hAnsi="宋体"/>
          <w:sz w:val="24"/>
          <w:szCs w:val="24"/>
        </w:rPr>
        <w:t>、本基金管理人的直销机构</w:t>
      </w:r>
    </w:p>
    <w:p w:rsidR="00783788" w:rsidRDefault="002C6E18">
      <w:pPr>
        <w:widowControl/>
        <w:adjustRightInd w:val="0"/>
        <w:snapToGrid w:val="0"/>
        <w:spacing w:line="360" w:lineRule="auto"/>
        <w:ind w:firstLineChars="200" w:firstLine="480"/>
        <w:rPr>
          <w:kern w:val="0"/>
          <w:sz w:val="24"/>
          <w:szCs w:val="24"/>
        </w:rPr>
      </w:pPr>
      <w:r>
        <w:rPr>
          <w:rFonts w:hAnsi="宋体"/>
          <w:kern w:val="0"/>
          <w:sz w:val="24"/>
          <w:szCs w:val="24"/>
        </w:rPr>
        <w:t>本基金直销机构为本公司以及本公司的网上直销交易平台。</w:t>
      </w:r>
    </w:p>
    <w:p w:rsidR="00783788" w:rsidRDefault="002C6E18">
      <w:pPr>
        <w:widowControl/>
        <w:adjustRightInd w:val="0"/>
        <w:snapToGrid w:val="0"/>
        <w:spacing w:line="360" w:lineRule="auto"/>
        <w:ind w:firstLineChars="200" w:firstLine="480"/>
        <w:rPr>
          <w:kern w:val="0"/>
          <w:sz w:val="24"/>
          <w:szCs w:val="24"/>
        </w:rPr>
      </w:pPr>
      <w:r>
        <w:rPr>
          <w:rFonts w:hAnsi="宋体"/>
          <w:kern w:val="0"/>
          <w:sz w:val="24"/>
          <w:szCs w:val="24"/>
        </w:rPr>
        <w:t>名称：交银施罗德基金管理有限公司</w:t>
      </w:r>
    </w:p>
    <w:p w:rsidR="00783788" w:rsidRDefault="002C6E18">
      <w:pPr>
        <w:widowControl/>
        <w:adjustRightInd w:val="0"/>
        <w:snapToGrid w:val="0"/>
        <w:spacing w:line="360" w:lineRule="auto"/>
        <w:ind w:firstLineChars="200" w:firstLine="480"/>
        <w:rPr>
          <w:kern w:val="0"/>
          <w:sz w:val="24"/>
          <w:szCs w:val="24"/>
        </w:rPr>
      </w:pPr>
      <w:r>
        <w:rPr>
          <w:rFonts w:hAnsi="宋体"/>
          <w:kern w:val="0"/>
          <w:sz w:val="24"/>
          <w:szCs w:val="24"/>
        </w:rPr>
        <w:t>住所：上海市浦东新区银城中路</w:t>
      </w:r>
      <w:r>
        <w:rPr>
          <w:kern w:val="0"/>
          <w:sz w:val="24"/>
          <w:szCs w:val="24"/>
        </w:rPr>
        <w:t>188</w:t>
      </w:r>
      <w:r>
        <w:rPr>
          <w:rFonts w:hAnsi="宋体"/>
          <w:kern w:val="0"/>
          <w:sz w:val="24"/>
          <w:szCs w:val="24"/>
        </w:rPr>
        <w:t>号交通银行大楼二层（裙）</w:t>
      </w:r>
    </w:p>
    <w:p w:rsidR="00783788" w:rsidRDefault="002C6E18">
      <w:pPr>
        <w:widowControl/>
        <w:adjustRightInd w:val="0"/>
        <w:snapToGrid w:val="0"/>
        <w:spacing w:line="360" w:lineRule="auto"/>
        <w:ind w:firstLineChars="200" w:firstLine="480"/>
        <w:rPr>
          <w:kern w:val="0"/>
          <w:sz w:val="24"/>
          <w:szCs w:val="24"/>
        </w:rPr>
      </w:pPr>
      <w:r>
        <w:rPr>
          <w:rFonts w:hAnsi="宋体"/>
          <w:kern w:val="0"/>
          <w:sz w:val="24"/>
          <w:szCs w:val="24"/>
        </w:rPr>
        <w:t>办公地址：</w:t>
      </w:r>
      <w:r>
        <w:rPr>
          <w:rFonts w:ascii="宋体" w:hAnsi="宋体" w:cs="宋体" w:hint="eastAsia"/>
          <w:kern w:val="0"/>
          <w:sz w:val="24"/>
        </w:rPr>
        <w:t>上海浦东新区世纪大道8号国金中心二期21-22楼</w:t>
      </w:r>
    </w:p>
    <w:p w:rsidR="00783788" w:rsidRDefault="002C6E18">
      <w:pPr>
        <w:widowControl/>
        <w:adjustRightInd w:val="0"/>
        <w:snapToGrid w:val="0"/>
        <w:spacing w:line="360" w:lineRule="auto"/>
        <w:ind w:firstLineChars="200" w:firstLine="480"/>
        <w:rPr>
          <w:kern w:val="0"/>
          <w:sz w:val="24"/>
          <w:szCs w:val="24"/>
        </w:rPr>
      </w:pPr>
      <w:r>
        <w:rPr>
          <w:rFonts w:hAnsi="宋体"/>
          <w:kern w:val="0"/>
          <w:sz w:val="24"/>
          <w:szCs w:val="24"/>
        </w:rPr>
        <w:t>电话：（</w:t>
      </w:r>
      <w:r>
        <w:rPr>
          <w:sz w:val="24"/>
          <w:szCs w:val="24"/>
        </w:rPr>
        <w:t>021</w:t>
      </w:r>
      <w:r>
        <w:rPr>
          <w:rFonts w:hAnsi="宋体"/>
          <w:sz w:val="24"/>
          <w:szCs w:val="24"/>
        </w:rPr>
        <w:t>）</w:t>
      </w:r>
      <w:r>
        <w:rPr>
          <w:sz w:val="24"/>
          <w:szCs w:val="24"/>
        </w:rPr>
        <w:t>61055027</w:t>
      </w:r>
    </w:p>
    <w:p w:rsidR="00783788" w:rsidRDefault="002C6E18">
      <w:pPr>
        <w:widowControl/>
        <w:adjustRightInd w:val="0"/>
        <w:snapToGrid w:val="0"/>
        <w:spacing w:line="360" w:lineRule="auto"/>
        <w:ind w:firstLineChars="200" w:firstLine="480"/>
        <w:rPr>
          <w:sz w:val="24"/>
          <w:szCs w:val="24"/>
        </w:rPr>
      </w:pPr>
      <w:r>
        <w:rPr>
          <w:rFonts w:hAnsi="宋体"/>
          <w:sz w:val="24"/>
          <w:szCs w:val="24"/>
        </w:rPr>
        <w:t>传真</w:t>
      </w:r>
      <w:r>
        <w:rPr>
          <w:rFonts w:hAnsi="宋体"/>
          <w:kern w:val="0"/>
          <w:sz w:val="24"/>
          <w:szCs w:val="24"/>
        </w:rPr>
        <w:t>：</w:t>
      </w:r>
      <w:r>
        <w:rPr>
          <w:rFonts w:hAnsi="宋体"/>
          <w:sz w:val="24"/>
          <w:szCs w:val="24"/>
        </w:rPr>
        <w:t>（</w:t>
      </w:r>
      <w:r>
        <w:rPr>
          <w:sz w:val="24"/>
          <w:szCs w:val="24"/>
        </w:rPr>
        <w:t>021</w:t>
      </w:r>
      <w:r>
        <w:rPr>
          <w:rFonts w:hAnsi="宋体"/>
          <w:sz w:val="24"/>
          <w:szCs w:val="24"/>
        </w:rPr>
        <w:t>）</w:t>
      </w:r>
      <w:r>
        <w:rPr>
          <w:sz w:val="24"/>
          <w:szCs w:val="24"/>
        </w:rPr>
        <w:t>61055054</w:t>
      </w:r>
    </w:p>
    <w:p w:rsidR="00783788" w:rsidRDefault="002C6E18">
      <w:pPr>
        <w:widowControl/>
        <w:adjustRightInd w:val="0"/>
        <w:snapToGrid w:val="0"/>
        <w:spacing w:line="360" w:lineRule="auto"/>
        <w:ind w:firstLineChars="200" w:firstLine="480"/>
        <w:rPr>
          <w:sz w:val="24"/>
          <w:szCs w:val="24"/>
        </w:rPr>
      </w:pPr>
      <w:r>
        <w:rPr>
          <w:rFonts w:hAnsi="宋体"/>
          <w:kern w:val="0"/>
          <w:sz w:val="24"/>
          <w:szCs w:val="24"/>
        </w:rPr>
        <w:t>联系人：</w:t>
      </w:r>
      <w:r>
        <w:rPr>
          <w:rFonts w:hAnsi="宋体"/>
          <w:sz w:val="24"/>
          <w:szCs w:val="24"/>
        </w:rPr>
        <w:t>许野</w:t>
      </w:r>
    </w:p>
    <w:p w:rsidR="00783788" w:rsidRDefault="002C6E18">
      <w:pPr>
        <w:widowControl/>
        <w:adjustRightInd w:val="0"/>
        <w:snapToGrid w:val="0"/>
        <w:spacing w:line="360" w:lineRule="auto"/>
        <w:ind w:firstLineChars="200" w:firstLine="480"/>
        <w:rPr>
          <w:sz w:val="24"/>
          <w:szCs w:val="24"/>
        </w:rPr>
      </w:pPr>
      <w:r>
        <w:rPr>
          <w:rFonts w:hAnsi="宋体"/>
          <w:sz w:val="24"/>
          <w:szCs w:val="24"/>
        </w:rPr>
        <w:t>客户服务电话：</w:t>
      </w:r>
      <w:r>
        <w:rPr>
          <w:sz w:val="24"/>
          <w:szCs w:val="24"/>
        </w:rPr>
        <w:t>400-700-5000</w:t>
      </w:r>
      <w:r>
        <w:rPr>
          <w:rFonts w:hAnsi="宋体"/>
          <w:sz w:val="24"/>
          <w:szCs w:val="24"/>
        </w:rPr>
        <w:t>（免长途话费），（</w:t>
      </w:r>
      <w:r>
        <w:rPr>
          <w:sz w:val="24"/>
          <w:szCs w:val="24"/>
        </w:rPr>
        <w:t>021</w:t>
      </w:r>
      <w:r>
        <w:rPr>
          <w:rFonts w:hAnsi="宋体"/>
          <w:sz w:val="24"/>
          <w:szCs w:val="24"/>
        </w:rPr>
        <w:t>）</w:t>
      </w:r>
      <w:r>
        <w:rPr>
          <w:sz w:val="24"/>
          <w:szCs w:val="24"/>
        </w:rPr>
        <w:t>61055000</w:t>
      </w:r>
    </w:p>
    <w:p w:rsidR="00783788" w:rsidRDefault="002C6E18">
      <w:pPr>
        <w:pStyle w:val="a0"/>
        <w:autoSpaceDE w:val="0"/>
        <w:autoSpaceDN w:val="0"/>
        <w:adjustRightInd w:val="0"/>
        <w:snapToGrid w:val="0"/>
        <w:spacing w:line="360" w:lineRule="auto"/>
        <w:ind w:firstLine="480"/>
        <w:rPr>
          <w:sz w:val="24"/>
          <w:szCs w:val="24"/>
        </w:rPr>
      </w:pPr>
      <w:r>
        <w:rPr>
          <w:rFonts w:hAnsi="宋体"/>
          <w:sz w:val="24"/>
          <w:szCs w:val="24"/>
        </w:rPr>
        <w:t>网址：</w:t>
      </w:r>
      <w:r>
        <w:rPr>
          <w:rStyle w:val="af2"/>
          <w:color w:val="auto"/>
          <w:sz w:val="24"/>
          <w:szCs w:val="24"/>
          <w:u w:val="none"/>
        </w:rPr>
        <w:t>www.fund</w:t>
      </w:r>
      <w:r>
        <w:rPr>
          <w:rStyle w:val="af2"/>
          <w:rFonts w:hint="eastAsia"/>
          <w:color w:val="auto"/>
          <w:sz w:val="24"/>
          <w:szCs w:val="24"/>
          <w:u w:val="none"/>
        </w:rPr>
        <w:t>001</w:t>
      </w:r>
      <w:r>
        <w:rPr>
          <w:rStyle w:val="af2"/>
          <w:color w:val="auto"/>
          <w:sz w:val="24"/>
          <w:szCs w:val="24"/>
          <w:u w:val="none"/>
        </w:rPr>
        <w:t>.com</w:t>
      </w:r>
      <w:r>
        <w:rPr>
          <w:rStyle w:val="af2"/>
          <w:rFonts w:hAnsi="宋体"/>
          <w:color w:val="auto"/>
          <w:sz w:val="24"/>
          <w:szCs w:val="24"/>
          <w:u w:val="none"/>
        </w:rPr>
        <w:t>，</w:t>
      </w:r>
      <w:hyperlink r:id="rId10" w:history="1">
        <w:r>
          <w:rPr>
            <w:rStyle w:val="af2"/>
            <w:color w:val="auto"/>
            <w:sz w:val="24"/>
            <w:szCs w:val="24"/>
            <w:u w:val="none"/>
          </w:rPr>
          <w:t>www.bocomschroder.com</w:t>
        </w:r>
      </w:hyperlink>
    </w:p>
    <w:p w:rsidR="00783788" w:rsidRDefault="002C6E18">
      <w:pPr>
        <w:pStyle w:val="a0"/>
        <w:autoSpaceDE w:val="0"/>
        <w:autoSpaceDN w:val="0"/>
        <w:adjustRightInd w:val="0"/>
        <w:snapToGrid w:val="0"/>
        <w:spacing w:line="360" w:lineRule="auto"/>
        <w:ind w:firstLine="480"/>
        <w:rPr>
          <w:rStyle w:val="af2"/>
          <w:color w:val="auto"/>
          <w:sz w:val="24"/>
          <w:szCs w:val="24"/>
          <w:u w:val="none"/>
        </w:rPr>
      </w:pPr>
      <w:r>
        <w:rPr>
          <w:rFonts w:hAnsi="宋体"/>
          <w:kern w:val="0"/>
          <w:sz w:val="24"/>
          <w:szCs w:val="24"/>
        </w:rPr>
        <w:t>个人投资者可以通过本公司网上直销交易平台办理开户、本基金的申购、赎回</w:t>
      </w:r>
      <w:r>
        <w:rPr>
          <w:rFonts w:hAnsi="宋体" w:hint="eastAsia"/>
          <w:kern w:val="0"/>
          <w:sz w:val="24"/>
          <w:szCs w:val="24"/>
        </w:rPr>
        <w:t>、定期定额投资、转换</w:t>
      </w:r>
      <w:r>
        <w:rPr>
          <w:rFonts w:hAnsi="宋体"/>
          <w:kern w:val="0"/>
          <w:sz w:val="24"/>
          <w:szCs w:val="24"/>
        </w:rPr>
        <w:t>等业务，具体交易细则请参阅本公司网站。网上直销交易平台网址：</w:t>
      </w:r>
      <w:r>
        <w:rPr>
          <w:rStyle w:val="af2"/>
          <w:color w:val="auto"/>
          <w:sz w:val="24"/>
          <w:szCs w:val="24"/>
          <w:u w:val="none"/>
        </w:rPr>
        <w:t>www.fund</w:t>
      </w:r>
      <w:r>
        <w:rPr>
          <w:rStyle w:val="af2"/>
          <w:rFonts w:hint="eastAsia"/>
          <w:color w:val="auto"/>
          <w:sz w:val="24"/>
          <w:szCs w:val="24"/>
          <w:u w:val="none"/>
        </w:rPr>
        <w:t>001</w:t>
      </w:r>
      <w:r>
        <w:rPr>
          <w:rStyle w:val="af2"/>
          <w:color w:val="auto"/>
          <w:sz w:val="24"/>
          <w:szCs w:val="24"/>
          <w:u w:val="none"/>
        </w:rPr>
        <w:t>.com</w:t>
      </w:r>
      <w:r>
        <w:rPr>
          <w:rStyle w:val="af2"/>
          <w:rFonts w:hAnsi="宋体"/>
          <w:color w:val="auto"/>
          <w:sz w:val="24"/>
          <w:szCs w:val="24"/>
          <w:u w:val="none"/>
        </w:rPr>
        <w:t>，</w:t>
      </w:r>
      <w:hyperlink r:id="rId11" w:history="1">
        <w:r>
          <w:rPr>
            <w:rStyle w:val="af2"/>
            <w:color w:val="auto"/>
            <w:sz w:val="24"/>
            <w:szCs w:val="24"/>
            <w:u w:val="none"/>
          </w:rPr>
          <w:t>www.bocomschroder.com</w:t>
        </w:r>
      </w:hyperlink>
    </w:p>
    <w:p w:rsidR="00783788" w:rsidRDefault="002C6E18">
      <w:pPr>
        <w:pStyle w:val="a0"/>
        <w:autoSpaceDE w:val="0"/>
        <w:autoSpaceDN w:val="0"/>
        <w:adjustRightInd w:val="0"/>
        <w:snapToGrid w:val="0"/>
        <w:spacing w:line="360" w:lineRule="auto"/>
        <w:ind w:firstLine="480"/>
        <w:rPr>
          <w:kern w:val="0"/>
          <w:sz w:val="24"/>
          <w:szCs w:val="24"/>
        </w:rPr>
      </w:pPr>
      <w:r>
        <w:rPr>
          <w:kern w:val="0"/>
          <w:sz w:val="24"/>
          <w:szCs w:val="24"/>
        </w:rPr>
        <w:t>2</w:t>
      </w:r>
      <w:r>
        <w:rPr>
          <w:rFonts w:hAnsi="宋体"/>
          <w:kern w:val="0"/>
          <w:sz w:val="24"/>
          <w:szCs w:val="24"/>
        </w:rPr>
        <w:t>、代销机构</w:t>
      </w:r>
    </w:p>
    <w:p w:rsidR="00783788" w:rsidRDefault="002C6E18">
      <w:pPr>
        <w:adjustRightInd w:val="0"/>
        <w:snapToGrid w:val="0"/>
        <w:spacing w:line="360" w:lineRule="auto"/>
        <w:ind w:firstLineChars="200" w:firstLine="480"/>
        <w:rPr>
          <w:kern w:val="0"/>
          <w:sz w:val="24"/>
          <w:szCs w:val="24"/>
        </w:rPr>
      </w:pPr>
      <w:r>
        <w:rPr>
          <w:rFonts w:hAnsi="宋体"/>
          <w:kern w:val="0"/>
          <w:sz w:val="24"/>
          <w:szCs w:val="24"/>
        </w:rPr>
        <w:t>本基金的代销机构参见本招募说明书</w:t>
      </w:r>
      <w:r>
        <w:rPr>
          <w:rFonts w:hint="eastAsia"/>
          <w:kern w:val="0"/>
          <w:sz w:val="24"/>
          <w:szCs w:val="24"/>
        </w:rPr>
        <w:t>“</w:t>
      </w:r>
      <w:r>
        <w:rPr>
          <w:rFonts w:hAnsi="宋体"/>
          <w:kern w:val="0"/>
          <w:sz w:val="24"/>
          <w:szCs w:val="24"/>
        </w:rPr>
        <w:t>五、相关服务机构</w:t>
      </w:r>
      <w:r>
        <w:rPr>
          <w:rFonts w:hint="eastAsia"/>
          <w:kern w:val="0"/>
          <w:sz w:val="24"/>
          <w:szCs w:val="24"/>
        </w:rPr>
        <w:t>”</w:t>
      </w:r>
      <w:r>
        <w:rPr>
          <w:rFonts w:hAnsi="宋体"/>
          <w:kern w:val="0"/>
          <w:sz w:val="24"/>
          <w:szCs w:val="24"/>
        </w:rPr>
        <w:t>章节或拨打本公司客户服务电话进行咨询。</w:t>
      </w:r>
    </w:p>
    <w:p w:rsidR="00783788" w:rsidRDefault="002C6E18">
      <w:pPr>
        <w:adjustRightInd w:val="0"/>
        <w:snapToGrid w:val="0"/>
        <w:spacing w:line="360" w:lineRule="auto"/>
        <w:ind w:firstLineChars="200" w:firstLine="480"/>
        <w:rPr>
          <w:sz w:val="24"/>
          <w:szCs w:val="24"/>
        </w:rPr>
      </w:pPr>
      <w:r>
        <w:rPr>
          <w:rFonts w:hAnsi="宋体"/>
          <w:sz w:val="24"/>
          <w:szCs w:val="24"/>
        </w:rPr>
        <w:t>投资人可通过上述销售机构办理基金申购、赎回业务的营业场所或按上述销售机构提供的其他方式进行申购或赎回。本基金管理人可根据情况变更或增减基金代销机构，并予以公告。</w:t>
      </w:r>
    </w:p>
    <w:p w:rsidR="00783788" w:rsidRDefault="002C6E18">
      <w:pPr>
        <w:adjustRightInd w:val="0"/>
        <w:snapToGrid w:val="0"/>
        <w:spacing w:line="360" w:lineRule="auto"/>
        <w:ind w:firstLineChars="200" w:firstLine="480"/>
        <w:rPr>
          <w:kern w:val="0"/>
          <w:sz w:val="24"/>
          <w:szCs w:val="24"/>
        </w:rPr>
      </w:pPr>
      <w:r>
        <w:rPr>
          <w:rFonts w:hAnsi="宋体"/>
          <w:sz w:val="24"/>
          <w:szCs w:val="24"/>
        </w:rPr>
        <w:t>若基金管理人或其指定的代销机构开通电话、传真或网上等交易方式，投资人可以通过上述方式进行申购与赎回。</w:t>
      </w:r>
    </w:p>
    <w:p w:rsidR="00783788" w:rsidRDefault="002C6E18">
      <w:pPr>
        <w:widowControl/>
        <w:adjustRightInd w:val="0"/>
        <w:snapToGrid w:val="0"/>
        <w:spacing w:line="360" w:lineRule="auto"/>
        <w:ind w:firstLineChars="200" w:firstLine="482"/>
        <w:outlineLvl w:val="1"/>
        <w:rPr>
          <w:b/>
          <w:kern w:val="0"/>
          <w:sz w:val="24"/>
          <w:szCs w:val="24"/>
        </w:rPr>
      </w:pPr>
      <w:r>
        <w:rPr>
          <w:rFonts w:hAnsi="宋体"/>
          <w:b/>
          <w:kern w:val="0"/>
          <w:sz w:val="24"/>
          <w:szCs w:val="24"/>
        </w:rPr>
        <w:t>（二）申购和赎回的开放日及时间</w:t>
      </w:r>
      <w:r>
        <w:rPr>
          <w:b/>
          <w:kern w:val="0"/>
          <w:sz w:val="24"/>
          <w:szCs w:val="24"/>
        </w:rPr>
        <w:t xml:space="preserve"> </w:t>
      </w:r>
    </w:p>
    <w:p w:rsidR="00783788" w:rsidRDefault="002C6E18">
      <w:pPr>
        <w:adjustRightInd w:val="0"/>
        <w:snapToGrid w:val="0"/>
        <w:spacing w:line="360" w:lineRule="auto"/>
        <w:ind w:firstLineChars="200" w:firstLine="480"/>
        <w:rPr>
          <w:bCs/>
          <w:sz w:val="24"/>
          <w:szCs w:val="24"/>
        </w:rPr>
      </w:pPr>
      <w:r>
        <w:rPr>
          <w:bCs/>
          <w:sz w:val="24"/>
          <w:szCs w:val="24"/>
        </w:rPr>
        <w:t>1</w:t>
      </w:r>
      <w:r>
        <w:rPr>
          <w:rFonts w:hAnsi="宋体"/>
          <w:bCs/>
          <w:sz w:val="24"/>
          <w:szCs w:val="24"/>
        </w:rPr>
        <w:t>、开放日及开放时间</w:t>
      </w:r>
    </w:p>
    <w:p w:rsidR="00783788" w:rsidRDefault="002C6E18">
      <w:pPr>
        <w:adjustRightInd w:val="0"/>
        <w:snapToGrid w:val="0"/>
        <w:spacing w:line="360" w:lineRule="auto"/>
        <w:ind w:firstLineChars="200" w:firstLine="480"/>
        <w:rPr>
          <w:bCs/>
          <w:sz w:val="24"/>
          <w:szCs w:val="24"/>
        </w:rPr>
      </w:pPr>
      <w:r>
        <w:rPr>
          <w:rFonts w:hAnsi="宋体"/>
          <w:bCs/>
          <w:sz w:val="24"/>
          <w:szCs w:val="24"/>
        </w:rPr>
        <w:t>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rsidR="00783788" w:rsidRDefault="002C6E18">
      <w:pPr>
        <w:adjustRightInd w:val="0"/>
        <w:snapToGrid w:val="0"/>
        <w:spacing w:line="360" w:lineRule="auto"/>
        <w:ind w:firstLineChars="200" w:firstLine="480"/>
        <w:rPr>
          <w:bCs/>
          <w:sz w:val="24"/>
          <w:szCs w:val="24"/>
        </w:rPr>
      </w:pPr>
      <w:r>
        <w:rPr>
          <w:rFonts w:hAnsi="宋体"/>
          <w:bCs/>
          <w:sz w:val="24"/>
          <w:szCs w:val="24"/>
        </w:rPr>
        <w:t>若出现新的证券交易市场、证券交易所交易时间变更或其他特殊情况，基金管理人将视情况对前述开放日及开放时间进行相应的调整，但应在实施日前依照《信息披露办法》的有关规定在指定媒体上公告。</w:t>
      </w:r>
    </w:p>
    <w:p w:rsidR="00783788" w:rsidRDefault="002C6E18">
      <w:pPr>
        <w:adjustRightInd w:val="0"/>
        <w:snapToGrid w:val="0"/>
        <w:spacing w:line="360" w:lineRule="auto"/>
        <w:ind w:firstLineChars="200" w:firstLine="480"/>
        <w:rPr>
          <w:bCs/>
          <w:sz w:val="24"/>
          <w:szCs w:val="24"/>
        </w:rPr>
      </w:pPr>
      <w:r>
        <w:rPr>
          <w:bCs/>
          <w:sz w:val="24"/>
          <w:szCs w:val="24"/>
        </w:rPr>
        <w:t>2</w:t>
      </w:r>
      <w:r>
        <w:rPr>
          <w:rFonts w:hAnsi="宋体"/>
          <w:bCs/>
          <w:sz w:val="24"/>
          <w:szCs w:val="24"/>
        </w:rPr>
        <w:t>、申购</w:t>
      </w:r>
      <w:r>
        <w:rPr>
          <w:rFonts w:hAnsi="宋体" w:hint="eastAsia"/>
          <w:bCs/>
          <w:sz w:val="24"/>
          <w:szCs w:val="24"/>
        </w:rPr>
        <w:t>的</w:t>
      </w:r>
      <w:r>
        <w:rPr>
          <w:rFonts w:hAnsi="宋体"/>
          <w:bCs/>
          <w:sz w:val="24"/>
          <w:szCs w:val="24"/>
        </w:rPr>
        <w:t>开始日及业务办理时间</w:t>
      </w:r>
    </w:p>
    <w:p w:rsidR="00783788" w:rsidRDefault="002C6E18">
      <w:pPr>
        <w:widowControl/>
        <w:spacing w:line="360" w:lineRule="auto"/>
        <w:ind w:firstLineChars="200" w:firstLine="480"/>
        <w:rPr>
          <w:kern w:val="0"/>
          <w:sz w:val="24"/>
        </w:rPr>
      </w:pPr>
      <w:r>
        <w:rPr>
          <w:rFonts w:hint="eastAsia"/>
          <w:kern w:val="0"/>
          <w:sz w:val="24"/>
        </w:rPr>
        <w:t>本基金已于</w:t>
      </w:r>
      <w:r>
        <w:rPr>
          <w:rFonts w:hint="eastAsia"/>
          <w:kern w:val="0"/>
          <w:sz w:val="24"/>
        </w:rPr>
        <w:t>2013</w:t>
      </w:r>
      <w:r>
        <w:rPr>
          <w:rFonts w:hint="eastAsia"/>
          <w:kern w:val="0"/>
          <w:sz w:val="24"/>
        </w:rPr>
        <w:t>年</w:t>
      </w:r>
      <w:r>
        <w:rPr>
          <w:rFonts w:hint="eastAsia"/>
          <w:kern w:val="0"/>
          <w:sz w:val="24"/>
        </w:rPr>
        <w:t>12</w:t>
      </w:r>
      <w:r>
        <w:rPr>
          <w:rFonts w:hint="eastAsia"/>
          <w:kern w:val="0"/>
          <w:sz w:val="24"/>
        </w:rPr>
        <w:t>月</w:t>
      </w:r>
      <w:r>
        <w:rPr>
          <w:rFonts w:hint="eastAsia"/>
          <w:kern w:val="0"/>
          <w:sz w:val="24"/>
        </w:rPr>
        <w:t>3</w:t>
      </w:r>
      <w:r>
        <w:rPr>
          <w:rFonts w:hint="eastAsia"/>
          <w:kern w:val="0"/>
          <w:sz w:val="24"/>
        </w:rPr>
        <w:t>日起开放申购业务。</w:t>
      </w:r>
    </w:p>
    <w:p w:rsidR="00783788" w:rsidRDefault="002C6E18">
      <w:pPr>
        <w:widowControl/>
        <w:spacing w:line="360" w:lineRule="auto"/>
        <w:ind w:firstLineChars="200" w:firstLine="480"/>
        <w:rPr>
          <w:kern w:val="0"/>
          <w:sz w:val="24"/>
        </w:rPr>
      </w:pPr>
      <w:r>
        <w:rPr>
          <w:rFonts w:hint="eastAsia"/>
          <w:kern w:val="0"/>
          <w:sz w:val="24"/>
        </w:rPr>
        <w:t>3</w:t>
      </w:r>
      <w:r>
        <w:rPr>
          <w:rFonts w:hint="eastAsia"/>
          <w:kern w:val="0"/>
          <w:sz w:val="24"/>
        </w:rPr>
        <w:t>、赎回的开始日及业务办理时间</w:t>
      </w:r>
    </w:p>
    <w:p w:rsidR="00783788" w:rsidRDefault="002C6E18">
      <w:pPr>
        <w:widowControl/>
        <w:spacing w:line="360" w:lineRule="auto"/>
        <w:ind w:firstLineChars="200" w:firstLine="480"/>
        <w:rPr>
          <w:kern w:val="0"/>
          <w:sz w:val="24"/>
        </w:rPr>
      </w:pPr>
      <w:r>
        <w:rPr>
          <w:rFonts w:hint="eastAsia"/>
          <w:kern w:val="0"/>
          <w:sz w:val="24"/>
        </w:rPr>
        <w:t>本基金已于</w:t>
      </w:r>
      <w:r>
        <w:rPr>
          <w:rFonts w:hint="eastAsia"/>
          <w:kern w:val="0"/>
          <w:sz w:val="24"/>
        </w:rPr>
        <w:t>2013</w:t>
      </w:r>
      <w:r>
        <w:rPr>
          <w:rFonts w:hint="eastAsia"/>
          <w:kern w:val="0"/>
          <w:sz w:val="24"/>
        </w:rPr>
        <w:t>年</w:t>
      </w:r>
      <w:r>
        <w:rPr>
          <w:rFonts w:hint="eastAsia"/>
          <w:kern w:val="0"/>
          <w:sz w:val="24"/>
        </w:rPr>
        <w:t>12</w:t>
      </w:r>
      <w:r>
        <w:rPr>
          <w:rFonts w:hint="eastAsia"/>
          <w:kern w:val="0"/>
          <w:sz w:val="24"/>
        </w:rPr>
        <w:t>月</w:t>
      </w:r>
      <w:r>
        <w:rPr>
          <w:rFonts w:hint="eastAsia"/>
          <w:kern w:val="0"/>
          <w:sz w:val="24"/>
        </w:rPr>
        <w:t>3</w:t>
      </w:r>
      <w:r>
        <w:rPr>
          <w:rFonts w:hint="eastAsia"/>
          <w:kern w:val="0"/>
          <w:sz w:val="24"/>
        </w:rPr>
        <w:t>日起开放赎回业务。</w:t>
      </w:r>
    </w:p>
    <w:p w:rsidR="00783788" w:rsidRDefault="002C6E18">
      <w:pPr>
        <w:widowControl/>
        <w:adjustRightInd w:val="0"/>
        <w:snapToGrid w:val="0"/>
        <w:spacing w:line="360" w:lineRule="auto"/>
        <w:ind w:firstLineChars="200" w:firstLine="480"/>
        <w:rPr>
          <w:kern w:val="0"/>
          <w:sz w:val="24"/>
          <w:szCs w:val="24"/>
        </w:rPr>
      </w:pPr>
      <w:r>
        <w:rPr>
          <w:rFonts w:hAnsi="宋体"/>
          <w:bCs/>
          <w:sz w:val="24"/>
          <w:szCs w:val="24"/>
        </w:rPr>
        <w:t>基金管理人不得在基金合同约定之外的日期或者时间办理基金份额的申购、赎回或者转换。投资人在基金合同约定之外的日期和时间提出申购、赎回或转换申请且登记机构确认接受的，其基金份额申购、赎回价格为下一开放日基金份额申购、赎回的价格。</w:t>
      </w:r>
    </w:p>
    <w:p w:rsidR="00783788" w:rsidRDefault="002C6E18">
      <w:pPr>
        <w:widowControl/>
        <w:adjustRightInd w:val="0"/>
        <w:snapToGrid w:val="0"/>
        <w:spacing w:line="360" w:lineRule="auto"/>
        <w:ind w:firstLineChars="200" w:firstLine="482"/>
        <w:outlineLvl w:val="1"/>
        <w:rPr>
          <w:b/>
          <w:kern w:val="0"/>
          <w:sz w:val="24"/>
          <w:szCs w:val="24"/>
        </w:rPr>
      </w:pPr>
      <w:r>
        <w:rPr>
          <w:rFonts w:hAnsi="宋体"/>
          <w:b/>
          <w:kern w:val="0"/>
          <w:sz w:val="24"/>
          <w:szCs w:val="24"/>
        </w:rPr>
        <w:t>（三）申购与赎回的原则</w:t>
      </w:r>
      <w:r>
        <w:rPr>
          <w:b/>
          <w:kern w:val="0"/>
          <w:sz w:val="24"/>
          <w:szCs w:val="24"/>
        </w:rPr>
        <w:t xml:space="preserve"> </w:t>
      </w:r>
    </w:p>
    <w:p w:rsidR="00783788" w:rsidRDefault="002C6E18">
      <w:pPr>
        <w:adjustRightInd w:val="0"/>
        <w:snapToGrid w:val="0"/>
        <w:spacing w:line="360" w:lineRule="auto"/>
        <w:ind w:firstLineChars="200" w:firstLine="480"/>
        <w:rPr>
          <w:sz w:val="24"/>
          <w:szCs w:val="24"/>
        </w:rPr>
      </w:pPr>
      <w:r>
        <w:rPr>
          <w:sz w:val="24"/>
          <w:szCs w:val="24"/>
        </w:rPr>
        <w:t>1</w:t>
      </w:r>
      <w:r>
        <w:rPr>
          <w:rFonts w:hAnsi="宋体"/>
          <w:sz w:val="24"/>
          <w:szCs w:val="24"/>
        </w:rPr>
        <w:t>、</w:t>
      </w:r>
      <w:r>
        <w:rPr>
          <w:sz w:val="24"/>
          <w:szCs w:val="24"/>
        </w:rPr>
        <w:t>“</w:t>
      </w:r>
      <w:r>
        <w:rPr>
          <w:rFonts w:hAnsi="宋体"/>
          <w:sz w:val="24"/>
          <w:szCs w:val="24"/>
        </w:rPr>
        <w:t>未知价</w:t>
      </w:r>
      <w:r>
        <w:rPr>
          <w:sz w:val="24"/>
          <w:szCs w:val="24"/>
        </w:rPr>
        <w:t>”</w:t>
      </w:r>
      <w:r>
        <w:rPr>
          <w:rFonts w:hAnsi="宋体"/>
          <w:sz w:val="24"/>
          <w:szCs w:val="24"/>
        </w:rPr>
        <w:t>原则，即申购、赎回价格以申请当日收市后计算的基金份额净值为基准进行计算；</w:t>
      </w:r>
    </w:p>
    <w:p w:rsidR="00783788" w:rsidRDefault="002C6E18">
      <w:pPr>
        <w:adjustRightInd w:val="0"/>
        <w:snapToGrid w:val="0"/>
        <w:spacing w:line="360" w:lineRule="auto"/>
        <w:ind w:firstLineChars="200" w:firstLine="480"/>
        <w:rPr>
          <w:sz w:val="24"/>
          <w:szCs w:val="24"/>
        </w:rPr>
      </w:pPr>
      <w:r>
        <w:rPr>
          <w:sz w:val="24"/>
          <w:szCs w:val="24"/>
        </w:rPr>
        <w:t>2</w:t>
      </w:r>
      <w:r>
        <w:rPr>
          <w:rFonts w:hAnsi="宋体"/>
          <w:sz w:val="24"/>
          <w:szCs w:val="24"/>
        </w:rPr>
        <w:t>、</w:t>
      </w:r>
      <w:r>
        <w:rPr>
          <w:sz w:val="24"/>
          <w:szCs w:val="24"/>
        </w:rPr>
        <w:t>“</w:t>
      </w:r>
      <w:r>
        <w:rPr>
          <w:rFonts w:hAnsi="宋体"/>
          <w:sz w:val="24"/>
          <w:szCs w:val="24"/>
        </w:rPr>
        <w:t>金额申购、份额赎回</w:t>
      </w:r>
      <w:r>
        <w:rPr>
          <w:sz w:val="24"/>
          <w:szCs w:val="24"/>
        </w:rPr>
        <w:t>”</w:t>
      </w:r>
      <w:r>
        <w:rPr>
          <w:rFonts w:hAnsi="宋体"/>
          <w:sz w:val="24"/>
          <w:szCs w:val="24"/>
        </w:rPr>
        <w:t>原则，即申购以金额申请，赎回以份额申请；</w:t>
      </w:r>
    </w:p>
    <w:p w:rsidR="00783788" w:rsidRDefault="002C6E18">
      <w:pPr>
        <w:adjustRightInd w:val="0"/>
        <w:snapToGrid w:val="0"/>
        <w:spacing w:line="360" w:lineRule="auto"/>
        <w:ind w:firstLineChars="200" w:firstLine="480"/>
        <w:rPr>
          <w:sz w:val="24"/>
          <w:szCs w:val="24"/>
        </w:rPr>
      </w:pPr>
      <w:r>
        <w:rPr>
          <w:bCs/>
          <w:sz w:val="24"/>
          <w:szCs w:val="24"/>
        </w:rPr>
        <w:t>3</w:t>
      </w:r>
      <w:r>
        <w:rPr>
          <w:rFonts w:hAnsi="宋体"/>
          <w:bCs/>
          <w:sz w:val="24"/>
          <w:szCs w:val="24"/>
        </w:rPr>
        <w:t>、当日的申购与赎回申请可以在基金管理人规定的时间以内撤销，但申请经登记机构正式受理的不得撤销；</w:t>
      </w:r>
    </w:p>
    <w:p w:rsidR="00783788" w:rsidRDefault="002C6E18">
      <w:pPr>
        <w:adjustRightInd w:val="0"/>
        <w:snapToGrid w:val="0"/>
        <w:spacing w:line="360" w:lineRule="auto"/>
        <w:ind w:firstLineChars="200" w:firstLine="480"/>
        <w:rPr>
          <w:sz w:val="24"/>
          <w:szCs w:val="24"/>
        </w:rPr>
      </w:pPr>
      <w:r>
        <w:rPr>
          <w:sz w:val="24"/>
          <w:szCs w:val="24"/>
        </w:rPr>
        <w:t>4</w:t>
      </w:r>
      <w:r>
        <w:rPr>
          <w:rFonts w:hAnsi="宋体"/>
          <w:sz w:val="24"/>
          <w:szCs w:val="24"/>
        </w:rPr>
        <w:t>、</w:t>
      </w:r>
      <w:r>
        <w:rPr>
          <w:rFonts w:hAnsi="宋体"/>
          <w:bCs/>
          <w:sz w:val="24"/>
          <w:szCs w:val="24"/>
        </w:rPr>
        <w:t>基金份额持有人赎回时，除指定赎回外，基金管理人按</w:t>
      </w:r>
      <w:r>
        <w:rPr>
          <w:bCs/>
          <w:sz w:val="24"/>
          <w:szCs w:val="24"/>
        </w:rPr>
        <w:t>“</w:t>
      </w:r>
      <w:r>
        <w:rPr>
          <w:rFonts w:hAnsi="宋体"/>
          <w:bCs/>
          <w:sz w:val="24"/>
          <w:szCs w:val="24"/>
        </w:rPr>
        <w:t>先进先出</w:t>
      </w:r>
      <w:r>
        <w:rPr>
          <w:bCs/>
          <w:sz w:val="24"/>
          <w:szCs w:val="24"/>
        </w:rPr>
        <w:t>”</w:t>
      </w:r>
      <w:r>
        <w:rPr>
          <w:rFonts w:hAnsi="宋体"/>
          <w:bCs/>
          <w:sz w:val="24"/>
          <w:szCs w:val="24"/>
        </w:rPr>
        <w:t>的原则，对该持有人账户在该销售机构托管的基金份额进行处理，即登记确认日期在先的基金份额先赎回，登记确认日期在后的基金份额后赎回，以确定被赎回基金份额的持有期限和所适用的赎回费率。</w:t>
      </w:r>
    </w:p>
    <w:p w:rsidR="00783788" w:rsidRDefault="002C6E18">
      <w:pPr>
        <w:widowControl/>
        <w:adjustRightInd w:val="0"/>
        <w:snapToGrid w:val="0"/>
        <w:spacing w:line="360" w:lineRule="auto"/>
        <w:ind w:firstLineChars="200" w:firstLine="480"/>
        <w:rPr>
          <w:kern w:val="0"/>
          <w:sz w:val="24"/>
          <w:szCs w:val="24"/>
        </w:rPr>
      </w:pPr>
      <w:r>
        <w:rPr>
          <w:rFonts w:hAnsi="宋体"/>
          <w:bCs/>
          <w:sz w:val="24"/>
          <w:szCs w:val="24"/>
        </w:rPr>
        <w:t>基金管理人可在法律法规允许的情况下，对上述原则进行调整。基金管理人必须在新规则开始实施前依照《信息披露办法》的有关规定在指定媒体上公告</w:t>
      </w:r>
      <w:r>
        <w:rPr>
          <w:rFonts w:hAnsi="宋体"/>
          <w:sz w:val="24"/>
          <w:szCs w:val="24"/>
        </w:rPr>
        <w:t>。</w:t>
      </w:r>
    </w:p>
    <w:p w:rsidR="00783788" w:rsidRDefault="002C6E18">
      <w:pPr>
        <w:widowControl/>
        <w:adjustRightInd w:val="0"/>
        <w:snapToGrid w:val="0"/>
        <w:spacing w:line="360" w:lineRule="auto"/>
        <w:ind w:firstLineChars="200" w:firstLine="482"/>
        <w:outlineLvl w:val="1"/>
        <w:rPr>
          <w:b/>
          <w:kern w:val="0"/>
          <w:sz w:val="24"/>
          <w:szCs w:val="24"/>
        </w:rPr>
      </w:pPr>
      <w:r>
        <w:rPr>
          <w:rFonts w:hAnsi="宋体"/>
          <w:b/>
          <w:kern w:val="0"/>
          <w:sz w:val="24"/>
          <w:szCs w:val="24"/>
        </w:rPr>
        <w:t>（四）申购和赎回的数额限定</w:t>
      </w:r>
      <w:r>
        <w:rPr>
          <w:b/>
          <w:kern w:val="0"/>
          <w:sz w:val="24"/>
          <w:szCs w:val="24"/>
        </w:rPr>
        <w:t xml:space="preserve"> </w:t>
      </w:r>
    </w:p>
    <w:p w:rsidR="00783788" w:rsidRDefault="002C6E18">
      <w:pPr>
        <w:widowControl/>
        <w:adjustRightInd w:val="0"/>
        <w:snapToGrid w:val="0"/>
        <w:spacing w:line="360" w:lineRule="auto"/>
        <w:ind w:firstLineChars="200" w:firstLine="480"/>
        <w:rPr>
          <w:kern w:val="0"/>
          <w:sz w:val="24"/>
          <w:szCs w:val="24"/>
        </w:rPr>
      </w:pPr>
      <w:r>
        <w:rPr>
          <w:kern w:val="0"/>
          <w:sz w:val="24"/>
          <w:szCs w:val="24"/>
        </w:rPr>
        <w:t>1</w:t>
      </w:r>
      <w:r>
        <w:rPr>
          <w:rFonts w:hAnsi="宋体"/>
          <w:kern w:val="0"/>
          <w:sz w:val="24"/>
          <w:szCs w:val="24"/>
        </w:rPr>
        <w:t>、申购金额的限制</w:t>
      </w:r>
    </w:p>
    <w:p w:rsidR="00783788" w:rsidRDefault="002C6E18">
      <w:pPr>
        <w:widowControl/>
        <w:adjustRightInd w:val="0"/>
        <w:snapToGrid w:val="0"/>
        <w:spacing w:line="360" w:lineRule="auto"/>
        <w:ind w:firstLineChars="200" w:firstLine="480"/>
        <w:rPr>
          <w:kern w:val="0"/>
          <w:sz w:val="24"/>
          <w:szCs w:val="24"/>
        </w:rPr>
      </w:pPr>
      <w:r>
        <w:rPr>
          <w:rFonts w:hAnsi="宋体"/>
          <w:kern w:val="0"/>
          <w:sz w:val="24"/>
          <w:szCs w:val="24"/>
        </w:rPr>
        <w:t>直销机构首次申购的最低金额为单笔</w:t>
      </w:r>
      <w:r>
        <w:rPr>
          <w:kern w:val="0"/>
          <w:sz w:val="24"/>
          <w:szCs w:val="24"/>
        </w:rPr>
        <w:t>100,000</w:t>
      </w:r>
      <w:r>
        <w:rPr>
          <w:rFonts w:hAnsi="宋体"/>
          <w:kern w:val="0"/>
          <w:sz w:val="24"/>
          <w:szCs w:val="24"/>
        </w:rPr>
        <w:t>元，追加申购的最低金额为单笔</w:t>
      </w:r>
      <w:r>
        <w:rPr>
          <w:kern w:val="0"/>
          <w:sz w:val="24"/>
          <w:szCs w:val="24"/>
        </w:rPr>
        <w:t>10,000</w:t>
      </w:r>
      <w:r>
        <w:rPr>
          <w:rFonts w:hAnsi="宋体"/>
          <w:kern w:val="0"/>
          <w:sz w:val="24"/>
          <w:szCs w:val="24"/>
        </w:rPr>
        <w:t>元；已在直销机构有认购或申购过本基金管理人管理的任一基金（包括本基金）记录的投资人不受首次申购最低金额的限制。通过本公司网上直销交易平台办理基金申购业务的不受直销机构单笔申购最低金额的限制，申购最低金额为单笔</w:t>
      </w:r>
      <w:r>
        <w:rPr>
          <w:kern w:val="0"/>
          <w:sz w:val="24"/>
          <w:szCs w:val="24"/>
        </w:rPr>
        <w:t xml:space="preserve">1,000 </w:t>
      </w:r>
      <w:r>
        <w:rPr>
          <w:rFonts w:hAnsi="宋体"/>
          <w:kern w:val="0"/>
          <w:sz w:val="24"/>
          <w:szCs w:val="24"/>
        </w:rPr>
        <w:t>元。本基金直销</w:t>
      </w:r>
      <w:r>
        <w:rPr>
          <w:rFonts w:hAnsi="宋体" w:hint="eastAsia"/>
          <w:kern w:val="0"/>
          <w:sz w:val="24"/>
          <w:szCs w:val="24"/>
        </w:rPr>
        <w:t>机构</w:t>
      </w:r>
      <w:r>
        <w:rPr>
          <w:rFonts w:hAnsi="宋体"/>
          <w:kern w:val="0"/>
          <w:sz w:val="24"/>
          <w:szCs w:val="24"/>
        </w:rPr>
        <w:t>单笔申购最低金额可由基金管理人酌情调整。各代销机构接受申购申请的最低金额为单笔</w:t>
      </w:r>
      <w:r>
        <w:rPr>
          <w:kern w:val="0"/>
          <w:sz w:val="24"/>
          <w:szCs w:val="24"/>
        </w:rPr>
        <w:t>1,000</w:t>
      </w:r>
      <w:r>
        <w:rPr>
          <w:rFonts w:hAnsi="宋体"/>
          <w:kern w:val="0"/>
          <w:sz w:val="24"/>
          <w:szCs w:val="24"/>
        </w:rPr>
        <w:t>元，如果代销机构业务规则规定的最低单笔申购金额高于</w:t>
      </w:r>
      <w:r>
        <w:rPr>
          <w:kern w:val="0"/>
          <w:sz w:val="24"/>
          <w:szCs w:val="24"/>
        </w:rPr>
        <w:t>1,000</w:t>
      </w:r>
      <w:r>
        <w:rPr>
          <w:rFonts w:hAnsi="宋体"/>
          <w:kern w:val="0"/>
          <w:sz w:val="24"/>
          <w:szCs w:val="24"/>
        </w:rPr>
        <w:t>元，以代销机构的规定为准。</w:t>
      </w:r>
    </w:p>
    <w:p w:rsidR="00783788" w:rsidRDefault="002C6E18">
      <w:pPr>
        <w:widowControl/>
        <w:adjustRightInd w:val="0"/>
        <w:snapToGrid w:val="0"/>
        <w:spacing w:line="360" w:lineRule="auto"/>
        <w:ind w:firstLineChars="200" w:firstLine="480"/>
        <w:rPr>
          <w:kern w:val="0"/>
          <w:sz w:val="24"/>
          <w:szCs w:val="24"/>
        </w:rPr>
      </w:pPr>
      <w:r>
        <w:rPr>
          <w:kern w:val="0"/>
          <w:sz w:val="24"/>
          <w:szCs w:val="24"/>
        </w:rPr>
        <w:t>2</w:t>
      </w:r>
      <w:r>
        <w:rPr>
          <w:rFonts w:hAnsi="宋体"/>
          <w:kern w:val="0"/>
          <w:sz w:val="24"/>
          <w:szCs w:val="24"/>
        </w:rPr>
        <w:t>、赎回份额的限制</w:t>
      </w:r>
    </w:p>
    <w:p w:rsidR="00783788" w:rsidRDefault="002C6E18">
      <w:pPr>
        <w:widowControl/>
        <w:adjustRightInd w:val="0"/>
        <w:snapToGrid w:val="0"/>
        <w:spacing w:line="360" w:lineRule="auto"/>
        <w:ind w:firstLineChars="200" w:firstLine="480"/>
        <w:rPr>
          <w:kern w:val="0"/>
          <w:sz w:val="24"/>
          <w:szCs w:val="24"/>
        </w:rPr>
      </w:pPr>
      <w:r>
        <w:rPr>
          <w:rFonts w:hAnsi="宋体"/>
          <w:kern w:val="0"/>
          <w:sz w:val="24"/>
          <w:szCs w:val="24"/>
        </w:rPr>
        <w:t>赎回的最低份额为</w:t>
      </w:r>
      <w:r>
        <w:rPr>
          <w:kern w:val="0"/>
          <w:sz w:val="24"/>
          <w:szCs w:val="24"/>
        </w:rPr>
        <w:t xml:space="preserve">50 </w:t>
      </w:r>
      <w:r>
        <w:rPr>
          <w:rFonts w:hAnsi="宋体"/>
          <w:kern w:val="0"/>
          <w:sz w:val="24"/>
          <w:szCs w:val="24"/>
        </w:rPr>
        <w:t>份基金份额。</w:t>
      </w:r>
    </w:p>
    <w:p w:rsidR="00783788" w:rsidRDefault="002C6E18">
      <w:pPr>
        <w:widowControl/>
        <w:adjustRightInd w:val="0"/>
        <w:snapToGrid w:val="0"/>
        <w:spacing w:line="360" w:lineRule="auto"/>
        <w:ind w:firstLineChars="200" w:firstLine="480"/>
        <w:rPr>
          <w:kern w:val="0"/>
          <w:sz w:val="24"/>
          <w:szCs w:val="24"/>
        </w:rPr>
      </w:pPr>
      <w:bookmarkStart w:id="38" w:name="OLE_LINK6"/>
      <w:r>
        <w:rPr>
          <w:kern w:val="0"/>
          <w:sz w:val="24"/>
          <w:szCs w:val="24"/>
        </w:rPr>
        <w:t>3</w:t>
      </w:r>
      <w:r>
        <w:rPr>
          <w:rFonts w:hAnsi="宋体"/>
          <w:kern w:val="0"/>
          <w:sz w:val="24"/>
          <w:szCs w:val="24"/>
        </w:rPr>
        <w:t>、最低保留余额的限制</w:t>
      </w:r>
    </w:p>
    <w:p w:rsidR="00783788" w:rsidRDefault="002C6E18">
      <w:pPr>
        <w:widowControl/>
        <w:adjustRightInd w:val="0"/>
        <w:snapToGrid w:val="0"/>
        <w:spacing w:line="360" w:lineRule="auto"/>
        <w:ind w:firstLineChars="200" w:firstLine="480"/>
        <w:rPr>
          <w:kern w:val="0"/>
          <w:sz w:val="24"/>
          <w:szCs w:val="24"/>
        </w:rPr>
      </w:pPr>
      <w:r>
        <w:rPr>
          <w:rFonts w:hAnsi="宋体"/>
          <w:sz w:val="24"/>
          <w:szCs w:val="24"/>
        </w:rPr>
        <w:t>每个工作日投资人在单个交易账户保留的本基金份额余额少于</w:t>
      </w:r>
      <w:r>
        <w:rPr>
          <w:sz w:val="24"/>
          <w:szCs w:val="24"/>
        </w:rPr>
        <w:t>50</w:t>
      </w:r>
      <w:r>
        <w:rPr>
          <w:rFonts w:hAnsi="宋体"/>
          <w:sz w:val="24"/>
          <w:szCs w:val="24"/>
        </w:rPr>
        <w:t>份时，若当日该账户同时有份额减少类业务（如赎回、转换出、定期支付</w:t>
      </w:r>
      <w:r>
        <w:rPr>
          <w:rFonts w:hAnsi="宋体"/>
          <w:bCs/>
          <w:sz w:val="24"/>
          <w:szCs w:val="24"/>
        </w:rPr>
        <w:t>发起的自动赎回</w:t>
      </w:r>
      <w:r>
        <w:rPr>
          <w:rFonts w:hAnsi="宋体"/>
          <w:sz w:val="24"/>
          <w:szCs w:val="24"/>
        </w:rPr>
        <w:t>等）被确认，则基金管理人有权将投资人在该账户保留的本基金份额一次性全部赎回。</w:t>
      </w:r>
      <w:bookmarkEnd w:id="38"/>
    </w:p>
    <w:p w:rsidR="00783788" w:rsidRDefault="002C6E18">
      <w:pPr>
        <w:widowControl/>
        <w:adjustRightInd w:val="0"/>
        <w:snapToGrid w:val="0"/>
        <w:spacing w:line="360" w:lineRule="auto"/>
        <w:ind w:firstLineChars="200" w:firstLine="480"/>
        <w:rPr>
          <w:rFonts w:hAnsi="宋体"/>
          <w:kern w:val="0"/>
          <w:sz w:val="24"/>
          <w:szCs w:val="24"/>
        </w:rPr>
      </w:pPr>
      <w:r>
        <w:rPr>
          <w:kern w:val="0"/>
          <w:sz w:val="24"/>
          <w:szCs w:val="24"/>
        </w:rPr>
        <w:t>4</w:t>
      </w:r>
      <w:r>
        <w:rPr>
          <w:rFonts w:hAnsi="宋体"/>
          <w:kern w:val="0"/>
          <w:sz w:val="24"/>
          <w:szCs w:val="24"/>
        </w:rPr>
        <w:t>、基金管理人可根据市场情况，在法律法规允许的情况下，调整申购的金额和赎回的份额以及最低保留余额的数量限制，基金管理人必须在调整前依照《信息披露办法》的有关规定在指定的媒体上刊登公告</w:t>
      </w:r>
      <w:r>
        <w:rPr>
          <w:rFonts w:hAnsi="宋体"/>
          <w:bCs/>
          <w:sz w:val="24"/>
          <w:szCs w:val="24"/>
        </w:rPr>
        <w:t>并报中国证监会备案</w:t>
      </w:r>
      <w:r>
        <w:rPr>
          <w:rFonts w:hAnsi="宋体"/>
          <w:kern w:val="0"/>
          <w:sz w:val="24"/>
          <w:szCs w:val="24"/>
        </w:rPr>
        <w:t>。</w:t>
      </w:r>
    </w:p>
    <w:p w:rsidR="00783788" w:rsidRDefault="002C6E18">
      <w:pPr>
        <w:widowControl/>
        <w:adjustRightInd w:val="0"/>
        <w:snapToGrid w:val="0"/>
        <w:spacing w:line="360" w:lineRule="auto"/>
        <w:ind w:firstLineChars="200" w:firstLine="480"/>
        <w:rPr>
          <w:kern w:val="0"/>
          <w:sz w:val="24"/>
          <w:szCs w:val="24"/>
        </w:rPr>
      </w:pPr>
      <w:r>
        <w:rPr>
          <w:rFonts w:hint="eastAsia"/>
          <w:kern w:val="0"/>
          <w:sz w:val="24"/>
          <w:szCs w:val="24"/>
        </w:rPr>
        <w:t>5</w:t>
      </w:r>
      <w:r>
        <w:rPr>
          <w:rFonts w:hint="eastAsia"/>
          <w:kern w:val="0"/>
          <w:sz w:val="24"/>
          <w:szCs w:val="24"/>
        </w:rPr>
        <w:t>、本基金当月进行定期支付，当月自动赎回用以定期支付的基金份额从当月定期支付基准日（</w:t>
      </w:r>
      <w:r>
        <w:rPr>
          <w:rFonts w:hint="eastAsia"/>
          <w:kern w:val="0"/>
          <w:sz w:val="24"/>
          <w:szCs w:val="24"/>
        </w:rPr>
        <w:t>T</w:t>
      </w:r>
      <w:r>
        <w:rPr>
          <w:rFonts w:hint="eastAsia"/>
          <w:kern w:val="0"/>
          <w:sz w:val="24"/>
          <w:szCs w:val="24"/>
        </w:rPr>
        <w:t>日）的下一工作日起（含该日）从投资人的基金交易账户中扣减，基金交易账户中扣减后的基金份额余额自</w:t>
      </w:r>
      <w:r>
        <w:rPr>
          <w:rFonts w:hint="eastAsia"/>
          <w:kern w:val="0"/>
          <w:sz w:val="24"/>
          <w:szCs w:val="24"/>
        </w:rPr>
        <w:t>T+2</w:t>
      </w:r>
      <w:r>
        <w:rPr>
          <w:rFonts w:hint="eastAsia"/>
          <w:kern w:val="0"/>
          <w:sz w:val="24"/>
          <w:szCs w:val="24"/>
        </w:rPr>
        <w:t>日起（含该日）方可查询，可能会导致基金份额持有人在定期支付基准日（</w:t>
      </w:r>
      <w:r>
        <w:rPr>
          <w:rFonts w:hint="eastAsia"/>
          <w:kern w:val="0"/>
          <w:sz w:val="24"/>
          <w:szCs w:val="24"/>
        </w:rPr>
        <w:t>T</w:t>
      </w:r>
      <w:r>
        <w:rPr>
          <w:rFonts w:hint="eastAsia"/>
          <w:kern w:val="0"/>
          <w:sz w:val="24"/>
          <w:szCs w:val="24"/>
        </w:rPr>
        <w:t>日）的下一工作日（</w:t>
      </w:r>
      <w:r>
        <w:rPr>
          <w:rFonts w:hint="eastAsia"/>
          <w:kern w:val="0"/>
          <w:sz w:val="24"/>
          <w:szCs w:val="24"/>
        </w:rPr>
        <w:t>T+1</w:t>
      </w:r>
      <w:r>
        <w:rPr>
          <w:rFonts w:hint="eastAsia"/>
          <w:kern w:val="0"/>
          <w:sz w:val="24"/>
          <w:szCs w:val="24"/>
        </w:rPr>
        <w:t>日）提交的赎回或转换出申请因提交申请的份额余额大于实际的份额余额而被确认失败。对于发生基金份额持有人在</w:t>
      </w:r>
      <w:r>
        <w:rPr>
          <w:rFonts w:hint="eastAsia"/>
          <w:kern w:val="0"/>
          <w:sz w:val="24"/>
          <w:szCs w:val="24"/>
        </w:rPr>
        <w:t>T+1</w:t>
      </w:r>
      <w:r>
        <w:rPr>
          <w:rFonts w:hint="eastAsia"/>
          <w:kern w:val="0"/>
          <w:sz w:val="24"/>
          <w:szCs w:val="24"/>
        </w:rPr>
        <w:t>日提交的赎回申请因提交申请的份额余额大于实际的份额余额而被确认失败的情形，基金管理人有权对该基金份额持有人全部的可用剩余份额发起强制赎回，强制赎回的确认结果以注册登记机构确认结果为准；对于确认失败的转换申请，基金管理人不进行上述强制赎回的处理。</w:t>
      </w:r>
    </w:p>
    <w:p w:rsidR="00783788" w:rsidRDefault="002C6E18">
      <w:pPr>
        <w:widowControl/>
        <w:adjustRightInd w:val="0"/>
        <w:snapToGrid w:val="0"/>
        <w:spacing w:line="360" w:lineRule="auto"/>
        <w:ind w:firstLineChars="200" w:firstLine="482"/>
        <w:outlineLvl w:val="1"/>
        <w:rPr>
          <w:b/>
          <w:kern w:val="0"/>
          <w:sz w:val="24"/>
          <w:szCs w:val="24"/>
        </w:rPr>
      </w:pPr>
      <w:r>
        <w:rPr>
          <w:rFonts w:hAnsi="宋体"/>
          <w:b/>
          <w:kern w:val="0"/>
          <w:sz w:val="24"/>
          <w:szCs w:val="24"/>
        </w:rPr>
        <w:t>（五）申购和赎回的程序</w:t>
      </w:r>
      <w:r>
        <w:rPr>
          <w:b/>
          <w:kern w:val="0"/>
          <w:sz w:val="24"/>
          <w:szCs w:val="24"/>
        </w:rPr>
        <w:t xml:space="preserve"> </w:t>
      </w:r>
    </w:p>
    <w:p w:rsidR="00783788" w:rsidRDefault="002C6E18">
      <w:pPr>
        <w:adjustRightInd w:val="0"/>
        <w:snapToGrid w:val="0"/>
        <w:spacing w:line="360" w:lineRule="auto"/>
        <w:ind w:firstLineChars="200" w:firstLine="480"/>
        <w:rPr>
          <w:sz w:val="24"/>
          <w:szCs w:val="24"/>
        </w:rPr>
      </w:pPr>
      <w:r>
        <w:rPr>
          <w:sz w:val="24"/>
          <w:szCs w:val="24"/>
        </w:rPr>
        <w:t>1</w:t>
      </w:r>
      <w:r>
        <w:rPr>
          <w:rFonts w:hAnsi="宋体"/>
          <w:sz w:val="24"/>
          <w:szCs w:val="24"/>
        </w:rPr>
        <w:t>、申购和赎回的申请方式</w:t>
      </w:r>
    </w:p>
    <w:p w:rsidR="00783788" w:rsidRDefault="002C6E18">
      <w:pPr>
        <w:adjustRightInd w:val="0"/>
        <w:snapToGrid w:val="0"/>
        <w:spacing w:line="360" w:lineRule="auto"/>
        <w:ind w:firstLineChars="200" w:firstLine="480"/>
        <w:rPr>
          <w:kern w:val="0"/>
          <w:sz w:val="24"/>
          <w:szCs w:val="24"/>
        </w:rPr>
      </w:pPr>
      <w:r>
        <w:rPr>
          <w:rFonts w:hAnsi="宋体"/>
          <w:sz w:val="24"/>
          <w:szCs w:val="24"/>
        </w:rPr>
        <w:t>投资人必须根据销售机构规定的程序，在开放日的具体业务办理时间内提出申购或赎回的申请。</w:t>
      </w:r>
      <w:r>
        <w:rPr>
          <w:rFonts w:hAnsi="宋体"/>
          <w:bCs/>
          <w:sz w:val="24"/>
          <w:szCs w:val="24"/>
        </w:rPr>
        <w:t>投资人在提交申购申请时须按销售机构规定的方式备足申购资金，投资人在提交赎回申请时须持有足够的基金份额余额，否则所提交的申购、赎回申请无效。</w:t>
      </w:r>
    </w:p>
    <w:p w:rsidR="00783788" w:rsidRDefault="002C6E18">
      <w:pPr>
        <w:adjustRightInd w:val="0"/>
        <w:snapToGrid w:val="0"/>
        <w:spacing w:line="360" w:lineRule="auto"/>
        <w:ind w:firstLineChars="200" w:firstLine="480"/>
        <w:rPr>
          <w:sz w:val="24"/>
          <w:szCs w:val="24"/>
        </w:rPr>
      </w:pPr>
      <w:r>
        <w:rPr>
          <w:sz w:val="24"/>
          <w:szCs w:val="24"/>
        </w:rPr>
        <w:t>2</w:t>
      </w:r>
      <w:r>
        <w:rPr>
          <w:rFonts w:hAnsi="宋体"/>
          <w:sz w:val="24"/>
          <w:szCs w:val="24"/>
        </w:rPr>
        <w:t>、申购和赎回申请的确认</w:t>
      </w:r>
    </w:p>
    <w:p w:rsidR="00783788" w:rsidRDefault="002C6E18">
      <w:pPr>
        <w:adjustRightInd w:val="0"/>
        <w:snapToGrid w:val="0"/>
        <w:spacing w:line="360" w:lineRule="auto"/>
        <w:ind w:firstLineChars="200" w:firstLine="480"/>
        <w:rPr>
          <w:bCs/>
          <w:sz w:val="24"/>
          <w:szCs w:val="24"/>
        </w:rPr>
      </w:pPr>
      <w:r>
        <w:rPr>
          <w:rFonts w:hAnsi="宋体"/>
          <w:bCs/>
          <w:sz w:val="24"/>
          <w:szCs w:val="24"/>
        </w:rPr>
        <w:t>基金管理人应以交易时间结束前受理有效申购和赎回申请的当天作为申购或赎回申请日（</w:t>
      </w:r>
      <w:r>
        <w:rPr>
          <w:bCs/>
          <w:sz w:val="24"/>
          <w:szCs w:val="24"/>
        </w:rPr>
        <w:t>T</w:t>
      </w:r>
      <w:r>
        <w:rPr>
          <w:rFonts w:hAnsi="宋体"/>
          <w:bCs/>
          <w:sz w:val="24"/>
          <w:szCs w:val="24"/>
        </w:rPr>
        <w:t>日），在正常情况下，本基金登记机构在</w:t>
      </w:r>
      <w:r>
        <w:rPr>
          <w:bCs/>
          <w:sz w:val="24"/>
          <w:szCs w:val="24"/>
        </w:rPr>
        <w:t>T+1</w:t>
      </w:r>
      <w:r>
        <w:rPr>
          <w:rFonts w:hAnsi="宋体"/>
          <w:bCs/>
          <w:sz w:val="24"/>
          <w:szCs w:val="24"/>
        </w:rPr>
        <w:t>日（包括该日）内对该交易的有效性进行确认。</w:t>
      </w:r>
      <w:r>
        <w:rPr>
          <w:bCs/>
          <w:sz w:val="24"/>
          <w:szCs w:val="24"/>
        </w:rPr>
        <w:t>T</w:t>
      </w:r>
      <w:r>
        <w:rPr>
          <w:rFonts w:hAnsi="宋体"/>
          <w:bCs/>
          <w:sz w:val="24"/>
          <w:szCs w:val="24"/>
        </w:rPr>
        <w:t>日提交的有效申请，投资人可在</w:t>
      </w:r>
      <w:r>
        <w:rPr>
          <w:bCs/>
          <w:sz w:val="24"/>
          <w:szCs w:val="24"/>
        </w:rPr>
        <w:t>T+2</w:t>
      </w:r>
      <w:r>
        <w:rPr>
          <w:rFonts w:hAnsi="宋体"/>
          <w:bCs/>
          <w:sz w:val="24"/>
          <w:szCs w:val="24"/>
        </w:rPr>
        <w:t>日后（包括该日）到销售网点柜台或以销售机构规定的其他方式查询申请的确认情况。若申购不成功，则申购款项退还给投资人。</w:t>
      </w:r>
    </w:p>
    <w:p w:rsidR="00783788" w:rsidRDefault="002C6E18">
      <w:pPr>
        <w:adjustRightInd w:val="0"/>
        <w:snapToGrid w:val="0"/>
        <w:spacing w:line="360" w:lineRule="auto"/>
        <w:ind w:firstLineChars="200" w:firstLine="480"/>
        <w:rPr>
          <w:sz w:val="24"/>
          <w:szCs w:val="24"/>
        </w:rPr>
      </w:pPr>
      <w:r>
        <w:rPr>
          <w:rFonts w:hAnsi="宋体"/>
          <w:sz w:val="24"/>
          <w:szCs w:val="24"/>
        </w:rPr>
        <w:t>基金管理人可在法律法规允许的范围内，依法对上述申购和赎回申请的确认时间进行调整，并必须在调整实施日前按照《信息披露办法》的有关规定在指定媒体上公告并报中国证监会备案。</w:t>
      </w:r>
    </w:p>
    <w:p w:rsidR="00783788" w:rsidRDefault="002C6E18">
      <w:pPr>
        <w:adjustRightInd w:val="0"/>
        <w:snapToGrid w:val="0"/>
        <w:spacing w:line="360" w:lineRule="auto"/>
        <w:ind w:firstLineChars="200" w:firstLine="480"/>
        <w:rPr>
          <w:bCs/>
          <w:sz w:val="24"/>
          <w:szCs w:val="24"/>
        </w:rPr>
      </w:pPr>
      <w:r>
        <w:rPr>
          <w:rFonts w:hAnsi="宋体"/>
          <w:sz w:val="24"/>
          <w:szCs w:val="24"/>
        </w:rPr>
        <w:t>销售机构对申购、赎回申请的受理并不代表该申请一定成功，而仅代表销售机构确实接收到申购、赎回申请。申购、赎回申请的确认以登记机构的确认结果为准。对于申请的确认情况，投资者应及时查询。</w:t>
      </w:r>
    </w:p>
    <w:p w:rsidR="00783788" w:rsidRDefault="002C6E18">
      <w:pPr>
        <w:adjustRightInd w:val="0"/>
        <w:snapToGrid w:val="0"/>
        <w:spacing w:line="360" w:lineRule="auto"/>
        <w:ind w:firstLineChars="200" w:firstLine="480"/>
        <w:rPr>
          <w:sz w:val="24"/>
          <w:szCs w:val="24"/>
        </w:rPr>
      </w:pPr>
      <w:r>
        <w:rPr>
          <w:sz w:val="24"/>
          <w:szCs w:val="24"/>
        </w:rPr>
        <w:t>3</w:t>
      </w:r>
      <w:r>
        <w:rPr>
          <w:rFonts w:hAnsi="宋体"/>
          <w:sz w:val="24"/>
          <w:szCs w:val="24"/>
        </w:rPr>
        <w:t>、申购和赎回的款项支付</w:t>
      </w:r>
    </w:p>
    <w:p w:rsidR="00783788" w:rsidRDefault="002C6E18">
      <w:pPr>
        <w:adjustRightInd w:val="0"/>
        <w:snapToGrid w:val="0"/>
        <w:spacing w:line="360" w:lineRule="auto"/>
        <w:ind w:firstLineChars="200" w:firstLine="480"/>
        <w:rPr>
          <w:bCs/>
          <w:sz w:val="24"/>
          <w:szCs w:val="24"/>
        </w:rPr>
      </w:pPr>
      <w:r>
        <w:rPr>
          <w:rFonts w:hAnsi="宋体"/>
          <w:bCs/>
          <w:sz w:val="24"/>
          <w:szCs w:val="24"/>
          <w:lang w:val="zh-CN"/>
        </w:rPr>
        <w:t>投资人申购基金份额时，必须全额交付申购款项，若申购资金在规定时间内未全额到账则申购不成功。</w:t>
      </w:r>
    </w:p>
    <w:p w:rsidR="00783788" w:rsidRDefault="002C6E18">
      <w:pPr>
        <w:adjustRightInd w:val="0"/>
        <w:snapToGrid w:val="0"/>
        <w:spacing w:line="360" w:lineRule="auto"/>
        <w:ind w:firstLineChars="200" w:firstLine="480"/>
        <w:rPr>
          <w:bCs/>
          <w:sz w:val="24"/>
          <w:szCs w:val="24"/>
        </w:rPr>
      </w:pPr>
      <w:r>
        <w:rPr>
          <w:rFonts w:hAnsi="宋体"/>
          <w:bCs/>
          <w:sz w:val="24"/>
          <w:szCs w:val="24"/>
        </w:rPr>
        <w:t>投资人赎回申请成功后，基金管理人将在</w:t>
      </w:r>
      <w:r>
        <w:rPr>
          <w:bCs/>
          <w:sz w:val="24"/>
          <w:szCs w:val="24"/>
        </w:rPr>
        <w:t>T</w:t>
      </w:r>
      <w:r>
        <w:rPr>
          <w:rFonts w:hAnsi="宋体"/>
          <w:bCs/>
          <w:sz w:val="24"/>
          <w:szCs w:val="24"/>
        </w:rPr>
        <w:t>＋</w:t>
      </w:r>
      <w:r>
        <w:rPr>
          <w:bCs/>
          <w:sz w:val="24"/>
          <w:szCs w:val="24"/>
        </w:rPr>
        <w:t>7</w:t>
      </w:r>
      <w:r>
        <w:rPr>
          <w:rFonts w:hAnsi="宋体"/>
          <w:bCs/>
          <w:sz w:val="24"/>
          <w:szCs w:val="24"/>
        </w:rPr>
        <w:t>日（包括该日）内支付赎回款项。在发生巨额赎回时，款项的支付办法参照本基金合同有关条款处理。</w:t>
      </w:r>
    </w:p>
    <w:p w:rsidR="00783788" w:rsidRDefault="002C6E18">
      <w:pPr>
        <w:pStyle w:val="a0"/>
        <w:autoSpaceDE w:val="0"/>
        <w:autoSpaceDN w:val="0"/>
        <w:adjustRightInd w:val="0"/>
        <w:snapToGrid w:val="0"/>
        <w:spacing w:line="360" w:lineRule="auto"/>
        <w:ind w:firstLine="480"/>
        <w:rPr>
          <w:sz w:val="24"/>
          <w:szCs w:val="24"/>
        </w:rPr>
      </w:pPr>
      <w:r>
        <w:rPr>
          <w:sz w:val="24"/>
          <w:szCs w:val="24"/>
        </w:rPr>
        <w:t>4</w:t>
      </w:r>
      <w:r>
        <w:rPr>
          <w:rFonts w:hAnsi="宋体"/>
          <w:sz w:val="24"/>
          <w:szCs w:val="24"/>
        </w:rPr>
        <w:t>、申购和赎回的注册登记</w:t>
      </w:r>
    </w:p>
    <w:p w:rsidR="00783788" w:rsidRDefault="002C6E18">
      <w:pPr>
        <w:widowControl/>
        <w:adjustRightInd w:val="0"/>
        <w:snapToGrid w:val="0"/>
        <w:spacing w:line="360" w:lineRule="auto"/>
        <w:ind w:firstLineChars="200" w:firstLine="480"/>
        <w:rPr>
          <w:sz w:val="24"/>
          <w:szCs w:val="24"/>
        </w:rPr>
      </w:pPr>
      <w:r>
        <w:rPr>
          <w:rFonts w:hAnsi="宋体"/>
          <w:sz w:val="24"/>
          <w:szCs w:val="24"/>
        </w:rPr>
        <w:t>（</w:t>
      </w:r>
      <w:r>
        <w:rPr>
          <w:sz w:val="24"/>
          <w:szCs w:val="24"/>
        </w:rPr>
        <w:t>1</w:t>
      </w:r>
      <w:r>
        <w:rPr>
          <w:rFonts w:hAnsi="宋体"/>
          <w:sz w:val="24"/>
          <w:szCs w:val="24"/>
        </w:rPr>
        <w:t>）投资人</w:t>
      </w:r>
      <w:r>
        <w:rPr>
          <w:sz w:val="24"/>
          <w:szCs w:val="24"/>
        </w:rPr>
        <w:t>T</w:t>
      </w:r>
      <w:r>
        <w:rPr>
          <w:rFonts w:hAnsi="宋体"/>
          <w:sz w:val="24"/>
          <w:szCs w:val="24"/>
        </w:rPr>
        <w:t>日申购基金成功后，正常情况下，登记机构在</w:t>
      </w:r>
      <w:r>
        <w:rPr>
          <w:sz w:val="24"/>
          <w:szCs w:val="24"/>
        </w:rPr>
        <w:t>T</w:t>
      </w:r>
      <w:r>
        <w:rPr>
          <w:rFonts w:hAnsi="宋体"/>
          <w:sz w:val="24"/>
          <w:szCs w:val="24"/>
        </w:rPr>
        <w:t>＋</w:t>
      </w:r>
      <w:r>
        <w:rPr>
          <w:sz w:val="24"/>
          <w:szCs w:val="24"/>
        </w:rPr>
        <w:t>1</w:t>
      </w:r>
      <w:r>
        <w:rPr>
          <w:rFonts w:hAnsi="宋体"/>
          <w:sz w:val="24"/>
          <w:szCs w:val="24"/>
        </w:rPr>
        <w:t>日为投资人增加权益并办理注册登记手续，投资人自</w:t>
      </w:r>
      <w:r>
        <w:rPr>
          <w:sz w:val="24"/>
          <w:szCs w:val="24"/>
        </w:rPr>
        <w:t>T</w:t>
      </w:r>
      <w:r>
        <w:rPr>
          <w:rFonts w:hAnsi="宋体"/>
          <w:sz w:val="24"/>
          <w:szCs w:val="24"/>
        </w:rPr>
        <w:t>＋</w:t>
      </w:r>
      <w:r>
        <w:rPr>
          <w:sz w:val="24"/>
          <w:szCs w:val="24"/>
        </w:rPr>
        <w:t>2</w:t>
      </w:r>
      <w:r>
        <w:rPr>
          <w:rFonts w:hAnsi="宋体"/>
          <w:sz w:val="24"/>
          <w:szCs w:val="24"/>
        </w:rPr>
        <w:t>日起（包括该日）有权赎回该部分基金份额。投资人应及时查询有关申请的确认情况。</w:t>
      </w:r>
    </w:p>
    <w:p w:rsidR="00783788" w:rsidRDefault="002C6E18">
      <w:pPr>
        <w:widowControl/>
        <w:adjustRightInd w:val="0"/>
        <w:snapToGrid w:val="0"/>
        <w:spacing w:line="360" w:lineRule="auto"/>
        <w:ind w:firstLineChars="200" w:firstLine="480"/>
        <w:rPr>
          <w:sz w:val="24"/>
          <w:szCs w:val="24"/>
        </w:rPr>
      </w:pPr>
      <w:r>
        <w:rPr>
          <w:rFonts w:hAnsi="宋体"/>
          <w:sz w:val="24"/>
          <w:szCs w:val="24"/>
        </w:rPr>
        <w:t>（</w:t>
      </w:r>
      <w:r>
        <w:rPr>
          <w:sz w:val="24"/>
          <w:szCs w:val="24"/>
        </w:rPr>
        <w:t>2</w:t>
      </w:r>
      <w:r>
        <w:rPr>
          <w:rFonts w:hAnsi="宋体"/>
          <w:sz w:val="24"/>
          <w:szCs w:val="24"/>
        </w:rPr>
        <w:t>）投资人</w:t>
      </w:r>
      <w:r>
        <w:rPr>
          <w:sz w:val="24"/>
          <w:szCs w:val="24"/>
        </w:rPr>
        <w:t>T</w:t>
      </w:r>
      <w:r>
        <w:rPr>
          <w:rFonts w:hAnsi="宋体"/>
          <w:sz w:val="24"/>
          <w:szCs w:val="24"/>
        </w:rPr>
        <w:t>日赎回基金成功后，正常情况下，登记机构在</w:t>
      </w:r>
      <w:r>
        <w:rPr>
          <w:sz w:val="24"/>
          <w:szCs w:val="24"/>
        </w:rPr>
        <w:t>T</w:t>
      </w:r>
      <w:r>
        <w:rPr>
          <w:rFonts w:hAnsi="宋体"/>
          <w:sz w:val="24"/>
          <w:szCs w:val="24"/>
        </w:rPr>
        <w:t>＋</w:t>
      </w:r>
      <w:r>
        <w:rPr>
          <w:sz w:val="24"/>
          <w:szCs w:val="24"/>
        </w:rPr>
        <w:t>1</w:t>
      </w:r>
      <w:r>
        <w:rPr>
          <w:rFonts w:hAnsi="宋体"/>
          <w:sz w:val="24"/>
          <w:szCs w:val="24"/>
        </w:rPr>
        <w:t>日为投资人扣除权益并办理相应的注册登记手续。</w:t>
      </w:r>
    </w:p>
    <w:p w:rsidR="00783788" w:rsidRDefault="002C6E18">
      <w:pPr>
        <w:widowControl/>
        <w:adjustRightInd w:val="0"/>
        <w:snapToGrid w:val="0"/>
        <w:spacing w:line="360" w:lineRule="auto"/>
        <w:ind w:firstLineChars="200" w:firstLine="480"/>
        <w:rPr>
          <w:sz w:val="24"/>
          <w:szCs w:val="24"/>
        </w:rPr>
      </w:pPr>
      <w:r>
        <w:rPr>
          <w:rFonts w:hAnsi="宋体"/>
          <w:sz w:val="24"/>
          <w:szCs w:val="24"/>
        </w:rPr>
        <w:t>（</w:t>
      </w:r>
      <w:r>
        <w:rPr>
          <w:sz w:val="24"/>
          <w:szCs w:val="24"/>
        </w:rPr>
        <w:t>3</w:t>
      </w:r>
      <w:r>
        <w:rPr>
          <w:rFonts w:hAnsi="宋体"/>
          <w:sz w:val="24"/>
          <w:szCs w:val="24"/>
        </w:rPr>
        <w:t>）基金管理人可在法律法规允许的范围内，对上述注册登记办理时间进行调整，并于开始实施前按照《信息披露办法》的有关规定在指定媒体上公告并报中国证监会备案。</w:t>
      </w:r>
    </w:p>
    <w:p w:rsidR="00783788" w:rsidRDefault="002C6E18">
      <w:pPr>
        <w:widowControl/>
        <w:adjustRightInd w:val="0"/>
        <w:snapToGrid w:val="0"/>
        <w:spacing w:line="360" w:lineRule="auto"/>
        <w:ind w:firstLineChars="200" w:firstLine="482"/>
        <w:outlineLvl w:val="1"/>
        <w:rPr>
          <w:b/>
          <w:kern w:val="0"/>
          <w:sz w:val="24"/>
          <w:szCs w:val="24"/>
        </w:rPr>
      </w:pPr>
      <w:r>
        <w:rPr>
          <w:rFonts w:hAnsi="宋体"/>
          <w:b/>
          <w:kern w:val="0"/>
          <w:sz w:val="24"/>
          <w:szCs w:val="24"/>
        </w:rPr>
        <w:t>（六）基金的申购费和赎回费</w:t>
      </w:r>
    </w:p>
    <w:p w:rsidR="00783788" w:rsidRDefault="002C6E18">
      <w:pPr>
        <w:widowControl/>
        <w:adjustRightInd w:val="0"/>
        <w:snapToGrid w:val="0"/>
        <w:spacing w:line="360" w:lineRule="auto"/>
        <w:ind w:firstLineChars="200" w:firstLine="480"/>
        <w:rPr>
          <w:kern w:val="0"/>
          <w:sz w:val="24"/>
          <w:szCs w:val="24"/>
        </w:rPr>
      </w:pPr>
      <w:r>
        <w:rPr>
          <w:kern w:val="0"/>
          <w:sz w:val="24"/>
          <w:szCs w:val="24"/>
        </w:rPr>
        <w:t>1</w:t>
      </w:r>
      <w:r>
        <w:rPr>
          <w:rFonts w:hAnsi="宋体"/>
          <w:kern w:val="0"/>
          <w:sz w:val="24"/>
          <w:szCs w:val="24"/>
        </w:rPr>
        <w:t>、申购费用</w:t>
      </w:r>
    </w:p>
    <w:p w:rsidR="00783788" w:rsidRDefault="002C6E18">
      <w:pPr>
        <w:widowControl/>
        <w:adjustRightInd w:val="0"/>
        <w:snapToGrid w:val="0"/>
        <w:spacing w:line="360" w:lineRule="auto"/>
        <w:ind w:firstLineChars="200" w:firstLine="480"/>
        <w:rPr>
          <w:kern w:val="0"/>
          <w:sz w:val="24"/>
          <w:szCs w:val="24"/>
        </w:rPr>
      </w:pPr>
      <w:r>
        <w:rPr>
          <w:rFonts w:hAnsi="宋体"/>
          <w:kern w:val="0"/>
          <w:sz w:val="24"/>
          <w:szCs w:val="24"/>
        </w:rPr>
        <w:t>本基金的申购费用由基金申购人承担，不列入基金财产，主要用于本基金的市场推广、销售、登记等各项费用。</w:t>
      </w:r>
    </w:p>
    <w:p w:rsidR="00783788" w:rsidRDefault="002C6E18">
      <w:pPr>
        <w:widowControl/>
        <w:adjustRightInd w:val="0"/>
        <w:snapToGrid w:val="0"/>
        <w:spacing w:line="360" w:lineRule="auto"/>
        <w:ind w:firstLineChars="200" w:firstLine="480"/>
        <w:rPr>
          <w:kern w:val="0"/>
          <w:sz w:val="24"/>
          <w:szCs w:val="24"/>
        </w:rPr>
      </w:pPr>
      <w:r>
        <w:rPr>
          <w:rFonts w:hAnsi="宋体"/>
          <w:kern w:val="0"/>
          <w:sz w:val="24"/>
          <w:szCs w:val="24"/>
        </w:rPr>
        <w:t>投资人可以多次申购本基金，申购费率按每笔申购申请单独计算。</w:t>
      </w:r>
    </w:p>
    <w:p w:rsidR="00783788" w:rsidRDefault="002C6E18">
      <w:pPr>
        <w:widowControl/>
        <w:adjustRightInd w:val="0"/>
        <w:snapToGrid w:val="0"/>
        <w:spacing w:line="360" w:lineRule="auto"/>
        <w:ind w:firstLineChars="200" w:firstLine="480"/>
        <w:rPr>
          <w:kern w:val="0"/>
          <w:sz w:val="24"/>
        </w:rPr>
      </w:pPr>
      <w:r>
        <w:rPr>
          <w:rFonts w:hAnsi="宋体"/>
          <w:kern w:val="0"/>
          <w:sz w:val="24"/>
          <w:szCs w:val="24"/>
        </w:rPr>
        <w:t>本基金的申购费率如下：</w:t>
      </w:r>
    </w:p>
    <w:tbl>
      <w:tblPr>
        <w:tblW w:w="7794"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491"/>
        <w:gridCol w:w="3260"/>
        <w:gridCol w:w="2043"/>
      </w:tblGrid>
      <w:tr w:rsidR="00783788">
        <w:trPr>
          <w:cantSplit/>
          <w:trHeight w:val="132"/>
        </w:trPr>
        <w:tc>
          <w:tcPr>
            <w:tcW w:w="2491" w:type="dxa"/>
            <w:vMerge w:val="restart"/>
            <w:shd w:val="clear" w:color="auto" w:fill="auto"/>
            <w:vAlign w:val="center"/>
          </w:tcPr>
          <w:p w:rsidR="00783788" w:rsidRDefault="002C6E18">
            <w:pPr>
              <w:jc w:val="center"/>
              <w:rPr>
                <w:sz w:val="24"/>
              </w:rPr>
            </w:pPr>
            <w:r>
              <w:rPr>
                <w:sz w:val="24"/>
              </w:rPr>
              <w:t>申购费率</w:t>
            </w:r>
          </w:p>
        </w:tc>
        <w:tc>
          <w:tcPr>
            <w:tcW w:w="3260" w:type="dxa"/>
            <w:shd w:val="clear" w:color="auto" w:fill="FFFFFF"/>
            <w:vAlign w:val="center"/>
          </w:tcPr>
          <w:p w:rsidR="00783788" w:rsidRDefault="002C6E18">
            <w:pPr>
              <w:jc w:val="center"/>
              <w:rPr>
                <w:b/>
                <w:sz w:val="24"/>
              </w:rPr>
            </w:pPr>
            <w:r>
              <w:rPr>
                <w:b/>
                <w:sz w:val="24"/>
              </w:rPr>
              <w:t>申购金额（含申购费）</w:t>
            </w:r>
          </w:p>
        </w:tc>
        <w:tc>
          <w:tcPr>
            <w:tcW w:w="2043" w:type="dxa"/>
            <w:shd w:val="clear" w:color="auto" w:fill="FFFFFF"/>
            <w:vAlign w:val="center"/>
          </w:tcPr>
          <w:p w:rsidR="00783788" w:rsidRDefault="002C6E18">
            <w:pPr>
              <w:jc w:val="center"/>
              <w:rPr>
                <w:b/>
                <w:sz w:val="24"/>
              </w:rPr>
            </w:pPr>
            <w:r>
              <w:rPr>
                <w:b/>
                <w:sz w:val="24"/>
              </w:rPr>
              <w:t>申购费率</w:t>
            </w:r>
          </w:p>
        </w:tc>
      </w:tr>
      <w:tr w:rsidR="00783788">
        <w:trPr>
          <w:cantSplit/>
          <w:trHeight w:val="131"/>
        </w:trPr>
        <w:tc>
          <w:tcPr>
            <w:tcW w:w="2491" w:type="dxa"/>
            <w:vMerge/>
          </w:tcPr>
          <w:p w:rsidR="00783788" w:rsidRDefault="00783788">
            <w:pPr>
              <w:rPr>
                <w:sz w:val="24"/>
              </w:rPr>
            </w:pPr>
          </w:p>
        </w:tc>
        <w:tc>
          <w:tcPr>
            <w:tcW w:w="3260" w:type="dxa"/>
          </w:tcPr>
          <w:p w:rsidR="00783788" w:rsidRDefault="002C6E18">
            <w:pPr>
              <w:rPr>
                <w:sz w:val="24"/>
              </w:rPr>
            </w:pPr>
            <w:r>
              <w:rPr>
                <w:sz w:val="24"/>
              </w:rPr>
              <w:t>50</w:t>
            </w:r>
            <w:r>
              <w:rPr>
                <w:rFonts w:hAnsi="宋体"/>
                <w:sz w:val="24"/>
              </w:rPr>
              <w:t>万元以下</w:t>
            </w:r>
          </w:p>
        </w:tc>
        <w:tc>
          <w:tcPr>
            <w:tcW w:w="2043" w:type="dxa"/>
          </w:tcPr>
          <w:p w:rsidR="00783788" w:rsidRDefault="002C6E18">
            <w:pPr>
              <w:jc w:val="center"/>
              <w:rPr>
                <w:sz w:val="24"/>
              </w:rPr>
            </w:pPr>
            <w:r>
              <w:rPr>
                <w:sz w:val="24"/>
              </w:rPr>
              <w:t>1.5%</w:t>
            </w:r>
          </w:p>
        </w:tc>
      </w:tr>
      <w:tr w:rsidR="00783788">
        <w:trPr>
          <w:cantSplit/>
          <w:trHeight w:val="131"/>
        </w:trPr>
        <w:tc>
          <w:tcPr>
            <w:tcW w:w="2491" w:type="dxa"/>
            <w:vMerge/>
          </w:tcPr>
          <w:p w:rsidR="00783788" w:rsidRDefault="00783788">
            <w:pPr>
              <w:rPr>
                <w:sz w:val="24"/>
              </w:rPr>
            </w:pPr>
          </w:p>
        </w:tc>
        <w:tc>
          <w:tcPr>
            <w:tcW w:w="3260" w:type="dxa"/>
          </w:tcPr>
          <w:p w:rsidR="00783788" w:rsidRDefault="002C6E18">
            <w:pPr>
              <w:rPr>
                <w:sz w:val="24"/>
              </w:rPr>
            </w:pPr>
            <w:r>
              <w:rPr>
                <w:sz w:val="24"/>
              </w:rPr>
              <w:t>50</w:t>
            </w:r>
            <w:r>
              <w:rPr>
                <w:rFonts w:hAnsi="宋体"/>
                <w:sz w:val="24"/>
              </w:rPr>
              <w:t>万元（含）至</w:t>
            </w:r>
            <w:r>
              <w:rPr>
                <w:sz w:val="24"/>
              </w:rPr>
              <w:t>100</w:t>
            </w:r>
            <w:r>
              <w:rPr>
                <w:rFonts w:hAnsi="宋体"/>
                <w:sz w:val="24"/>
              </w:rPr>
              <w:t>万元</w:t>
            </w:r>
          </w:p>
        </w:tc>
        <w:tc>
          <w:tcPr>
            <w:tcW w:w="2043" w:type="dxa"/>
          </w:tcPr>
          <w:p w:rsidR="00783788" w:rsidRDefault="002C6E18">
            <w:pPr>
              <w:jc w:val="center"/>
              <w:rPr>
                <w:sz w:val="24"/>
              </w:rPr>
            </w:pPr>
            <w:r>
              <w:rPr>
                <w:sz w:val="24"/>
              </w:rPr>
              <w:t>1.2%</w:t>
            </w:r>
          </w:p>
        </w:tc>
      </w:tr>
      <w:tr w:rsidR="00783788">
        <w:trPr>
          <w:cantSplit/>
          <w:trHeight w:val="131"/>
        </w:trPr>
        <w:tc>
          <w:tcPr>
            <w:tcW w:w="2491" w:type="dxa"/>
            <w:vMerge/>
          </w:tcPr>
          <w:p w:rsidR="00783788" w:rsidRDefault="00783788">
            <w:pPr>
              <w:rPr>
                <w:sz w:val="24"/>
              </w:rPr>
            </w:pPr>
          </w:p>
        </w:tc>
        <w:tc>
          <w:tcPr>
            <w:tcW w:w="3260" w:type="dxa"/>
          </w:tcPr>
          <w:p w:rsidR="00783788" w:rsidRDefault="002C6E18">
            <w:pPr>
              <w:rPr>
                <w:sz w:val="24"/>
              </w:rPr>
            </w:pPr>
            <w:r>
              <w:rPr>
                <w:sz w:val="24"/>
              </w:rPr>
              <w:t>100</w:t>
            </w:r>
            <w:r>
              <w:rPr>
                <w:rFonts w:hAnsi="宋体"/>
                <w:sz w:val="24"/>
              </w:rPr>
              <w:t>万元（含）至</w:t>
            </w:r>
            <w:r>
              <w:rPr>
                <w:sz w:val="24"/>
              </w:rPr>
              <w:t>200</w:t>
            </w:r>
            <w:r>
              <w:rPr>
                <w:rFonts w:hAnsi="宋体"/>
                <w:sz w:val="24"/>
              </w:rPr>
              <w:t>万元</w:t>
            </w:r>
          </w:p>
        </w:tc>
        <w:tc>
          <w:tcPr>
            <w:tcW w:w="2043" w:type="dxa"/>
          </w:tcPr>
          <w:p w:rsidR="00783788" w:rsidRDefault="002C6E18">
            <w:pPr>
              <w:jc w:val="center"/>
              <w:rPr>
                <w:sz w:val="24"/>
              </w:rPr>
            </w:pPr>
            <w:r>
              <w:rPr>
                <w:sz w:val="24"/>
              </w:rPr>
              <w:t>0.8%</w:t>
            </w:r>
          </w:p>
        </w:tc>
      </w:tr>
      <w:tr w:rsidR="00783788">
        <w:trPr>
          <w:cantSplit/>
          <w:trHeight w:val="131"/>
        </w:trPr>
        <w:tc>
          <w:tcPr>
            <w:tcW w:w="2491" w:type="dxa"/>
            <w:vMerge/>
          </w:tcPr>
          <w:p w:rsidR="00783788" w:rsidRDefault="00783788">
            <w:pPr>
              <w:rPr>
                <w:sz w:val="24"/>
              </w:rPr>
            </w:pPr>
          </w:p>
        </w:tc>
        <w:tc>
          <w:tcPr>
            <w:tcW w:w="3260" w:type="dxa"/>
          </w:tcPr>
          <w:p w:rsidR="00783788" w:rsidRDefault="002C6E18">
            <w:pPr>
              <w:rPr>
                <w:sz w:val="24"/>
              </w:rPr>
            </w:pPr>
            <w:r>
              <w:rPr>
                <w:sz w:val="24"/>
              </w:rPr>
              <w:t>200</w:t>
            </w:r>
            <w:r>
              <w:rPr>
                <w:rFonts w:hAnsi="宋体"/>
                <w:sz w:val="24"/>
              </w:rPr>
              <w:t>万元（含）至</w:t>
            </w:r>
            <w:r>
              <w:rPr>
                <w:sz w:val="24"/>
              </w:rPr>
              <w:t>500</w:t>
            </w:r>
            <w:r>
              <w:rPr>
                <w:rFonts w:hAnsi="宋体"/>
                <w:sz w:val="24"/>
              </w:rPr>
              <w:t>万元</w:t>
            </w:r>
          </w:p>
        </w:tc>
        <w:tc>
          <w:tcPr>
            <w:tcW w:w="2043" w:type="dxa"/>
          </w:tcPr>
          <w:p w:rsidR="00783788" w:rsidRDefault="002C6E18">
            <w:pPr>
              <w:jc w:val="center"/>
              <w:rPr>
                <w:sz w:val="24"/>
              </w:rPr>
            </w:pPr>
            <w:r>
              <w:rPr>
                <w:sz w:val="24"/>
              </w:rPr>
              <w:t>0.5%</w:t>
            </w:r>
          </w:p>
        </w:tc>
      </w:tr>
      <w:tr w:rsidR="00783788">
        <w:trPr>
          <w:cantSplit/>
          <w:trHeight w:val="131"/>
        </w:trPr>
        <w:tc>
          <w:tcPr>
            <w:tcW w:w="2491" w:type="dxa"/>
            <w:vMerge/>
          </w:tcPr>
          <w:p w:rsidR="00783788" w:rsidRDefault="00783788">
            <w:pPr>
              <w:rPr>
                <w:sz w:val="24"/>
              </w:rPr>
            </w:pPr>
          </w:p>
        </w:tc>
        <w:tc>
          <w:tcPr>
            <w:tcW w:w="3260" w:type="dxa"/>
          </w:tcPr>
          <w:p w:rsidR="00783788" w:rsidRDefault="002C6E18">
            <w:pPr>
              <w:rPr>
                <w:sz w:val="24"/>
              </w:rPr>
            </w:pPr>
            <w:r>
              <w:rPr>
                <w:sz w:val="24"/>
              </w:rPr>
              <w:t>500</w:t>
            </w:r>
            <w:r>
              <w:rPr>
                <w:rFonts w:hAnsi="宋体"/>
                <w:sz w:val="24"/>
              </w:rPr>
              <w:t>万元以上（含</w:t>
            </w:r>
            <w:r>
              <w:rPr>
                <w:sz w:val="24"/>
              </w:rPr>
              <w:t>500</w:t>
            </w:r>
            <w:r>
              <w:rPr>
                <w:rFonts w:hAnsi="宋体"/>
                <w:sz w:val="24"/>
              </w:rPr>
              <w:t>万）</w:t>
            </w:r>
          </w:p>
        </w:tc>
        <w:tc>
          <w:tcPr>
            <w:tcW w:w="2043" w:type="dxa"/>
          </w:tcPr>
          <w:p w:rsidR="00783788" w:rsidRDefault="002C6E18">
            <w:pPr>
              <w:jc w:val="center"/>
              <w:rPr>
                <w:sz w:val="24"/>
              </w:rPr>
            </w:pPr>
            <w:r>
              <w:rPr>
                <w:rFonts w:hAnsi="宋体"/>
                <w:sz w:val="24"/>
              </w:rPr>
              <w:t>每笔交易</w:t>
            </w:r>
            <w:r>
              <w:rPr>
                <w:sz w:val="24"/>
              </w:rPr>
              <w:t>1000</w:t>
            </w:r>
            <w:r>
              <w:rPr>
                <w:rFonts w:hAnsi="宋体"/>
                <w:sz w:val="24"/>
              </w:rPr>
              <w:t>元</w:t>
            </w:r>
          </w:p>
        </w:tc>
      </w:tr>
    </w:tbl>
    <w:p w:rsidR="00783788" w:rsidRDefault="002C6E18">
      <w:pPr>
        <w:widowControl/>
        <w:adjustRightInd w:val="0"/>
        <w:snapToGrid w:val="0"/>
        <w:spacing w:beforeLines="50" w:before="120" w:line="360" w:lineRule="auto"/>
        <w:ind w:firstLineChars="200" w:firstLine="480"/>
        <w:rPr>
          <w:sz w:val="24"/>
          <w:szCs w:val="24"/>
        </w:rPr>
      </w:pPr>
      <w:r>
        <w:rPr>
          <w:rFonts w:hAnsi="宋体" w:hint="eastAsia"/>
          <w:sz w:val="24"/>
          <w:szCs w:val="24"/>
        </w:rPr>
        <w:t>因红利自动再投资而产生的基金份额，不收取相应的申购费用。</w:t>
      </w:r>
    </w:p>
    <w:p w:rsidR="00783788" w:rsidRDefault="002C6E18">
      <w:pPr>
        <w:widowControl/>
        <w:adjustRightInd w:val="0"/>
        <w:snapToGrid w:val="0"/>
        <w:spacing w:line="360" w:lineRule="auto"/>
        <w:ind w:firstLineChars="200" w:firstLine="480"/>
        <w:rPr>
          <w:kern w:val="0"/>
          <w:sz w:val="24"/>
          <w:szCs w:val="24"/>
        </w:rPr>
      </w:pPr>
      <w:r>
        <w:rPr>
          <w:kern w:val="0"/>
          <w:sz w:val="24"/>
          <w:szCs w:val="24"/>
        </w:rPr>
        <w:t>2</w:t>
      </w:r>
      <w:r>
        <w:rPr>
          <w:kern w:val="0"/>
          <w:sz w:val="24"/>
          <w:szCs w:val="24"/>
        </w:rPr>
        <w:t>、赎回费用</w:t>
      </w:r>
    </w:p>
    <w:p w:rsidR="00783788" w:rsidRDefault="002C6E18">
      <w:pPr>
        <w:widowControl/>
        <w:adjustRightInd w:val="0"/>
        <w:snapToGrid w:val="0"/>
        <w:spacing w:line="360" w:lineRule="auto"/>
        <w:ind w:firstLineChars="200" w:firstLine="480"/>
        <w:rPr>
          <w:sz w:val="24"/>
          <w:szCs w:val="24"/>
        </w:rPr>
      </w:pPr>
      <w:r>
        <w:rPr>
          <w:rFonts w:hAnsi="宋体"/>
          <w:sz w:val="24"/>
          <w:szCs w:val="24"/>
        </w:rPr>
        <w:t>赎回费用由赎回基金份额的基金份额持有人承担，</w:t>
      </w:r>
      <w:r>
        <w:rPr>
          <w:bCs/>
          <w:sz w:val="24"/>
        </w:rPr>
        <w:t>在基金份额持有人赎回基金份额时收取</w:t>
      </w:r>
      <w:r>
        <w:rPr>
          <w:rFonts w:hint="eastAsia"/>
          <w:bCs/>
          <w:sz w:val="24"/>
        </w:rPr>
        <w:t>，</w:t>
      </w:r>
      <w:r>
        <w:rPr>
          <w:rFonts w:hAnsi="宋体"/>
          <w:sz w:val="24"/>
          <w:szCs w:val="24"/>
        </w:rPr>
        <w:t>不低于赎回费总额的</w:t>
      </w:r>
      <w:r>
        <w:rPr>
          <w:sz w:val="24"/>
          <w:szCs w:val="24"/>
        </w:rPr>
        <w:t>25%</w:t>
      </w:r>
      <w:r>
        <w:rPr>
          <w:rFonts w:hAnsi="宋体"/>
          <w:sz w:val="24"/>
          <w:szCs w:val="24"/>
        </w:rPr>
        <w:t>应归基金财产，其余用于支付登记费和其他必要的手续费。</w:t>
      </w:r>
    </w:p>
    <w:p w:rsidR="00783788" w:rsidRDefault="002C6E18">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本基金的赎回费率如下：</w:t>
      </w:r>
    </w:p>
    <w:tbl>
      <w:tblPr>
        <w:tblW w:w="766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502"/>
        <w:gridCol w:w="3240"/>
        <w:gridCol w:w="1926"/>
      </w:tblGrid>
      <w:tr w:rsidR="00783788">
        <w:trPr>
          <w:cantSplit/>
          <w:trHeight w:val="132"/>
          <w:jc w:val="center"/>
        </w:trPr>
        <w:tc>
          <w:tcPr>
            <w:tcW w:w="2502" w:type="dxa"/>
            <w:vMerge w:val="restart"/>
            <w:shd w:val="clear" w:color="auto" w:fill="auto"/>
            <w:vAlign w:val="center"/>
          </w:tcPr>
          <w:p w:rsidR="00783788" w:rsidRDefault="002C6E18">
            <w:pPr>
              <w:spacing w:line="360" w:lineRule="auto"/>
              <w:jc w:val="center"/>
              <w:rPr>
                <w:sz w:val="24"/>
              </w:rPr>
            </w:pPr>
            <w:r>
              <w:rPr>
                <w:rFonts w:hAnsi="宋体"/>
                <w:sz w:val="24"/>
              </w:rPr>
              <w:t>赎回费率</w:t>
            </w:r>
          </w:p>
        </w:tc>
        <w:tc>
          <w:tcPr>
            <w:tcW w:w="3240" w:type="dxa"/>
            <w:shd w:val="clear" w:color="auto" w:fill="FFFFFF"/>
            <w:vAlign w:val="center"/>
          </w:tcPr>
          <w:p w:rsidR="00783788" w:rsidRDefault="002C6E18">
            <w:pPr>
              <w:jc w:val="center"/>
              <w:rPr>
                <w:b/>
                <w:sz w:val="24"/>
              </w:rPr>
            </w:pPr>
            <w:r>
              <w:rPr>
                <w:rFonts w:hAnsi="宋体"/>
                <w:b/>
                <w:sz w:val="24"/>
              </w:rPr>
              <w:t>持有期限</w:t>
            </w:r>
          </w:p>
        </w:tc>
        <w:tc>
          <w:tcPr>
            <w:tcW w:w="1926" w:type="dxa"/>
            <w:shd w:val="clear" w:color="auto" w:fill="FFFFFF"/>
            <w:vAlign w:val="center"/>
          </w:tcPr>
          <w:p w:rsidR="00783788" w:rsidRDefault="002C6E18">
            <w:pPr>
              <w:jc w:val="center"/>
              <w:rPr>
                <w:b/>
                <w:sz w:val="24"/>
              </w:rPr>
            </w:pPr>
            <w:r>
              <w:rPr>
                <w:rFonts w:hAnsi="宋体"/>
                <w:b/>
                <w:sz w:val="24"/>
              </w:rPr>
              <w:t>赎回费率</w:t>
            </w:r>
          </w:p>
        </w:tc>
      </w:tr>
      <w:tr w:rsidR="00783788">
        <w:trPr>
          <w:cantSplit/>
          <w:trHeight w:val="131"/>
          <w:jc w:val="center"/>
        </w:trPr>
        <w:tc>
          <w:tcPr>
            <w:tcW w:w="2502" w:type="dxa"/>
            <w:vMerge/>
          </w:tcPr>
          <w:p w:rsidR="00783788" w:rsidRDefault="00783788">
            <w:pPr>
              <w:spacing w:line="360" w:lineRule="auto"/>
              <w:rPr>
                <w:sz w:val="24"/>
              </w:rPr>
            </w:pPr>
          </w:p>
        </w:tc>
        <w:tc>
          <w:tcPr>
            <w:tcW w:w="3240" w:type="dxa"/>
          </w:tcPr>
          <w:p w:rsidR="00783788" w:rsidRDefault="002C6E18">
            <w:pPr>
              <w:rPr>
                <w:sz w:val="24"/>
              </w:rPr>
            </w:pPr>
            <w:r>
              <w:rPr>
                <w:sz w:val="24"/>
              </w:rPr>
              <w:t>1</w:t>
            </w:r>
            <w:r>
              <w:rPr>
                <w:rFonts w:hAnsi="宋体"/>
                <w:sz w:val="24"/>
              </w:rPr>
              <w:t>年以内（含）</w:t>
            </w:r>
          </w:p>
        </w:tc>
        <w:tc>
          <w:tcPr>
            <w:tcW w:w="1926" w:type="dxa"/>
          </w:tcPr>
          <w:p w:rsidR="00783788" w:rsidRDefault="002C6E18">
            <w:pPr>
              <w:jc w:val="center"/>
              <w:rPr>
                <w:sz w:val="24"/>
              </w:rPr>
            </w:pPr>
            <w:r>
              <w:rPr>
                <w:sz w:val="24"/>
              </w:rPr>
              <w:t>0.5%</w:t>
            </w:r>
          </w:p>
        </w:tc>
      </w:tr>
      <w:tr w:rsidR="00783788">
        <w:trPr>
          <w:cantSplit/>
          <w:trHeight w:val="131"/>
          <w:jc w:val="center"/>
        </w:trPr>
        <w:tc>
          <w:tcPr>
            <w:tcW w:w="2502" w:type="dxa"/>
            <w:vMerge/>
          </w:tcPr>
          <w:p w:rsidR="00783788" w:rsidRDefault="00783788">
            <w:pPr>
              <w:spacing w:line="360" w:lineRule="auto"/>
              <w:rPr>
                <w:sz w:val="24"/>
              </w:rPr>
            </w:pPr>
          </w:p>
        </w:tc>
        <w:tc>
          <w:tcPr>
            <w:tcW w:w="3240" w:type="dxa"/>
          </w:tcPr>
          <w:p w:rsidR="00783788" w:rsidRDefault="002C6E18">
            <w:pPr>
              <w:rPr>
                <w:sz w:val="24"/>
              </w:rPr>
            </w:pPr>
            <w:r>
              <w:rPr>
                <w:sz w:val="24"/>
              </w:rPr>
              <w:t>1</w:t>
            </w:r>
            <w:r>
              <w:rPr>
                <w:rFonts w:hAnsi="宋体"/>
                <w:sz w:val="24"/>
              </w:rPr>
              <w:t>年</w:t>
            </w:r>
            <w:r>
              <w:rPr>
                <w:sz w:val="24"/>
              </w:rPr>
              <w:t>—2</w:t>
            </w:r>
            <w:r>
              <w:rPr>
                <w:rFonts w:hAnsi="宋体"/>
                <w:sz w:val="24"/>
              </w:rPr>
              <w:t>年（含）</w:t>
            </w:r>
          </w:p>
        </w:tc>
        <w:tc>
          <w:tcPr>
            <w:tcW w:w="1926" w:type="dxa"/>
          </w:tcPr>
          <w:p w:rsidR="00783788" w:rsidRDefault="002C6E18">
            <w:pPr>
              <w:jc w:val="center"/>
              <w:rPr>
                <w:sz w:val="24"/>
              </w:rPr>
            </w:pPr>
            <w:r>
              <w:rPr>
                <w:sz w:val="24"/>
              </w:rPr>
              <w:t>0.2%</w:t>
            </w:r>
          </w:p>
        </w:tc>
      </w:tr>
      <w:tr w:rsidR="00783788">
        <w:trPr>
          <w:cantSplit/>
          <w:trHeight w:val="131"/>
          <w:jc w:val="center"/>
        </w:trPr>
        <w:tc>
          <w:tcPr>
            <w:tcW w:w="2502" w:type="dxa"/>
            <w:vMerge/>
          </w:tcPr>
          <w:p w:rsidR="00783788" w:rsidRDefault="00783788">
            <w:pPr>
              <w:spacing w:line="360" w:lineRule="auto"/>
              <w:rPr>
                <w:sz w:val="24"/>
              </w:rPr>
            </w:pPr>
          </w:p>
        </w:tc>
        <w:tc>
          <w:tcPr>
            <w:tcW w:w="3240" w:type="dxa"/>
          </w:tcPr>
          <w:p w:rsidR="00783788" w:rsidRDefault="002C6E18">
            <w:pPr>
              <w:rPr>
                <w:sz w:val="24"/>
              </w:rPr>
            </w:pPr>
            <w:r>
              <w:rPr>
                <w:sz w:val="24"/>
              </w:rPr>
              <w:t>2</w:t>
            </w:r>
            <w:r>
              <w:rPr>
                <w:rFonts w:hAnsi="宋体"/>
                <w:sz w:val="24"/>
              </w:rPr>
              <w:t>年以上</w:t>
            </w:r>
          </w:p>
        </w:tc>
        <w:tc>
          <w:tcPr>
            <w:tcW w:w="1926" w:type="dxa"/>
          </w:tcPr>
          <w:p w:rsidR="00783788" w:rsidRDefault="002C6E18">
            <w:pPr>
              <w:jc w:val="center"/>
              <w:rPr>
                <w:sz w:val="24"/>
              </w:rPr>
            </w:pPr>
            <w:r>
              <w:rPr>
                <w:sz w:val="24"/>
              </w:rPr>
              <w:t>0</w:t>
            </w:r>
          </w:p>
        </w:tc>
      </w:tr>
    </w:tbl>
    <w:p w:rsidR="00783788" w:rsidRDefault="002C6E18">
      <w:pPr>
        <w:widowControl/>
        <w:adjustRightInd w:val="0"/>
        <w:snapToGrid w:val="0"/>
        <w:spacing w:beforeLines="50" w:before="120" w:line="360" w:lineRule="auto"/>
        <w:ind w:firstLineChars="200" w:firstLine="480"/>
        <w:rPr>
          <w:sz w:val="24"/>
          <w:szCs w:val="24"/>
        </w:rPr>
      </w:pPr>
      <w:r>
        <w:rPr>
          <w:rFonts w:hint="eastAsia"/>
          <w:sz w:val="24"/>
          <w:szCs w:val="24"/>
        </w:rPr>
        <w:t>上表中的“年”指的是</w:t>
      </w:r>
      <w:r>
        <w:rPr>
          <w:rFonts w:hint="eastAsia"/>
          <w:sz w:val="24"/>
          <w:szCs w:val="24"/>
        </w:rPr>
        <w:t>365</w:t>
      </w:r>
      <w:r>
        <w:rPr>
          <w:rFonts w:hint="eastAsia"/>
          <w:sz w:val="24"/>
          <w:szCs w:val="24"/>
        </w:rPr>
        <w:t>个自然日。</w:t>
      </w:r>
    </w:p>
    <w:p w:rsidR="00783788" w:rsidRDefault="002C6E18">
      <w:pPr>
        <w:widowControl/>
        <w:spacing w:line="360" w:lineRule="auto"/>
        <w:ind w:firstLineChars="200" w:firstLine="480"/>
        <w:rPr>
          <w:rFonts w:ascii="宋体" w:hAnsi="宋体"/>
          <w:kern w:val="0"/>
          <w:sz w:val="24"/>
          <w:szCs w:val="24"/>
        </w:rPr>
      </w:pPr>
      <w:r>
        <w:rPr>
          <w:rFonts w:ascii="宋体" w:hAnsi="宋体" w:hint="eastAsia"/>
          <w:kern w:val="0"/>
          <w:sz w:val="24"/>
          <w:szCs w:val="24"/>
        </w:rPr>
        <w:t>3、网上直销的有关费率</w:t>
      </w:r>
    </w:p>
    <w:p w:rsidR="00783788" w:rsidRDefault="002C6E18">
      <w:pPr>
        <w:widowControl/>
        <w:snapToGrid w:val="0"/>
        <w:spacing w:line="360" w:lineRule="auto"/>
        <w:ind w:firstLineChars="200" w:firstLine="480"/>
        <w:rPr>
          <w:sz w:val="24"/>
          <w:szCs w:val="21"/>
        </w:rPr>
      </w:pPr>
      <w:r>
        <w:rPr>
          <w:rFonts w:hint="eastAsia"/>
          <w:sz w:val="24"/>
          <w:szCs w:val="21"/>
        </w:rPr>
        <w:t>本基金管理人已开通基金网上直销业务，个人投资者可以直接通过本公司网站的“交银施罗德基金管理有限公司网上直销交易平台”（以下简称“网上直销交易平台”）办理开户和本基金的申购、赎回、定期定额投资和转换等业务。通过网上直销交易平台办理本基金基金份额申购和定期定额投资业务的个人投资者将享受申购费率优惠，</w:t>
      </w:r>
      <w:r>
        <w:rPr>
          <w:rFonts w:ascii="宋体" w:hAnsi="宋体" w:hint="eastAsia"/>
          <w:sz w:val="24"/>
        </w:rPr>
        <w:t>通过网上直销交易平台进行基金转换，从各基金招募说明书所载的零申购费率的基金转换入非零申购费率的基金，转出与转入基金的前端申购补差费率将享受优惠</w:t>
      </w:r>
      <w:r>
        <w:rPr>
          <w:rFonts w:hint="eastAsia"/>
          <w:sz w:val="24"/>
          <w:szCs w:val="21"/>
        </w:rPr>
        <w:t>，其他费率标准不变。具体优惠费率请参见公司网站列示的网上直销交易平台申购、定期定额投资及转换费率表或相关公告。</w:t>
      </w:r>
    </w:p>
    <w:p w:rsidR="00783788" w:rsidRDefault="002C6E18">
      <w:pPr>
        <w:widowControl/>
        <w:snapToGrid w:val="0"/>
        <w:spacing w:line="360" w:lineRule="auto"/>
        <w:ind w:firstLineChars="200" w:firstLine="480"/>
        <w:rPr>
          <w:sz w:val="24"/>
          <w:szCs w:val="21"/>
        </w:rPr>
      </w:pPr>
      <w:r>
        <w:rPr>
          <w:rFonts w:hint="eastAsia"/>
          <w:sz w:val="24"/>
          <w:szCs w:val="21"/>
        </w:rPr>
        <w:t>本公司基金网上直销业务已开通的银行卡及各银行卡交易金额限额请参阅本公司网站。</w:t>
      </w:r>
    </w:p>
    <w:p w:rsidR="00783788" w:rsidRDefault="002C6E18">
      <w:pPr>
        <w:widowControl/>
        <w:snapToGrid w:val="0"/>
        <w:spacing w:line="360" w:lineRule="auto"/>
        <w:ind w:firstLineChars="200" w:firstLine="480"/>
        <w:rPr>
          <w:sz w:val="24"/>
          <w:szCs w:val="21"/>
        </w:rPr>
      </w:pPr>
      <w:r>
        <w:rPr>
          <w:rFonts w:hint="eastAsia"/>
          <w:sz w:val="24"/>
          <w:szCs w:val="21"/>
        </w:rPr>
        <w:t>个人投资者通过本基金管理人网上直销交易平台申购本基金基金份额的单笔最低金额为</w:t>
      </w:r>
      <w:r>
        <w:rPr>
          <w:rFonts w:hint="eastAsia"/>
          <w:sz w:val="24"/>
          <w:szCs w:val="21"/>
        </w:rPr>
        <w:t>1,000</w:t>
      </w:r>
      <w:r>
        <w:rPr>
          <w:rFonts w:hint="eastAsia"/>
          <w:sz w:val="24"/>
          <w:szCs w:val="21"/>
        </w:rPr>
        <w:t>元（含），单笔定期定额投资最低金额为</w:t>
      </w:r>
      <w:r>
        <w:rPr>
          <w:rFonts w:hint="eastAsia"/>
          <w:sz w:val="24"/>
          <w:szCs w:val="21"/>
        </w:rPr>
        <w:t>100</w:t>
      </w:r>
      <w:r>
        <w:rPr>
          <w:rFonts w:hint="eastAsia"/>
          <w:sz w:val="24"/>
          <w:szCs w:val="21"/>
        </w:rPr>
        <w:t>元（含），不受网上直销日常申购的最低金额限制；单笔转换份额不得低于</w:t>
      </w:r>
      <w:r>
        <w:rPr>
          <w:rFonts w:hint="eastAsia"/>
          <w:sz w:val="24"/>
          <w:szCs w:val="21"/>
        </w:rPr>
        <w:t>100</w:t>
      </w:r>
      <w:r>
        <w:rPr>
          <w:rFonts w:hint="eastAsia"/>
          <w:sz w:val="24"/>
          <w:szCs w:val="21"/>
        </w:rPr>
        <w:t>份，投资者可将其全部或部分基金份额转换成其它基金，单笔转换申请不受转入基金最低申购限额限制。</w:t>
      </w:r>
    </w:p>
    <w:p w:rsidR="00783788" w:rsidRDefault="002C6E18">
      <w:pPr>
        <w:widowControl/>
        <w:snapToGrid w:val="0"/>
        <w:spacing w:line="360" w:lineRule="auto"/>
        <w:ind w:firstLineChars="200" w:firstLine="480"/>
        <w:rPr>
          <w:sz w:val="24"/>
          <w:szCs w:val="21"/>
        </w:rPr>
      </w:pPr>
      <w:r>
        <w:rPr>
          <w:rFonts w:hint="eastAsia"/>
          <w:sz w:val="24"/>
          <w:szCs w:val="21"/>
        </w:rPr>
        <w:t>本基金管理人可根据业务情况调整上述交易费用和限额要求，并依据相关法规的要求提前进行公告。</w:t>
      </w:r>
    </w:p>
    <w:p w:rsidR="00783788" w:rsidRDefault="002C6E18">
      <w:pPr>
        <w:widowControl/>
        <w:adjustRightInd w:val="0"/>
        <w:snapToGrid w:val="0"/>
        <w:spacing w:line="360" w:lineRule="auto"/>
        <w:ind w:firstLineChars="200" w:firstLine="480"/>
        <w:rPr>
          <w:kern w:val="0"/>
          <w:sz w:val="24"/>
          <w:szCs w:val="24"/>
        </w:rPr>
      </w:pPr>
      <w:r>
        <w:rPr>
          <w:rFonts w:hint="eastAsia"/>
          <w:sz w:val="24"/>
          <w:szCs w:val="24"/>
        </w:rPr>
        <w:t>4</w:t>
      </w:r>
      <w:r>
        <w:rPr>
          <w:rFonts w:hAnsi="宋体"/>
          <w:sz w:val="24"/>
          <w:szCs w:val="24"/>
        </w:rPr>
        <w:t>、基金管理人可以在基金合同约定的范围内调整费率或收费方式，并最迟应于新的费率或收费方式实施日前依照《信息披露办法》的有关规定在指定媒体上公告。</w:t>
      </w:r>
    </w:p>
    <w:p w:rsidR="00783788" w:rsidRDefault="002C6E18">
      <w:pPr>
        <w:widowControl/>
        <w:adjustRightInd w:val="0"/>
        <w:snapToGrid w:val="0"/>
        <w:spacing w:line="360" w:lineRule="auto"/>
        <w:ind w:firstLineChars="200" w:firstLine="480"/>
        <w:rPr>
          <w:b/>
          <w:kern w:val="0"/>
          <w:sz w:val="24"/>
          <w:szCs w:val="24"/>
        </w:rPr>
      </w:pPr>
      <w:r>
        <w:rPr>
          <w:rFonts w:hint="eastAsia"/>
          <w:sz w:val="24"/>
          <w:szCs w:val="24"/>
        </w:rPr>
        <w:t>5</w:t>
      </w:r>
      <w:r>
        <w:rPr>
          <w:rFonts w:hAnsi="宋体"/>
          <w:sz w:val="24"/>
          <w:szCs w:val="24"/>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w:t>
      </w:r>
      <w:r>
        <w:rPr>
          <w:rFonts w:hAnsi="宋体" w:hint="eastAsia"/>
          <w:sz w:val="24"/>
          <w:szCs w:val="24"/>
        </w:rPr>
        <w:t>调低</w:t>
      </w:r>
      <w:r>
        <w:rPr>
          <w:rFonts w:hAnsi="宋体"/>
          <w:sz w:val="24"/>
          <w:szCs w:val="24"/>
        </w:rPr>
        <w:t>基金申购费率、赎回费率和转换费率。</w:t>
      </w:r>
      <w:bookmarkStart w:id="39" w:name="_Hlt81024033"/>
      <w:bookmarkStart w:id="40" w:name="_Hlt90458725"/>
      <w:bookmarkStart w:id="41" w:name="_Hlt91144389"/>
      <w:bookmarkEnd w:id="39"/>
      <w:bookmarkEnd w:id="40"/>
      <w:bookmarkEnd w:id="41"/>
    </w:p>
    <w:p w:rsidR="00783788" w:rsidRDefault="002C6E18">
      <w:pPr>
        <w:widowControl/>
        <w:adjustRightInd w:val="0"/>
        <w:snapToGrid w:val="0"/>
        <w:spacing w:line="360" w:lineRule="auto"/>
        <w:ind w:firstLineChars="200" w:firstLine="482"/>
        <w:outlineLvl w:val="1"/>
        <w:rPr>
          <w:b/>
          <w:kern w:val="0"/>
          <w:sz w:val="24"/>
          <w:szCs w:val="24"/>
        </w:rPr>
      </w:pPr>
      <w:r>
        <w:rPr>
          <w:rFonts w:hAnsi="宋体"/>
          <w:b/>
          <w:kern w:val="0"/>
          <w:sz w:val="24"/>
          <w:szCs w:val="24"/>
        </w:rPr>
        <w:t>（七）申购和赎回的数额和价格</w:t>
      </w:r>
    </w:p>
    <w:p w:rsidR="00783788" w:rsidRDefault="002C6E18">
      <w:pPr>
        <w:widowControl/>
        <w:adjustRightInd w:val="0"/>
        <w:snapToGrid w:val="0"/>
        <w:spacing w:line="360" w:lineRule="auto"/>
        <w:ind w:firstLineChars="200" w:firstLine="480"/>
        <w:rPr>
          <w:kern w:val="0"/>
          <w:sz w:val="24"/>
          <w:szCs w:val="24"/>
        </w:rPr>
      </w:pPr>
      <w:r>
        <w:rPr>
          <w:kern w:val="0"/>
          <w:sz w:val="24"/>
          <w:szCs w:val="24"/>
        </w:rPr>
        <w:t>1</w:t>
      </w:r>
      <w:r>
        <w:rPr>
          <w:rFonts w:hAnsi="宋体"/>
          <w:kern w:val="0"/>
          <w:sz w:val="24"/>
          <w:szCs w:val="24"/>
        </w:rPr>
        <w:t>、申购和赎回数额、余额的处理方式</w:t>
      </w:r>
    </w:p>
    <w:p w:rsidR="00783788" w:rsidRDefault="002C6E18">
      <w:pPr>
        <w:widowControl/>
        <w:adjustRightInd w:val="0"/>
        <w:snapToGrid w:val="0"/>
        <w:spacing w:line="360" w:lineRule="auto"/>
        <w:ind w:firstLineChars="200" w:firstLine="480"/>
        <w:rPr>
          <w:kern w:val="0"/>
          <w:sz w:val="24"/>
          <w:szCs w:val="24"/>
        </w:rPr>
      </w:pPr>
      <w:r>
        <w:rPr>
          <w:rFonts w:hAnsi="宋体"/>
          <w:kern w:val="0"/>
          <w:sz w:val="24"/>
          <w:szCs w:val="24"/>
        </w:rPr>
        <w:t>（</w:t>
      </w:r>
      <w:r>
        <w:rPr>
          <w:kern w:val="0"/>
          <w:sz w:val="24"/>
          <w:szCs w:val="24"/>
        </w:rPr>
        <w:t>1</w:t>
      </w:r>
      <w:r>
        <w:rPr>
          <w:rFonts w:hAnsi="宋体"/>
          <w:kern w:val="0"/>
          <w:sz w:val="24"/>
          <w:szCs w:val="24"/>
        </w:rPr>
        <w:t>）</w:t>
      </w:r>
      <w:r>
        <w:rPr>
          <w:rFonts w:hAnsi="宋体"/>
          <w:sz w:val="24"/>
          <w:szCs w:val="24"/>
        </w:rPr>
        <w:t>申购的有效份额为按实际确认的申购金额在扣除相应的费用后，以当日基金份额净值为基准计算，申购份额计算结果保留到小数点后</w:t>
      </w:r>
      <w:r>
        <w:rPr>
          <w:sz w:val="24"/>
          <w:szCs w:val="24"/>
        </w:rPr>
        <w:t>2</w:t>
      </w:r>
      <w:r>
        <w:rPr>
          <w:rFonts w:hAnsi="宋体"/>
          <w:sz w:val="24"/>
          <w:szCs w:val="24"/>
        </w:rPr>
        <w:t>位，小数点后两位以后的部分四舍五入，由此误差产生的收益或损失由基金财产承担。</w:t>
      </w:r>
    </w:p>
    <w:p w:rsidR="00783788" w:rsidRDefault="002C6E18">
      <w:pPr>
        <w:adjustRightInd w:val="0"/>
        <w:snapToGrid w:val="0"/>
        <w:spacing w:line="360" w:lineRule="auto"/>
        <w:ind w:firstLineChars="200" w:firstLine="480"/>
        <w:rPr>
          <w:sz w:val="24"/>
          <w:szCs w:val="24"/>
        </w:rPr>
      </w:pPr>
      <w:r>
        <w:rPr>
          <w:rFonts w:hAnsi="宋体"/>
          <w:kern w:val="0"/>
          <w:sz w:val="24"/>
          <w:szCs w:val="24"/>
        </w:rPr>
        <w:t>（</w:t>
      </w:r>
      <w:r>
        <w:rPr>
          <w:kern w:val="0"/>
          <w:sz w:val="24"/>
          <w:szCs w:val="24"/>
        </w:rPr>
        <w:t>2</w:t>
      </w:r>
      <w:r>
        <w:rPr>
          <w:rFonts w:hAnsi="宋体"/>
          <w:kern w:val="0"/>
          <w:sz w:val="24"/>
          <w:szCs w:val="24"/>
        </w:rPr>
        <w:t>）</w:t>
      </w:r>
      <w:r>
        <w:rPr>
          <w:rFonts w:hAnsi="宋体"/>
          <w:sz w:val="24"/>
          <w:szCs w:val="24"/>
        </w:rPr>
        <w:t>赎回金额为按实际确认的有效赎回份额乘以当日基金份额净值并扣除相应的费用，赎回金额计算结果保留到小数点后</w:t>
      </w:r>
      <w:r>
        <w:rPr>
          <w:sz w:val="24"/>
          <w:szCs w:val="24"/>
        </w:rPr>
        <w:t>2</w:t>
      </w:r>
      <w:r>
        <w:rPr>
          <w:rFonts w:hAnsi="宋体"/>
          <w:sz w:val="24"/>
          <w:szCs w:val="24"/>
        </w:rPr>
        <w:t>位，小数点后两位以后的部分四舍五入，由此误差产生的收益或损失由基金财产承担。</w:t>
      </w:r>
    </w:p>
    <w:p w:rsidR="00783788" w:rsidRDefault="002C6E18">
      <w:pPr>
        <w:widowControl/>
        <w:adjustRightInd w:val="0"/>
        <w:snapToGrid w:val="0"/>
        <w:spacing w:line="360" w:lineRule="auto"/>
        <w:ind w:firstLineChars="200" w:firstLine="480"/>
        <w:rPr>
          <w:kern w:val="0"/>
          <w:sz w:val="24"/>
          <w:szCs w:val="24"/>
        </w:rPr>
      </w:pPr>
      <w:r>
        <w:rPr>
          <w:kern w:val="0"/>
          <w:sz w:val="24"/>
          <w:szCs w:val="24"/>
        </w:rPr>
        <w:t>2</w:t>
      </w:r>
      <w:r>
        <w:rPr>
          <w:rFonts w:hAnsi="宋体"/>
          <w:kern w:val="0"/>
          <w:sz w:val="24"/>
          <w:szCs w:val="24"/>
        </w:rPr>
        <w:t>、申购份额的计算</w:t>
      </w:r>
    </w:p>
    <w:p w:rsidR="00783788" w:rsidRDefault="002C6E18">
      <w:pPr>
        <w:widowControl/>
        <w:adjustRightInd w:val="0"/>
        <w:snapToGrid w:val="0"/>
        <w:spacing w:line="360" w:lineRule="auto"/>
        <w:ind w:firstLineChars="200" w:firstLine="480"/>
        <w:rPr>
          <w:kern w:val="0"/>
          <w:sz w:val="24"/>
          <w:szCs w:val="24"/>
        </w:rPr>
      </w:pPr>
      <w:r>
        <w:rPr>
          <w:rFonts w:hAnsi="宋体"/>
          <w:kern w:val="0"/>
          <w:sz w:val="24"/>
          <w:szCs w:val="24"/>
        </w:rPr>
        <w:t>申购总金额</w:t>
      </w:r>
      <w:r>
        <w:rPr>
          <w:kern w:val="0"/>
          <w:sz w:val="24"/>
          <w:szCs w:val="24"/>
        </w:rPr>
        <w:t>=</w:t>
      </w:r>
      <w:r>
        <w:rPr>
          <w:rFonts w:hAnsi="宋体"/>
          <w:kern w:val="0"/>
          <w:sz w:val="24"/>
          <w:szCs w:val="24"/>
        </w:rPr>
        <w:t>申请总金额</w:t>
      </w:r>
    </w:p>
    <w:p w:rsidR="00783788" w:rsidRDefault="002C6E18">
      <w:pPr>
        <w:widowControl/>
        <w:adjustRightInd w:val="0"/>
        <w:snapToGrid w:val="0"/>
        <w:spacing w:line="360" w:lineRule="auto"/>
        <w:ind w:firstLineChars="200" w:firstLine="480"/>
        <w:rPr>
          <w:kern w:val="0"/>
          <w:sz w:val="24"/>
          <w:szCs w:val="24"/>
        </w:rPr>
      </w:pPr>
      <w:r>
        <w:rPr>
          <w:rFonts w:hAnsi="宋体"/>
          <w:kern w:val="0"/>
          <w:sz w:val="24"/>
          <w:szCs w:val="24"/>
        </w:rPr>
        <w:t>净申购金额</w:t>
      </w:r>
      <w:r>
        <w:rPr>
          <w:kern w:val="0"/>
          <w:sz w:val="24"/>
          <w:szCs w:val="24"/>
        </w:rPr>
        <w:t>=</w:t>
      </w:r>
      <w:r>
        <w:rPr>
          <w:rFonts w:hAnsi="宋体"/>
          <w:kern w:val="0"/>
          <w:sz w:val="24"/>
          <w:szCs w:val="24"/>
        </w:rPr>
        <w:t>申购总金额</w:t>
      </w:r>
      <w:r>
        <w:rPr>
          <w:kern w:val="0"/>
          <w:sz w:val="24"/>
          <w:szCs w:val="24"/>
        </w:rPr>
        <w:t>/</w:t>
      </w:r>
      <w:r>
        <w:rPr>
          <w:rFonts w:hAnsi="宋体"/>
          <w:kern w:val="0"/>
          <w:sz w:val="24"/>
          <w:szCs w:val="24"/>
        </w:rPr>
        <w:t>（</w:t>
      </w:r>
      <w:r>
        <w:rPr>
          <w:kern w:val="0"/>
          <w:sz w:val="24"/>
          <w:szCs w:val="24"/>
        </w:rPr>
        <w:t>1+</w:t>
      </w:r>
      <w:r>
        <w:rPr>
          <w:rFonts w:hAnsi="宋体"/>
          <w:kern w:val="0"/>
          <w:sz w:val="24"/>
          <w:szCs w:val="24"/>
        </w:rPr>
        <w:t>申购费率）</w:t>
      </w:r>
    </w:p>
    <w:p w:rsidR="00783788" w:rsidRDefault="002C6E18">
      <w:pPr>
        <w:widowControl/>
        <w:adjustRightInd w:val="0"/>
        <w:snapToGrid w:val="0"/>
        <w:spacing w:line="360" w:lineRule="auto"/>
        <w:ind w:firstLineChars="200" w:firstLine="480"/>
        <w:rPr>
          <w:kern w:val="0"/>
          <w:sz w:val="24"/>
          <w:szCs w:val="24"/>
        </w:rPr>
      </w:pPr>
      <w:r>
        <w:rPr>
          <w:rFonts w:hAnsi="宋体"/>
          <w:kern w:val="0"/>
          <w:sz w:val="24"/>
          <w:szCs w:val="24"/>
        </w:rPr>
        <w:t>（注：对于适用固定金额申购费用的申购，净申购金额＝申购总金额－固定申购费用金额）</w:t>
      </w:r>
    </w:p>
    <w:p w:rsidR="00783788" w:rsidRDefault="002C6E18">
      <w:pPr>
        <w:widowControl/>
        <w:adjustRightInd w:val="0"/>
        <w:snapToGrid w:val="0"/>
        <w:spacing w:line="360" w:lineRule="auto"/>
        <w:ind w:firstLineChars="200" w:firstLine="480"/>
        <w:rPr>
          <w:kern w:val="0"/>
          <w:sz w:val="24"/>
          <w:szCs w:val="24"/>
        </w:rPr>
      </w:pPr>
      <w:r>
        <w:rPr>
          <w:rFonts w:hAnsi="宋体"/>
          <w:kern w:val="0"/>
          <w:sz w:val="24"/>
          <w:szCs w:val="24"/>
        </w:rPr>
        <w:t>申购费用</w:t>
      </w:r>
      <w:r>
        <w:rPr>
          <w:kern w:val="0"/>
          <w:sz w:val="24"/>
          <w:szCs w:val="24"/>
        </w:rPr>
        <w:t>=</w:t>
      </w:r>
      <w:r>
        <w:rPr>
          <w:rFonts w:hAnsi="宋体"/>
          <w:kern w:val="0"/>
          <w:sz w:val="24"/>
          <w:szCs w:val="24"/>
        </w:rPr>
        <w:t>申购总金额</w:t>
      </w:r>
      <w:r>
        <w:rPr>
          <w:kern w:val="0"/>
          <w:sz w:val="24"/>
          <w:szCs w:val="24"/>
        </w:rPr>
        <w:t>-</w:t>
      </w:r>
      <w:r>
        <w:rPr>
          <w:rFonts w:hAnsi="宋体"/>
          <w:kern w:val="0"/>
          <w:sz w:val="24"/>
          <w:szCs w:val="24"/>
        </w:rPr>
        <w:t>净申购金额</w:t>
      </w:r>
    </w:p>
    <w:p w:rsidR="00783788" w:rsidRDefault="002C6E18">
      <w:pPr>
        <w:widowControl/>
        <w:adjustRightInd w:val="0"/>
        <w:snapToGrid w:val="0"/>
        <w:spacing w:line="360" w:lineRule="auto"/>
        <w:ind w:firstLineChars="200" w:firstLine="480"/>
        <w:rPr>
          <w:kern w:val="0"/>
          <w:sz w:val="24"/>
          <w:szCs w:val="24"/>
        </w:rPr>
      </w:pPr>
      <w:r>
        <w:rPr>
          <w:rFonts w:hAnsi="宋体"/>
          <w:kern w:val="0"/>
          <w:sz w:val="24"/>
        </w:rPr>
        <w:t>（注：对于适用固定金额申购费用的申购，申购费用＝固定申购费用金额）</w:t>
      </w:r>
    </w:p>
    <w:p w:rsidR="00783788" w:rsidRDefault="002C6E18">
      <w:pPr>
        <w:widowControl/>
        <w:adjustRightInd w:val="0"/>
        <w:snapToGrid w:val="0"/>
        <w:spacing w:line="360" w:lineRule="auto"/>
        <w:ind w:firstLineChars="200" w:firstLine="480"/>
        <w:rPr>
          <w:kern w:val="0"/>
          <w:sz w:val="24"/>
          <w:szCs w:val="24"/>
        </w:rPr>
      </w:pPr>
      <w:r>
        <w:rPr>
          <w:rFonts w:hAnsi="宋体"/>
          <w:kern w:val="0"/>
          <w:sz w:val="24"/>
          <w:szCs w:val="24"/>
        </w:rPr>
        <w:t>申购份额</w:t>
      </w:r>
      <w:r>
        <w:rPr>
          <w:kern w:val="0"/>
          <w:sz w:val="24"/>
          <w:szCs w:val="24"/>
        </w:rPr>
        <w:t>=</w:t>
      </w:r>
      <w:r>
        <w:rPr>
          <w:rFonts w:hAnsi="宋体"/>
          <w:kern w:val="0"/>
          <w:sz w:val="24"/>
          <w:szCs w:val="24"/>
        </w:rPr>
        <w:t>（申购总金额</w:t>
      </w:r>
      <w:r>
        <w:rPr>
          <w:kern w:val="0"/>
          <w:sz w:val="24"/>
          <w:szCs w:val="24"/>
        </w:rPr>
        <w:t>-</w:t>
      </w:r>
      <w:r>
        <w:rPr>
          <w:rFonts w:hAnsi="宋体"/>
          <w:kern w:val="0"/>
          <w:sz w:val="24"/>
          <w:szCs w:val="24"/>
        </w:rPr>
        <w:t>申购费用）</w:t>
      </w:r>
      <w:r>
        <w:rPr>
          <w:kern w:val="0"/>
          <w:sz w:val="24"/>
          <w:szCs w:val="24"/>
        </w:rPr>
        <w:t>/ T</w:t>
      </w:r>
      <w:r>
        <w:rPr>
          <w:rFonts w:hAnsi="宋体"/>
          <w:kern w:val="0"/>
          <w:sz w:val="24"/>
          <w:szCs w:val="24"/>
        </w:rPr>
        <w:t>日基金份额净值</w:t>
      </w:r>
    </w:p>
    <w:p w:rsidR="00783788" w:rsidRDefault="002C6E18">
      <w:pPr>
        <w:widowControl/>
        <w:adjustRightInd w:val="0"/>
        <w:snapToGrid w:val="0"/>
        <w:spacing w:line="360" w:lineRule="auto"/>
        <w:ind w:firstLineChars="200" w:firstLine="480"/>
        <w:rPr>
          <w:kern w:val="0"/>
          <w:sz w:val="24"/>
          <w:szCs w:val="24"/>
        </w:rPr>
      </w:pPr>
      <w:r>
        <w:rPr>
          <w:rFonts w:hAnsi="宋体"/>
          <w:kern w:val="0"/>
          <w:sz w:val="24"/>
          <w:szCs w:val="24"/>
        </w:rPr>
        <w:t>例二：某投资人投资</w:t>
      </w:r>
      <w:r>
        <w:rPr>
          <w:kern w:val="0"/>
          <w:sz w:val="24"/>
          <w:szCs w:val="24"/>
        </w:rPr>
        <w:t>40,000</w:t>
      </w:r>
      <w:r>
        <w:rPr>
          <w:rFonts w:hAnsi="宋体"/>
          <w:kern w:val="0"/>
          <w:sz w:val="24"/>
          <w:szCs w:val="24"/>
        </w:rPr>
        <w:t>元申购本基金（非网上交易），假设申购当日基金份额净值为</w:t>
      </w:r>
      <w:r>
        <w:rPr>
          <w:kern w:val="0"/>
          <w:sz w:val="24"/>
          <w:szCs w:val="24"/>
        </w:rPr>
        <w:t>1.040</w:t>
      </w:r>
      <w:r>
        <w:rPr>
          <w:rFonts w:hAnsi="宋体"/>
          <w:kern w:val="0"/>
          <w:sz w:val="24"/>
          <w:szCs w:val="24"/>
        </w:rPr>
        <w:t>元，申购费率为</w:t>
      </w:r>
      <w:r>
        <w:rPr>
          <w:kern w:val="0"/>
          <w:sz w:val="24"/>
          <w:szCs w:val="24"/>
        </w:rPr>
        <w:t>1.5%</w:t>
      </w:r>
      <w:r>
        <w:rPr>
          <w:rFonts w:hAnsi="宋体"/>
          <w:kern w:val="0"/>
          <w:sz w:val="24"/>
          <w:szCs w:val="24"/>
        </w:rPr>
        <w:t>，则其可得到的申购份额为：</w:t>
      </w:r>
      <w:r>
        <w:rPr>
          <w:kern w:val="0"/>
          <w:sz w:val="24"/>
          <w:szCs w:val="24"/>
        </w:rPr>
        <w:t xml:space="preserve"> </w:t>
      </w:r>
    </w:p>
    <w:p w:rsidR="00783788" w:rsidRDefault="002C6E18">
      <w:pPr>
        <w:widowControl/>
        <w:adjustRightInd w:val="0"/>
        <w:snapToGrid w:val="0"/>
        <w:spacing w:line="360" w:lineRule="auto"/>
        <w:ind w:firstLineChars="200" w:firstLine="480"/>
        <w:rPr>
          <w:kern w:val="0"/>
          <w:sz w:val="24"/>
          <w:szCs w:val="24"/>
        </w:rPr>
      </w:pPr>
      <w:r>
        <w:rPr>
          <w:rFonts w:hAnsi="宋体"/>
          <w:kern w:val="0"/>
          <w:sz w:val="24"/>
          <w:szCs w:val="24"/>
        </w:rPr>
        <w:t>申购总金额＝</w:t>
      </w:r>
      <w:r>
        <w:rPr>
          <w:kern w:val="0"/>
          <w:sz w:val="24"/>
          <w:szCs w:val="24"/>
        </w:rPr>
        <w:t>40,000</w:t>
      </w:r>
      <w:r>
        <w:rPr>
          <w:rFonts w:hAnsi="宋体"/>
          <w:kern w:val="0"/>
          <w:sz w:val="24"/>
          <w:szCs w:val="24"/>
        </w:rPr>
        <w:t>元</w:t>
      </w:r>
    </w:p>
    <w:p w:rsidR="00783788" w:rsidRDefault="002C6E18">
      <w:pPr>
        <w:widowControl/>
        <w:adjustRightInd w:val="0"/>
        <w:snapToGrid w:val="0"/>
        <w:spacing w:line="360" w:lineRule="auto"/>
        <w:ind w:firstLineChars="200" w:firstLine="480"/>
        <w:rPr>
          <w:kern w:val="0"/>
          <w:sz w:val="24"/>
          <w:szCs w:val="24"/>
        </w:rPr>
      </w:pPr>
      <w:r>
        <w:rPr>
          <w:rFonts w:hAnsi="宋体"/>
          <w:kern w:val="0"/>
          <w:sz w:val="24"/>
          <w:szCs w:val="24"/>
        </w:rPr>
        <w:t>净申购金额</w:t>
      </w:r>
      <w:r>
        <w:rPr>
          <w:kern w:val="0"/>
          <w:sz w:val="24"/>
          <w:szCs w:val="24"/>
        </w:rPr>
        <w:t>=40,000/</w:t>
      </w:r>
      <w:r>
        <w:rPr>
          <w:rFonts w:hAnsi="宋体"/>
          <w:kern w:val="0"/>
          <w:sz w:val="24"/>
          <w:szCs w:val="24"/>
        </w:rPr>
        <w:t>（</w:t>
      </w:r>
      <w:r>
        <w:rPr>
          <w:kern w:val="0"/>
          <w:sz w:val="24"/>
          <w:szCs w:val="24"/>
        </w:rPr>
        <w:t>1+1.5%</w:t>
      </w:r>
      <w:r>
        <w:rPr>
          <w:rFonts w:hAnsi="宋体"/>
          <w:kern w:val="0"/>
          <w:sz w:val="24"/>
          <w:szCs w:val="24"/>
        </w:rPr>
        <w:t>）</w:t>
      </w:r>
      <w:r>
        <w:rPr>
          <w:kern w:val="0"/>
          <w:sz w:val="24"/>
          <w:szCs w:val="24"/>
        </w:rPr>
        <w:t>=39,408.87</w:t>
      </w:r>
      <w:r>
        <w:rPr>
          <w:rFonts w:hAnsi="宋体"/>
          <w:kern w:val="0"/>
          <w:sz w:val="24"/>
          <w:szCs w:val="24"/>
        </w:rPr>
        <w:t>元</w:t>
      </w:r>
    </w:p>
    <w:p w:rsidR="00783788" w:rsidRDefault="002C6E18">
      <w:pPr>
        <w:widowControl/>
        <w:adjustRightInd w:val="0"/>
        <w:snapToGrid w:val="0"/>
        <w:spacing w:line="360" w:lineRule="auto"/>
        <w:ind w:firstLineChars="200" w:firstLine="480"/>
        <w:rPr>
          <w:kern w:val="0"/>
          <w:sz w:val="24"/>
          <w:szCs w:val="24"/>
        </w:rPr>
      </w:pPr>
      <w:r>
        <w:rPr>
          <w:rFonts w:hAnsi="宋体"/>
          <w:kern w:val="0"/>
          <w:sz w:val="24"/>
          <w:szCs w:val="24"/>
        </w:rPr>
        <w:t>申购费用</w:t>
      </w:r>
      <w:r>
        <w:rPr>
          <w:kern w:val="0"/>
          <w:sz w:val="24"/>
          <w:szCs w:val="24"/>
        </w:rPr>
        <w:t>=40,000-39,408.87=591.13</w:t>
      </w:r>
      <w:r>
        <w:rPr>
          <w:rFonts w:hAnsi="宋体"/>
          <w:kern w:val="0"/>
          <w:sz w:val="24"/>
          <w:szCs w:val="24"/>
        </w:rPr>
        <w:t>元</w:t>
      </w:r>
    </w:p>
    <w:p w:rsidR="00783788" w:rsidRDefault="002C6E18">
      <w:pPr>
        <w:widowControl/>
        <w:adjustRightInd w:val="0"/>
        <w:snapToGrid w:val="0"/>
        <w:spacing w:line="360" w:lineRule="auto"/>
        <w:ind w:firstLineChars="200" w:firstLine="480"/>
        <w:rPr>
          <w:kern w:val="0"/>
          <w:sz w:val="24"/>
          <w:szCs w:val="24"/>
        </w:rPr>
      </w:pPr>
      <w:r>
        <w:rPr>
          <w:rFonts w:hAnsi="宋体"/>
          <w:kern w:val="0"/>
          <w:sz w:val="24"/>
          <w:szCs w:val="24"/>
        </w:rPr>
        <w:t>申购份额</w:t>
      </w:r>
      <w:r>
        <w:rPr>
          <w:kern w:val="0"/>
          <w:sz w:val="24"/>
          <w:szCs w:val="24"/>
        </w:rPr>
        <w:t>=</w:t>
      </w:r>
      <w:r>
        <w:rPr>
          <w:rFonts w:hAnsi="宋体"/>
          <w:kern w:val="0"/>
          <w:sz w:val="24"/>
          <w:szCs w:val="24"/>
        </w:rPr>
        <w:t>（</w:t>
      </w:r>
      <w:r>
        <w:rPr>
          <w:kern w:val="0"/>
          <w:sz w:val="24"/>
          <w:szCs w:val="24"/>
        </w:rPr>
        <w:t>40,000-591.13</w:t>
      </w:r>
      <w:r>
        <w:rPr>
          <w:rFonts w:hAnsi="宋体"/>
          <w:kern w:val="0"/>
          <w:sz w:val="24"/>
          <w:szCs w:val="24"/>
        </w:rPr>
        <w:t>）</w:t>
      </w:r>
      <w:r>
        <w:rPr>
          <w:kern w:val="0"/>
          <w:sz w:val="24"/>
          <w:szCs w:val="24"/>
        </w:rPr>
        <w:t>/1.040=37,893.14</w:t>
      </w:r>
      <w:r>
        <w:rPr>
          <w:rFonts w:hAnsi="宋体"/>
          <w:kern w:val="0"/>
          <w:sz w:val="24"/>
          <w:szCs w:val="24"/>
        </w:rPr>
        <w:t>份</w:t>
      </w:r>
    </w:p>
    <w:p w:rsidR="00783788" w:rsidRDefault="002C6E18">
      <w:pPr>
        <w:widowControl/>
        <w:adjustRightInd w:val="0"/>
        <w:snapToGrid w:val="0"/>
        <w:spacing w:line="360" w:lineRule="auto"/>
        <w:ind w:firstLineChars="200" w:firstLine="480"/>
        <w:rPr>
          <w:kern w:val="0"/>
          <w:sz w:val="24"/>
          <w:szCs w:val="24"/>
        </w:rPr>
      </w:pPr>
      <w:r>
        <w:rPr>
          <w:kern w:val="0"/>
          <w:sz w:val="24"/>
          <w:szCs w:val="24"/>
        </w:rPr>
        <w:t>3</w:t>
      </w:r>
      <w:r>
        <w:rPr>
          <w:rFonts w:hAnsi="宋体"/>
          <w:kern w:val="0"/>
          <w:sz w:val="24"/>
          <w:szCs w:val="24"/>
        </w:rPr>
        <w:t>、赎回金额的计算</w:t>
      </w:r>
    </w:p>
    <w:p w:rsidR="00783788" w:rsidRDefault="002C6E18">
      <w:pPr>
        <w:widowControl/>
        <w:adjustRightInd w:val="0"/>
        <w:snapToGrid w:val="0"/>
        <w:spacing w:line="360" w:lineRule="auto"/>
        <w:ind w:firstLineChars="200" w:firstLine="480"/>
        <w:rPr>
          <w:kern w:val="0"/>
          <w:sz w:val="24"/>
          <w:szCs w:val="24"/>
        </w:rPr>
      </w:pPr>
      <w:r>
        <w:rPr>
          <w:rFonts w:hAnsi="宋体"/>
          <w:kern w:val="0"/>
          <w:sz w:val="24"/>
          <w:szCs w:val="24"/>
        </w:rPr>
        <w:t>赎回费用</w:t>
      </w:r>
      <w:r>
        <w:rPr>
          <w:kern w:val="0"/>
          <w:sz w:val="24"/>
          <w:szCs w:val="24"/>
        </w:rPr>
        <w:t>=</w:t>
      </w:r>
      <w:r>
        <w:rPr>
          <w:rFonts w:hAnsi="宋体"/>
          <w:kern w:val="0"/>
          <w:sz w:val="24"/>
          <w:szCs w:val="24"/>
        </w:rPr>
        <w:t>赎回份额</w:t>
      </w:r>
      <w:r>
        <w:rPr>
          <w:kern w:val="0"/>
          <w:sz w:val="24"/>
          <w:szCs w:val="24"/>
        </w:rPr>
        <w:t>×T</w:t>
      </w:r>
      <w:r>
        <w:rPr>
          <w:rFonts w:hAnsi="宋体"/>
          <w:kern w:val="0"/>
          <w:sz w:val="24"/>
          <w:szCs w:val="24"/>
        </w:rPr>
        <w:t>日基金份额净值</w:t>
      </w:r>
      <w:r>
        <w:rPr>
          <w:kern w:val="0"/>
          <w:sz w:val="24"/>
          <w:szCs w:val="24"/>
        </w:rPr>
        <w:t>×</w:t>
      </w:r>
      <w:r>
        <w:rPr>
          <w:rFonts w:hAnsi="宋体"/>
          <w:kern w:val="0"/>
          <w:sz w:val="24"/>
          <w:szCs w:val="24"/>
        </w:rPr>
        <w:t>赎回费率</w:t>
      </w:r>
    </w:p>
    <w:p w:rsidR="00783788" w:rsidRDefault="002C6E18">
      <w:pPr>
        <w:widowControl/>
        <w:adjustRightInd w:val="0"/>
        <w:snapToGrid w:val="0"/>
        <w:spacing w:line="360" w:lineRule="auto"/>
        <w:ind w:firstLineChars="200" w:firstLine="480"/>
        <w:rPr>
          <w:kern w:val="0"/>
          <w:sz w:val="24"/>
          <w:szCs w:val="24"/>
        </w:rPr>
      </w:pPr>
      <w:r>
        <w:rPr>
          <w:rFonts w:hAnsi="宋体"/>
          <w:kern w:val="0"/>
          <w:sz w:val="24"/>
          <w:szCs w:val="24"/>
        </w:rPr>
        <w:t>赎回金额</w:t>
      </w:r>
      <w:r>
        <w:rPr>
          <w:kern w:val="0"/>
          <w:sz w:val="24"/>
          <w:szCs w:val="24"/>
        </w:rPr>
        <w:t>=</w:t>
      </w:r>
      <w:r>
        <w:rPr>
          <w:rFonts w:hAnsi="宋体"/>
          <w:kern w:val="0"/>
          <w:sz w:val="24"/>
          <w:szCs w:val="24"/>
        </w:rPr>
        <w:t>赎回份额</w:t>
      </w:r>
      <w:r>
        <w:rPr>
          <w:kern w:val="0"/>
          <w:sz w:val="24"/>
          <w:szCs w:val="24"/>
        </w:rPr>
        <w:t>×T</w:t>
      </w:r>
      <w:r>
        <w:rPr>
          <w:rFonts w:hAnsi="宋体"/>
          <w:kern w:val="0"/>
          <w:sz w:val="24"/>
          <w:szCs w:val="24"/>
        </w:rPr>
        <w:t>日基金份额净值</w:t>
      </w:r>
      <w:r>
        <w:rPr>
          <w:kern w:val="0"/>
          <w:sz w:val="24"/>
          <w:szCs w:val="24"/>
        </w:rPr>
        <w:t>-</w:t>
      </w:r>
      <w:r>
        <w:rPr>
          <w:rFonts w:hAnsi="宋体"/>
          <w:kern w:val="0"/>
          <w:sz w:val="24"/>
          <w:szCs w:val="24"/>
        </w:rPr>
        <w:t>赎回费用</w:t>
      </w:r>
    </w:p>
    <w:p w:rsidR="00783788" w:rsidRDefault="002C6E18">
      <w:pPr>
        <w:widowControl/>
        <w:adjustRightInd w:val="0"/>
        <w:snapToGrid w:val="0"/>
        <w:spacing w:line="360" w:lineRule="auto"/>
        <w:ind w:firstLineChars="200" w:firstLine="480"/>
        <w:rPr>
          <w:kern w:val="0"/>
          <w:sz w:val="24"/>
          <w:szCs w:val="24"/>
        </w:rPr>
      </w:pPr>
      <w:r>
        <w:rPr>
          <w:rFonts w:hAnsi="宋体"/>
          <w:kern w:val="0"/>
          <w:sz w:val="24"/>
          <w:szCs w:val="24"/>
        </w:rPr>
        <w:t>例三：某投资人赎回认购（申购）持有的</w:t>
      </w:r>
      <w:r>
        <w:rPr>
          <w:kern w:val="0"/>
          <w:sz w:val="24"/>
          <w:szCs w:val="24"/>
        </w:rPr>
        <w:t>10,000</w:t>
      </w:r>
      <w:r>
        <w:rPr>
          <w:rFonts w:hAnsi="宋体"/>
          <w:kern w:val="0"/>
          <w:sz w:val="24"/>
          <w:szCs w:val="24"/>
        </w:rPr>
        <w:t>份基金份额，对应的赎回费率为</w:t>
      </w:r>
      <w:r>
        <w:rPr>
          <w:kern w:val="0"/>
          <w:sz w:val="24"/>
          <w:szCs w:val="24"/>
        </w:rPr>
        <w:t>0.5%</w:t>
      </w:r>
      <w:r>
        <w:rPr>
          <w:rFonts w:hAnsi="宋体"/>
          <w:kern w:val="0"/>
          <w:sz w:val="24"/>
          <w:szCs w:val="24"/>
        </w:rPr>
        <w:t>，假设赎回当日基金份额净值是</w:t>
      </w:r>
      <w:r>
        <w:rPr>
          <w:kern w:val="0"/>
          <w:sz w:val="24"/>
          <w:szCs w:val="24"/>
        </w:rPr>
        <w:t>1.016</w:t>
      </w:r>
      <w:r>
        <w:rPr>
          <w:rFonts w:hAnsi="宋体"/>
          <w:kern w:val="0"/>
          <w:sz w:val="24"/>
          <w:szCs w:val="24"/>
        </w:rPr>
        <w:t>元，则其可得到的赎回金额为：</w:t>
      </w:r>
      <w:r>
        <w:rPr>
          <w:kern w:val="0"/>
          <w:sz w:val="24"/>
          <w:szCs w:val="24"/>
        </w:rPr>
        <w:t xml:space="preserve"> </w:t>
      </w:r>
    </w:p>
    <w:p w:rsidR="00783788" w:rsidRDefault="002C6E18">
      <w:pPr>
        <w:widowControl/>
        <w:adjustRightInd w:val="0"/>
        <w:snapToGrid w:val="0"/>
        <w:spacing w:line="360" w:lineRule="auto"/>
        <w:ind w:firstLineChars="200" w:firstLine="480"/>
        <w:rPr>
          <w:kern w:val="0"/>
          <w:sz w:val="24"/>
          <w:szCs w:val="24"/>
        </w:rPr>
      </w:pPr>
      <w:r>
        <w:rPr>
          <w:rFonts w:hAnsi="宋体"/>
          <w:kern w:val="0"/>
          <w:sz w:val="24"/>
          <w:szCs w:val="24"/>
        </w:rPr>
        <w:t>赎回费用</w:t>
      </w:r>
      <w:r>
        <w:rPr>
          <w:kern w:val="0"/>
          <w:sz w:val="24"/>
          <w:szCs w:val="24"/>
        </w:rPr>
        <w:t xml:space="preserve"> = 10,000×1.016×0.5% </w:t>
      </w:r>
      <w:r>
        <w:rPr>
          <w:rFonts w:hAnsi="宋体"/>
          <w:kern w:val="0"/>
          <w:sz w:val="24"/>
          <w:szCs w:val="24"/>
        </w:rPr>
        <w:t>＝</w:t>
      </w:r>
      <w:r>
        <w:rPr>
          <w:kern w:val="0"/>
          <w:sz w:val="24"/>
          <w:szCs w:val="24"/>
        </w:rPr>
        <w:t xml:space="preserve"> 50.80</w:t>
      </w:r>
      <w:r>
        <w:rPr>
          <w:rFonts w:hAnsi="宋体"/>
          <w:kern w:val="0"/>
          <w:sz w:val="24"/>
          <w:szCs w:val="24"/>
        </w:rPr>
        <w:t>元</w:t>
      </w:r>
      <w:r>
        <w:rPr>
          <w:kern w:val="0"/>
          <w:sz w:val="24"/>
          <w:szCs w:val="24"/>
        </w:rPr>
        <w:t xml:space="preserve"> </w:t>
      </w:r>
    </w:p>
    <w:p w:rsidR="00783788" w:rsidRDefault="002C6E18">
      <w:pPr>
        <w:widowControl/>
        <w:adjustRightInd w:val="0"/>
        <w:snapToGrid w:val="0"/>
        <w:spacing w:line="360" w:lineRule="auto"/>
        <w:ind w:firstLineChars="200" w:firstLine="480"/>
        <w:rPr>
          <w:kern w:val="0"/>
          <w:sz w:val="24"/>
          <w:szCs w:val="24"/>
        </w:rPr>
      </w:pPr>
      <w:r>
        <w:rPr>
          <w:rFonts w:hAnsi="宋体"/>
          <w:kern w:val="0"/>
          <w:sz w:val="24"/>
          <w:szCs w:val="24"/>
        </w:rPr>
        <w:t>赎回金额</w:t>
      </w:r>
      <w:r>
        <w:rPr>
          <w:kern w:val="0"/>
          <w:sz w:val="24"/>
          <w:szCs w:val="24"/>
        </w:rPr>
        <w:t xml:space="preserve"> = 10,000×1.016-50.80 </w:t>
      </w:r>
      <w:r>
        <w:rPr>
          <w:rFonts w:hAnsi="宋体"/>
          <w:kern w:val="0"/>
          <w:sz w:val="24"/>
          <w:szCs w:val="24"/>
        </w:rPr>
        <w:t>＝</w:t>
      </w:r>
      <w:r>
        <w:rPr>
          <w:kern w:val="0"/>
          <w:sz w:val="24"/>
          <w:szCs w:val="24"/>
        </w:rPr>
        <w:t xml:space="preserve"> 10,109.20</w:t>
      </w:r>
      <w:r>
        <w:rPr>
          <w:rFonts w:hAnsi="宋体"/>
          <w:kern w:val="0"/>
          <w:sz w:val="24"/>
          <w:szCs w:val="24"/>
        </w:rPr>
        <w:t>元</w:t>
      </w:r>
    </w:p>
    <w:p w:rsidR="00783788" w:rsidRDefault="002C6E18">
      <w:pPr>
        <w:widowControl/>
        <w:adjustRightInd w:val="0"/>
        <w:snapToGrid w:val="0"/>
        <w:spacing w:line="360" w:lineRule="auto"/>
        <w:ind w:firstLineChars="200" w:firstLine="480"/>
        <w:rPr>
          <w:kern w:val="0"/>
          <w:sz w:val="24"/>
          <w:szCs w:val="24"/>
        </w:rPr>
      </w:pPr>
      <w:r>
        <w:rPr>
          <w:rFonts w:hAnsi="宋体"/>
          <w:kern w:val="0"/>
          <w:sz w:val="24"/>
          <w:szCs w:val="24"/>
        </w:rPr>
        <w:t>即：投资人赎回本基金</w:t>
      </w:r>
      <w:r>
        <w:rPr>
          <w:kern w:val="0"/>
          <w:sz w:val="24"/>
          <w:szCs w:val="24"/>
        </w:rPr>
        <w:t>10,000</w:t>
      </w:r>
      <w:r>
        <w:rPr>
          <w:rFonts w:hAnsi="宋体"/>
          <w:kern w:val="0"/>
          <w:sz w:val="24"/>
          <w:szCs w:val="24"/>
        </w:rPr>
        <w:t>份基金份额，假设赎回当日基金份额净值是</w:t>
      </w:r>
      <w:r>
        <w:rPr>
          <w:kern w:val="0"/>
          <w:sz w:val="24"/>
          <w:szCs w:val="24"/>
        </w:rPr>
        <w:t>1.016</w:t>
      </w:r>
      <w:r>
        <w:rPr>
          <w:rFonts w:hAnsi="宋体"/>
          <w:kern w:val="0"/>
          <w:sz w:val="24"/>
          <w:szCs w:val="24"/>
        </w:rPr>
        <w:t>元，则其可得到的赎回金额为</w:t>
      </w:r>
      <w:r>
        <w:rPr>
          <w:kern w:val="0"/>
          <w:sz w:val="24"/>
          <w:szCs w:val="24"/>
        </w:rPr>
        <w:t>10,109.20</w:t>
      </w:r>
      <w:r>
        <w:rPr>
          <w:rFonts w:hAnsi="宋体"/>
          <w:kern w:val="0"/>
          <w:sz w:val="24"/>
          <w:szCs w:val="24"/>
        </w:rPr>
        <w:t>元。</w:t>
      </w:r>
    </w:p>
    <w:p w:rsidR="00783788" w:rsidRDefault="002C6E18">
      <w:pPr>
        <w:widowControl/>
        <w:adjustRightInd w:val="0"/>
        <w:snapToGrid w:val="0"/>
        <w:spacing w:line="360" w:lineRule="auto"/>
        <w:ind w:firstLineChars="200" w:firstLine="480"/>
        <w:rPr>
          <w:kern w:val="0"/>
          <w:sz w:val="24"/>
          <w:szCs w:val="24"/>
        </w:rPr>
      </w:pPr>
      <w:r>
        <w:rPr>
          <w:kern w:val="0"/>
          <w:sz w:val="24"/>
          <w:szCs w:val="24"/>
        </w:rPr>
        <w:t>4</w:t>
      </w:r>
      <w:r>
        <w:rPr>
          <w:rFonts w:hAnsi="宋体"/>
          <w:kern w:val="0"/>
          <w:sz w:val="24"/>
          <w:szCs w:val="24"/>
        </w:rPr>
        <w:t>、基金份额净值的计算公式</w:t>
      </w:r>
    </w:p>
    <w:p w:rsidR="00783788" w:rsidRDefault="002C6E18">
      <w:pPr>
        <w:widowControl/>
        <w:adjustRightInd w:val="0"/>
        <w:snapToGrid w:val="0"/>
        <w:spacing w:line="360" w:lineRule="auto"/>
        <w:ind w:firstLineChars="200" w:firstLine="480"/>
        <w:rPr>
          <w:kern w:val="0"/>
          <w:sz w:val="24"/>
          <w:szCs w:val="24"/>
        </w:rPr>
      </w:pPr>
      <w:r>
        <w:rPr>
          <w:rFonts w:hAnsi="宋体"/>
          <w:kern w:val="0"/>
          <w:sz w:val="24"/>
          <w:szCs w:val="24"/>
        </w:rPr>
        <w:t>基金份额净值＝基金资产净值总额</w:t>
      </w:r>
      <w:r>
        <w:rPr>
          <w:kern w:val="0"/>
          <w:sz w:val="24"/>
          <w:szCs w:val="24"/>
        </w:rPr>
        <w:t>/</w:t>
      </w:r>
      <w:r>
        <w:rPr>
          <w:rFonts w:hAnsi="宋体"/>
          <w:kern w:val="0"/>
          <w:sz w:val="24"/>
          <w:szCs w:val="24"/>
        </w:rPr>
        <w:t>发行在外的基金份额总数</w:t>
      </w:r>
    </w:p>
    <w:p w:rsidR="00783788" w:rsidRDefault="002C6E18">
      <w:pPr>
        <w:widowControl/>
        <w:adjustRightInd w:val="0"/>
        <w:snapToGrid w:val="0"/>
        <w:spacing w:line="360" w:lineRule="auto"/>
        <w:ind w:firstLineChars="200" w:firstLine="480"/>
        <w:rPr>
          <w:kern w:val="0"/>
          <w:sz w:val="24"/>
          <w:szCs w:val="24"/>
        </w:rPr>
      </w:pPr>
      <w:r>
        <w:rPr>
          <w:rFonts w:hAnsi="宋体"/>
          <w:kern w:val="0"/>
          <w:sz w:val="24"/>
          <w:szCs w:val="24"/>
        </w:rPr>
        <w:t>本基金</w:t>
      </w:r>
      <w:r>
        <w:rPr>
          <w:kern w:val="0"/>
          <w:sz w:val="24"/>
          <w:szCs w:val="24"/>
        </w:rPr>
        <w:t>T</w:t>
      </w:r>
      <w:r>
        <w:rPr>
          <w:rFonts w:hAnsi="宋体"/>
          <w:kern w:val="0"/>
          <w:sz w:val="24"/>
          <w:szCs w:val="24"/>
        </w:rPr>
        <w:t>日的基金份额净值在当天收市后计算，并在</w:t>
      </w:r>
      <w:r>
        <w:rPr>
          <w:kern w:val="0"/>
          <w:sz w:val="24"/>
          <w:szCs w:val="24"/>
        </w:rPr>
        <w:t>T</w:t>
      </w:r>
      <w:r>
        <w:rPr>
          <w:rFonts w:hAnsi="宋体"/>
          <w:kern w:val="0"/>
          <w:sz w:val="24"/>
          <w:szCs w:val="24"/>
        </w:rPr>
        <w:t>＋</w:t>
      </w:r>
      <w:r>
        <w:rPr>
          <w:kern w:val="0"/>
          <w:sz w:val="24"/>
          <w:szCs w:val="24"/>
        </w:rPr>
        <w:t>1</w:t>
      </w:r>
      <w:r>
        <w:rPr>
          <w:rFonts w:hAnsi="宋体"/>
          <w:kern w:val="0"/>
          <w:sz w:val="24"/>
          <w:szCs w:val="24"/>
        </w:rPr>
        <w:t>日内公告。遇特殊情况，经中国证监会同意，可以适当延迟计算或公告。</w:t>
      </w:r>
      <w:r>
        <w:rPr>
          <w:rFonts w:hAnsi="宋体"/>
          <w:sz w:val="24"/>
          <w:szCs w:val="24"/>
        </w:rPr>
        <w:t>本基金基金份额净值的计算，保留到小数点后</w:t>
      </w:r>
      <w:r>
        <w:rPr>
          <w:sz w:val="24"/>
          <w:szCs w:val="24"/>
        </w:rPr>
        <w:t>3</w:t>
      </w:r>
      <w:r>
        <w:rPr>
          <w:rFonts w:hAnsi="宋体"/>
          <w:sz w:val="24"/>
          <w:szCs w:val="24"/>
        </w:rPr>
        <w:t>位，小数点后第</w:t>
      </w:r>
      <w:r>
        <w:rPr>
          <w:sz w:val="24"/>
          <w:szCs w:val="24"/>
        </w:rPr>
        <w:t>4</w:t>
      </w:r>
      <w:r>
        <w:rPr>
          <w:rFonts w:hAnsi="宋体"/>
          <w:sz w:val="24"/>
          <w:szCs w:val="24"/>
        </w:rPr>
        <w:t>位四舍五入，由此误差产生的收益或损失由基金财产承担。</w:t>
      </w:r>
    </w:p>
    <w:p w:rsidR="00783788" w:rsidRDefault="002C6E18">
      <w:pPr>
        <w:widowControl/>
        <w:adjustRightInd w:val="0"/>
        <w:snapToGrid w:val="0"/>
        <w:spacing w:line="360" w:lineRule="auto"/>
        <w:ind w:firstLineChars="200" w:firstLine="482"/>
        <w:outlineLvl w:val="1"/>
        <w:rPr>
          <w:b/>
          <w:kern w:val="0"/>
          <w:sz w:val="24"/>
          <w:szCs w:val="24"/>
        </w:rPr>
      </w:pPr>
      <w:bookmarkStart w:id="42" w:name="_Toc79392615"/>
      <w:r>
        <w:rPr>
          <w:rFonts w:hAnsi="宋体"/>
          <w:b/>
          <w:kern w:val="0"/>
          <w:sz w:val="24"/>
          <w:szCs w:val="24"/>
        </w:rPr>
        <w:t>（八）拒绝或暂停申购的情形</w:t>
      </w:r>
      <w:bookmarkEnd w:id="42"/>
    </w:p>
    <w:p w:rsidR="00783788" w:rsidRDefault="002C6E18">
      <w:pPr>
        <w:adjustRightInd w:val="0"/>
        <w:snapToGrid w:val="0"/>
        <w:spacing w:line="360" w:lineRule="auto"/>
        <w:ind w:firstLineChars="200" w:firstLine="480"/>
        <w:rPr>
          <w:bCs/>
          <w:sz w:val="24"/>
          <w:szCs w:val="24"/>
        </w:rPr>
      </w:pPr>
      <w:r>
        <w:rPr>
          <w:rFonts w:hAnsi="宋体"/>
          <w:bCs/>
          <w:sz w:val="24"/>
          <w:szCs w:val="24"/>
        </w:rPr>
        <w:t>发生下列情况时，基金管理人可拒绝或暂停接受投资人的申购申请：</w:t>
      </w:r>
    </w:p>
    <w:p w:rsidR="00783788" w:rsidRDefault="002C6E18">
      <w:pPr>
        <w:adjustRightInd w:val="0"/>
        <w:snapToGrid w:val="0"/>
        <w:spacing w:line="360" w:lineRule="auto"/>
        <w:ind w:firstLineChars="200" w:firstLine="480"/>
        <w:rPr>
          <w:bCs/>
          <w:sz w:val="24"/>
          <w:szCs w:val="24"/>
        </w:rPr>
      </w:pPr>
      <w:r>
        <w:rPr>
          <w:bCs/>
          <w:sz w:val="24"/>
          <w:szCs w:val="24"/>
        </w:rPr>
        <w:t>1</w:t>
      </w:r>
      <w:r>
        <w:rPr>
          <w:rFonts w:hAnsi="宋体"/>
          <w:bCs/>
          <w:sz w:val="24"/>
          <w:szCs w:val="24"/>
        </w:rPr>
        <w:t>、因不可抗力导致基金无法正常运作。</w:t>
      </w:r>
    </w:p>
    <w:p w:rsidR="00783788" w:rsidRDefault="002C6E18">
      <w:pPr>
        <w:adjustRightInd w:val="0"/>
        <w:snapToGrid w:val="0"/>
        <w:spacing w:line="360" w:lineRule="auto"/>
        <w:ind w:firstLineChars="200" w:firstLine="480"/>
        <w:rPr>
          <w:bCs/>
          <w:sz w:val="24"/>
          <w:szCs w:val="24"/>
        </w:rPr>
      </w:pPr>
      <w:r>
        <w:rPr>
          <w:bCs/>
          <w:sz w:val="24"/>
          <w:szCs w:val="24"/>
        </w:rPr>
        <w:t>2</w:t>
      </w:r>
      <w:r>
        <w:rPr>
          <w:rFonts w:hAnsi="宋体"/>
          <w:bCs/>
          <w:sz w:val="24"/>
          <w:szCs w:val="24"/>
        </w:rPr>
        <w:t>、发生基金合同规定的暂停基金资产估值情况时，基金管理人可暂停接受投资人的申购申请。</w:t>
      </w:r>
    </w:p>
    <w:p w:rsidR="00783788" w:rsidRDefault="002C6E18">
      <w:pPr>
        <w:adjustRightInd w:val="0"/>
        <w:snapToGrid w:val="0"/>
        <w:spacing w:line="360" w:lineRule="auto"/>
        <w:ind w:firstLineChars="200" w:firstLine="480"/>
        <w:rPr>
          <w:bCs/>
          <w:sz w:val="24"/>
          <w:szCs w:val="24"/>
        </w:rPr>
      </w:pPr>
      <w:r>
        <w:rPr>
          <w:bCs/>
          <w:sz w:val="24"/>
          <w:szCs w:val="24"/>
        </w:rPr>
        <w:t>3</w:t>
      </w:r>
      <w:r>
        <w:rPr>
          <w:rFonts w:hAnsi="宋体"/>
          <w:bCs/>
          <w:sz w:val="24"/>
          <w:szCs w:val="24"/>
        </w:rPr>
        <w:t>、证券交易所交易时间临时停市，导致基金管理人无法计算当日基金资产净值。</w:t>
      </w:r>
    </w:p>
    <w:p w:rsidR="00783788" w:rsidRDefault="002C6E18">
      <w:pPr>
        <w:adjustRightInd w:val="0"/>
        <w:snapToGrid w:val="0"/>
        <w:spacing w:line="360" w:lineRule="auto"/>
        <w:ind w:firstLineChars="200" w:firstLine="480"/>
        <w:rPr>
          <w:bCs/>
          <w:sz w:val="24"/>
          <w:szCs w:val="24"/>
        </w:rPr>
      </w:pPr>
      <w:bookmarkStart w:id="43" w:name="_Hlt70481650"/>
      <w:bookmarkEnd w:id="43"/>
      <w:r>
        <w:rPr>
          <w:bCs/>
          <w:sz w:val="24"/>
          <w:szCs w:val="24"/>
        </w:rPr>
        <w:t>4</w:t>
      </w:r>
      <w:r>
        <w:rPr>
          <w:rFonts w:hAnsi="宋体"/>
          <w:bCs/>
          <w:sz w:val="24"/>
          <w:szCs w:val="24"/>
        </w:rPr>
        <w:t>、基金管理人认为接受某笔或某些申购申请可能会影响或损害现有基金份额持有人利益时。</w:t>
      </w:r>
    </w:p>
    <w:p w:rsidR="00783788" w:rsidRDefault="002C6E18">
      <w:pPr>
        <w:adjustRightInd w:val="0"/>
        <w:snapToGrid w:val="0"/>
        <w:spacing w:line="360" w:lineRule="auto"/>
        <w:ind w:firstLineChars="200" w:firstLine="480"/>
        <w:rPr>
          <w:bCs/>
          <w:sz w:val="24"/>
          <w:szCs w:val="24"/>
        </w:rPr>
      </w:pPr>
      <w:r>
        <w:rPr>
          <w:bCs/>
          <w:sz w:val="24"/>
          <w:szCs w:val="24"/>
        </w:rPr>
        <w:t>5</w:t>
      </w:r>
      <w:r>
        <w:rPr>
          <w:rFonts w:hAnsi="宋体"/>
          <w:bCs/>
          <w:sz w:val="24"/>
          <w:szCs w:val="24"/>
        </w:rPr>
        <w:t>、基金资产规模过大，使基金管理人无法找到合适的投资品种，或其他可能对基金业绩产生负面影响，从而损害现有基金份额持有人利益的情形。</w:t>
      </w:r>
    </w:p>
    <w:p w:rsidR="00783788" w:rsidRDefault="002C6E18">
      <w:pPr>
        <w:adjustRightInd w:val="0"/>
        <w:snapToGrid w:val="0"/>
        <w:spacing w:line="360" w:lineRule="auto"/>
        <w:ind w:firstLineChars="200" w:firstLine="480"/>
        <w:rPr>
          <w:bCs/>
          <w:sz w:val="24"/>
          <w:szCs w:val="24"/>
        </w:rPr>
      </w:pPr>
      <w:r>
        <w:rPr>
          <w:bCs/>
          <w:sz w:val="24"/>
          <w:szCs w:val="24"/>
        </w:rPr>
        <w:t>6</w:t>
      </w:r>
      <w:r>
        <w:rPr>
          <w:rFonts w:hAnsi="宋体"/>
          <w:bCs/>
          <w:sz w:val="24"/>
          <w:szCs w:val="24"/>
        </w:rPr>
        <w:t>、法律法规规定或中国证监会认定的其他情形。</w:t>
      </w:r>
    </w:p>
    <w:p w:rsidR="00783788" w:rsidRDefault="002C6E18">
      <w:pPr>
        <w:adjustRightInd w:val="0"/>
        <w:snapToGrid w:val="0"/>
        <w:spacing w:line="360" w:lineRule="auto"/>
        <w:ind w:firstLineChars="200" w:firstLine="480"/>
        <w:rPr>
          <w:kern w:val="0"/>
          <w:sz w:val="24"/>
          <w:szCs w:val="24"/>
        </w:rPr>
      </w:pPr>
      <w:r>
        <w:rPr>
          <w:rFonts w:hAnsi="宋体"/>
          <w:bCs/>
          <w:sz w:val="24"/>
          <w:szCs w:val="24"/>
        </w:rPr>
        <w:t>发生上述第</w:t>
      </w:r>
      <w:r>
        <w:rPr>
          <w:bCs/>
          <w:sz w:val="24"/>
          <w:szCs w:val="24"/>
        </w:rPr>
        <w:t>1</w:t>
      </w:r>
      <w:r>
        <w:rPr>
          <w:rFonts w:hAnsi="宋体"/>
          <w:bCs/>
          <w:sz w:val="24"/>
          <w:szCs w:val="24"/>
        </w:rPr>
        <w:t>、</w:t>
      </w:r>
      <w:r>
        <w:rPr>
          <w:bCs/>
          <w:sz w:val="24"/>
          <w:szCs w:val="24"/>
        </w:rPr>
        <w:t>2</w:t>
      </w:r>
      <w:r>
        <w:rPr>
          <w:rFonts w:hAnsi="宋体"/>
          <w:bCs/>
          <w:sz w:val="24"/>
          <w:szCs w:val="24"/>
        </w:rPr>
        <w:t>、</w:t>
      </w:r>
      <w:r>
        <w:rPr>
          <w:bCs/>
          <w:sz w:val="24"/>
          <w:szCs w:val="24"/>
        </w:rPr>
        <w:t>3</w:t>
      </w:r>
      <w:r>
        <w:rPr>
          <w:rFonts w:hAnsi="宋体"/>
          <w:bCs/>
          <w:sz w:val="24"/>
          <w:szCs w:val="24"/>
        </w:rPr>
        <w:t>、</w:t>
      </w:r>
      <w:r>
        <w:rPr>
          <w:bCs/>
          <w:sz w:val="24"/>
          <w:szCs w:val="24"/>
        </w:rPr>
        <w:t>5</w:t>
      </w:r>
      <w:r>
        <w:rPr>
          <w:rFonts w:hAnsi="宋体"/>
          <w:bCs/>
          <w:sz w:val="24"/>
          <w:szCs w:val="24"/>
        </w:rPr>
        <w:t>、</w:t>
      </w:r>
      <w:r>
        <w:rPr>
          <w:bCs/>
          <w:sz w:val="24"/>
          <w:szCs w:val="24"/>
        </w:rPr>
        <w:t>6</w:t>
      </w:r>
      <w:r>
        <w:rPr>
          <w:rFonts w:hAnsi="宋体"/>
          <w:bCs/>
          <w:sz w:val="24"/>
          <w:szCs w:val="24"/>
        </w:rPr>
        <w:t>项暂停申购情形之一</w:t>
      </w:r>
      <w:r>
        <w:rPr>
          <w:rFonts w:hAnsi="宋体"/>
          <w:sz w:val="24"/>
          <w:szCs w:val="24"/>
        </w:rPr>
        <w:t>且基金管理人决定暂停</w:t>
      </w:r>
      <w:r>
        <w:rPr>
          <w:rFonts w:hAnsi="宋体" w:hint="eastAsia"/>
          <w:bCs/>
          <w:sz w:val="24"/>
        </w:rPr>
        <w:t>申购</w:t>
      </w:r>
      <w:r>
        <w:rPr>
          <w:rFonts w:hAnsi="宋体"/>
          <w:bCs/>
          <w:sz w:val="24"/>
          <w:szCs w:val="24"/>
        </w:rPr>
        <w:t>时，基金管理人应当根据有关规定在指定媒体上刊登暂停申购公告。如果投资人的申购申请被拒绝，被拒绝的申购款项将退还给投资人。在暂停申购的情况消除时，基金管理人应及时恢复申购业务的办理。</w:t>
      </w:r>
    </w:p>
    <w:p w:rsidR="00783788" w:rsidRDefault="002C6E18">
      <w:pPr>
        <w:widowControl/>
        <w:adjustRightInd w:val="0"/>
        <w:snapToGrid w:val="0"/>
        <w:spacing w:line="360" w:lineRule="auto"/>
        <w:ind w:firstLineChars="200" w:firstLine="482"/>
        <w:outlineLvl w:val="1"/>
        <w:rPr>
          <w:b/>
          <w:kern w:val="0"/>
          <w:sz w:val="24"/>
          <w:szCs w:val="24"/>
        </w:rPr>
      </w:pPr>
      <w:r>
        <w:rPr>
          <w:rFonts w:hAnsi="宋体"/>
          <w:b/>
          <w:kern w:val="0"/>
          <w:sz w:val="24"/>
          <w:szCs w:val="24"/>
        </w:rPr>
        <w:t>（九）暂停赎回或延缓支付赎回款项的情形</w:t>
      </w:r>
    </w:p>
    <w:p w:rsidR="00783788" w:rsidRDefault="002C6E18">
      <w:pPr>
        <w:adjustRightInd w:val="0"/>
        <w:snapToGrid w:val="0"/>
        <w:spacing w:line="360" w:lineRule="auto"/>
        <w:ind w:firstLineChars="200" w:firstLine="480"/>
        <w:rPr>
          <w:bCs/>
          <w:sz w:val="24"/>
          <w:szCs w:val="24"/>
        </w:rPr>
      </w:pPr>
      <w:bookmarkStart w:id="44" w:name="_Toc79392616"/>
      <w:r>
        <w:rPr>
          <w:rFonts w:hAnsi="宋体"/>
          <w:bCs/>
          <w:sz w:val="24"/>
          <w:szCs w:val="24"/>
        </w:rPr>
        <w:t>发生下列情形时，基金管理人可暂停接受投资人的赎回申请或延缓支付赎回款项：</w:t>
      </w:r>
    </w:p>
    <w:p w:rsidR="00783788" w:rsidRDefault="002C6E18">
      <w:pPr>
        <w:adjustRightInd w:val="0"/>
        <w:snapToGrid w:val="0"/>
        <w:spacing w:line="360" w:lineRule="auto"/>
        <w:ind w:firstLineChars="200" w:firstLine="480"/>
        <w:rPr>
          <w:bCs/>
          <w:sz w:val="24"/>
          <w:szCs w:val="24"/>
        </w:rPr>
      </w:pPr>
      <w:r>
        <w:rPr>
          <w:bCs/>
          <w:sz w:val="24"/>
          <w:szCs w:val="24"/>
        </w:rPr>
        <w:t>1</w:t>
      </w:r>
      <w:r>
        <w:rPr>
          <w:rFonts w:hAnsi="宋体"/>
          <w:bCs/>
          <w:sz w:val="24"/>
          <w:szCs w:val="24"/>
        </w:rPr>
        <w:t>、因不可抗力导致基金管理人不能支付赎回款项。</w:t>
      </w:r>
    </w:p>
    <w:p w:rsidR="00783788" w:rsidRDefault="002C6E18">
      <w:pPr>
        <w:adjustRightInd w:val="0"/>
        <w:snapToGrid w:val="0"/>
        <w:spacing w:line="360" w:lineRule="auto"/>
        <w:ind w:firstLineChars="200" w:firstLine="480"/>
        <w:rPr>
          <w:bCs/>
          <w:sz w:val="24"/>
          <w:szCs w:val="24"/>
        </w:rPr>
      </w:pPr>
      <w:r>
        <w:rPr>
          <w:bCs/>
          <w:sz w:val="24"/>
          <w:szCs w:val="24"/>
        </w:rPr>
        <w:t>2</w:t>
      </w:r>
      <w:r>
        <w:rPr>
          <w:rFonts w:hAnsi="宋体"/>
          <w:bCs/>
          <w:sz w:val="24"/>
          <w:szCs w:val="24"/>
        </w:rPr>
        <w:t>、发生基金合同规定的暂停基金资产估值情况时，基金管理人可暂停接受投资人的赎回申请或延缓支付赎回款项。</w:t>
      </w:r>
    </w:p>
    <w:p w:rsidR="00783788" w:rsidRDefault="002C6E18">
      <w:pPr>
        <w:adjustRightInd w:val="0"/>
        <w:snapToGrid w:val="0"/>
        <w:spacing w:line="360" w:lineRule="auto"/>
        <w:ind w:firstLineChars="200" w:firstLine="480"/>
        <w:rPr>
          <w:bCs/>
          <w:sz w:val="24"/>
          <w:szCs w:val="24"/>
        </w:rPr>
      </w:pPr>
      <w:r>
        <w:rPr>
          <w:bCs/>
          <w:sz w:val="24"/>
          <w:szCs w:val="24"/>
        </w:rPr>
        <w:t>3</w:t>
      </w:r>
      <w:r>
        <w:rPr>
          <w:rFonts w:hAnsi="宋体"/>
          <w:bCs/>
          <w:sz w:val="24"/>
          <w:szCs w:val="24"/>
        </w:rPr>
        <w:t>、证券交易所交易时间临时停市，导致基金管理人无法计算当日基金资产净值。</w:t>
      </w:r>
    </w:p>
    <w:p w:rsidR="00783788" w:rsidRDefault="002C6E18">
      <w:pPr>
        <w:adjustRightInd w:val="0"/>
        <w:snapToGrid w:val="0"/>
        <w:spacing w:line="360" w:lineRule="auto"/>
        <w:ind w:firstLineChars="200" w:firstLine="480"/>
        <w:rPr>
          <w:bCs/>
          <w:sz w:val="24"/>
          <w:szCs w:val="24"/>
        </w:rPr>
      </w:pPr>
      <w:r>
        <w:rPr>
          <w:bCs/>
          <w:sz w:val="24"/>
          <w:szCs w:val="24"/>
        </w:rPr>
        <w:t>4</w:t>
      </w:r>
      <w:r>
        <w:rPr>
          <w:rFonts w:hAnsi="宋体"/>
          <w:bCs/>
          <w:sz w:val="24"/>
          <w:szCs w:val="24"/>
        </w:rPr>
        <w:t>、连续两个或两个以上开放日发生巨额赎回。</w:t>
      </w:r>
    </w:p>
    <w:p w:rsidR="00783788" w:rsidRDefault="002C6E18">
      <w:pPr>
        <w:adjustRightInd w:val="0"/>
        <w:snapToGrid w:val="0"/>
        <w:spacing w:line="360" w:lineRule="auto"/>
        <w:ind w:firstLineChars="200" w:firstLine="480"/>
        <w:rPr>
          <w:bCs/>
          <w:sz w:val="24"/>
          <w:szCs w:val="24"/>
        </w:rPr>
      </w:pPr>
      <w:r>
        <w:rPr>
          <w:bCs/>
          <w:sz w:val="24"/>
          <w:szCs w:val="24"/>
        </w:rPr>
        <w:t>5</w:t>
      </w:r>
      <w:r>
        <w:rPr>
          <w:rFonts w:hAnsi="宋体"/>
          <w:bCs/>
          <w:sz w:val="24"/>
          <w:szCs w:val="24"/>
        </w:rPr>
        <w:t>、法律法规规定或中国证监会认定的其他情形。</w:t>
      </w:r>
    </w:p>
    <w:p w:rsidR="00783788" w:rsidRDefault="002C6E18">
      <w:pPr>
        <w:adjustRightInd w:val="0"/>
        <w:snapToGrid w:val="0"/>
        <w:spacing w:line="360" w:lineRule="auto"/>
        <w:ind w:firstLineChars="200" w:firstLine="480"/>
        <w:rPr>
          <w:sz w:val="24"/>
          <w:szCs w:val="24"/>
        </w:rPr>
      </w:pPr>
      <w:r>
        <w:rPr>
          <w:rFonts w:hAnsi="宋体"/>
          <w:bCs/>
          <w:sz w:val="24"/>
          <w:szCs w:val="24"/>
        </w:rPr>
        <w:t>发生上述情形之一且基金管理人决定暂停接受投资人的赎回申请或延缓支付赎回款项时，基金管理人应在当日报中国证监会备案，已确认的赎回申请，基金管理人应足额支付；如暂时不能足额支付，应将可支付部分按单个账户申请量占申请总量的比例分配给赎回申请人，未支付部分可延期支付，并以后续开放日的基金份额净值为依据计算赎回金额。若出现上述第</w:t>
      </w:r>
      <w:r>
        <w:rPr>
          <w:bCs/>
          <w:sz w:val="24"/>
          <w:szCs w:val="24"/>
        </w:rPr>
        <w:t>4</w:t>
      </w:r>
      <w:r>
        <w:rPr>
          <w:rFonts w:hAnsi="宋体"/>
          <w:bCs/>
          <w:sz w:val="24"/>
          <w:szCs w:val="24"/>
        </w:rPr>
        <w:t>项所述情形，按基金合同的相关条款处理。基金份额持有人在申请赎回时可事先选择将当日可能未获受理部分予以撤销。在暂停赎回的情况消除时，基金管理人应及时恢复赎回业务的办理并公告。</w:t>
      </w:r>
    </w:p>
    <w:p w:rsidR="00783788" w:rsidRDefault="002C6E18">
      <w:pPr>
        <w:widowControl/>
        <w:adjustRightInd w:val="0"/>
        <w:snapToGrid w:val="0"/>
        <w:spacing w:line="360" w:lineRule="auto"/>
        <w:ind w:firstLineChars="200" w:firstLine="482"/>
        <w:outlineLvl w:val="1"/>
        <w:rPr>
          <w:b/>
          <w:kern w:val="0"/>
          <w:sz w:val="24"/>
          <w:szCs w:val="24"/>
        </w:rPr>
      </w:pPr>
      <w:r>
        <w:rPr>
          <w:rFonts w:hAnsi="宋体"/>
          <w:b/>
          <w:kern w:val="0"/>
          <w:sz w:val="24"/>
          <w:szCs w:val="24"/>
        </w:rPr>
        <w:t>（十）巨额赎回的情形及处理方式</w:t>
      </w:r>
      <w:bookmarkEnd w:id="44"/>
    </w:p>
    <w:p w:rsidR="00783788" w:rsidRDefault="002C6E18">
      <w:pPr>
        <w:adjustRightInd w:val="0"/>
        <w:snapToGrid w:val="0"/>
        <w:spacing w:line="360" w:lineRule="auto"/>
        <w:ind w:firstLineChars="200" w:firstLine="480"/>
        <w:rPr>
          <w:sz w:val="24"/>
          <w:szCs w:val="24"/>
        </w:rPr>
      </w:pPr>
      <w:r>
        <w:rPr>
          <w:sz w:val="24"/>
          <w:szCs w:val="24"/>
        </w:rPr>
        <w:t>1</w:t>
      </w:r>
      <w:r>
        <w:rPr>
          <w:rFonts w:hAnsi="宋体"/>
          <w:sz w:val="24"/>
          <w:szCs w:val="24"/>
        </w:rPr>
        <w:t>、巨额赎回的认定</w:t>
      </w:r>
    </w:p>
    <w:p w:rsidR="00783788" w:rsidRDefault="002C6E18">
      <w:pPr>
        <w:adjustRightInd w:val="0"/>
        <w:snapToGrid w:val="0"/>
        <w:spacing w:line="360" w:lineRule="auto"/>
        <w:ind w:firstLineChars="200" w:firstLine="480"/>
        <w:rPr>
          <w:sz w:val="24"/>
          <w:szCs w:val="24"/>
        </w:rPr>
      </w:pPr>
      <w:r>
        <w:rPr>
          <w:rFonts w:hAnsi="宋体"/>
          <w:bCs/>
          <w:sz w:val="24"/>
          <w:szCs w:val="24"/>
        </w:rPr>
        <w:t>若本基金单个开放日内的基金份额净赎回申请（赎回申请份额总数加上基金转换中转出申请份额总数后扣除申购申请份额总数及基金转换中转入申请份额总数后的余额，定期支付时的自动赎回份额不纳入以上赎回份额计算）超过前一开放日的基金总份额的</w:t>
      </w:r>
      <w:r>
        <w:rPr>
          <w:bCs/>
          <w:sz w:val="24"/>
          <w:szCs w:val="24"/>
        </w:rPr>
        <w:t>10%</w:t>
      </w:r>
      <w:r>
        <w:rPr>
          <w:rFonts w:hAnsi="宋体"/>
          <w:bCs/>
          <w:sz w:val="24"/>
          <w:szCs w:val="24"/>
        </w:rPr>
        <w:t>，即认为是发生了巨额赎回。</w:t>
      </w:r>
    </w:p>
    <w:p w:rsidR="00783788" w:rsidRDefault="002C6E18">
      <w:pPr>
        <w:adjustRightInd w:val="0"/>
        <w:snapToGrid w:val="0"/>
        <w:spacing w:line="360" w:lineRule="auto"/>
        <w:ind w:firstLineChars="200" w:firstLine="480"/>
        <w:rPr>
          <w:sz w:val="24"/>
          <w:szCs w:val="24"/>
        </w:rPr>
      </w:pPr>
      <w:r>
        <w:rPr>
          <w:sz w:val="24"/>
          <w:szCs w:val="24"/>
        </w:rPr>
        <w:t>2</w:t>
      </w:r>
      <w:r>
        <w:rPr>
          <w:rFonts w:hAnsi="宋体"/>
          <w:sz w:val="24"/>
          <w:szCs w:val="24"/>
        </w:rPr>
        <w:t>、巨额赎回的处理方式</w:t>
      </w:r>
    </w:p>
    <w:p w:rsidR="00783788" w:rsidRDefault="002C6E18">
      <w:pPr>
        <w:adjustRightInd w:val="0"/>
        <w:snapToGrid w:val="0"/>
        <w:spacing w:line="360" w:lineRule="auto"/>
        <w:ind w:firstLineChars="200" w:firstLine="480"/>
        <w:rPr>
          <w:bCs/>
          <w:sz w:val="24"/>
          <w:szCs w:val="24"/>
        </w:rPr>
      </w:pPr>
      <w:r>
        <w:rPr>
          <w:rFonts w:hAnsi="宋体"/>
          <w:bCs/>
          <w:sz w:val="24"/>
          <w:szCs w:val="24"/>
        </w:rPr>
        <w:t>当基金出现巨额赎回时，基金管理人可以根据基金当时的资产组合状况决定全额赎回或部分延期赎回。</w:t>
      </w:r>
    </w:p>
    <w:p w:rsidR="00783788" w:rsidRDefault="002C6E18">
      <w:pPr>
        <w:adjustRightInd w:val="0"/>
        <w:snapToGrid w:val="0"/>
        <w:spacing w:line="360" w:lineRule="auto"/>
        <w:ind w:firstLineChars="200" w:firstLine="480"/>
        <w:rPr>
          <w:bCs/>
          <w:sz w:val="24"/>
          <w:szCs w:val="24"/>
        </w:rPr>
      </w:pPr>
      <w:r>
        <w:rPr>
          <w:rFonts w:hAnsi="宋体"/>
          <w:bCs/>
          <w:sz w:val="24"/>
          <w:szCs w:val="24"/>
        </w:rPr>
        <w:t>（</w:t>
      </w:r>
      <w:r>
        <w:rPr>
          <w:bCs/>
          <w:sz w:val="24"/>
          <w:szCs w:val="24"/>
        </w:rPr>
        <w:t>1</w:t>
      </w:r>
      <w:r>
        <w:rPr>
          <w:rFonts w:hAnsi="宋体"/>
          <w:bCs/>
          <w:sz w:val="24"/>
          <w:szCs w:val="24"/>
        </w:rPr>
        <w:t>）全额赎回：当基金管理人认为有能力支付投资人的全部赎回申请时，按正常赎回程序执行。</w:t>
      </w:r>
    </w:p>
    <w:p w:rsidR="00783788" w:rsidRDefault="002C6E18">
      <w:pPr>
        <w:adjustRightInd w:val="0"/>
        <w:snapToGrid w:val="0"/>
        <w:spacing w:line="360" w:lineRule="auto"/>
        <w:ind w:firstLineChars="200" w:firstLine="480"/>
        <w:rPr>
          <w:bCs/>
          <w:sz w:val="24"/>
          <w:szCs w:val="24"/>
        </w:rPr>
      </w:pPr>
      <w:r>
        <w:rPr>
          <w:rFonts w:hAnsi="宋体"/>
          <w:bCs/>
          <w:sz w:val="24"/>
          <w:szCs w:val="24"/>
        </w:rPr>
        <w:t>（</w:t>
      </w:r>
      <w:r>
        <w:rPr>
          <w:bCs/>
          <w:sz w:val="24"/>
          <w:szCs w:val="24"/>
        </w:rPr>
        <w:t>2</w:t>
      </w:r>
      <w:r>
        <w:rPr>
          <w:rFonts w:hAnsi="宋体"/>
          <w:bCs/>
          <w:sz w:val="24"/>
          <w:szCs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Pr>
          <w:bCs/>
          <w:sz w:val="24"/>
          <w:szCs w:val="24"/>
        </w:rPr>
        <w:t>10%</w:t>
      </w:r>
      <w:r>
        <w:rPr>
          <w:rFonts w:hAnsi="宋体"/>
          <w:bCs/>
          <w:sz w:val="24"/>
          <w:szCs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rsidR="00783788" w:rsidRDefault="002C6E18">
      <w:pPr>
        <w:adjustRightInd w:val="0"/>
        <w:snapToGrid w:val="0"/>
        <w:spacing w:line="360" w:lineRule="auto"/>
        <w:ind w:firstLineChars="200" w:firstLine="480"/>
        <w:rPr>
          <w:bCs/>
          <w:sz w:val="24"/>
          <w:szCs w:val="24"/>
        </w:rPr>
      </w:pPr>
      <w:r>
        <w:rPr>
          <w:rFonts w:hAnsi="宋体"/>
          <w:bCs/>
          <w:sz w:val="24"/>
          <w:szCs w:val="24"/>
        </w:rPr>
        <w:t>（</w:t>
      </w:r>
      <w:r>
        <w:rPr>
          <w:bCs/>
          <w:sz w:val="24"/>
          <w:szCs w:val="24"/>
        </w:rPr>
        <w:t>3</w:t>
      </w:r>
      <w:r>
        <w:rPr>
          <w:rFonts w:hAnsi="宋体"/>
          <w:bCs/>
          <w:sz w:val="24"/>
          <w:szCs w:val="24"/>
        </w:rPr>
        <w:t>）暂停赎回：连续</w:t>
      </w:r>
      <w:r>
        <w:rPr>
          <w:bCs/>
          <w:sz w:val="24"/>
          <w:szCs w:val="24"/>
        </w:rPr>
        <w:t>2</w:t>
      </w:r>
      <w:r>
        <w:rPr>
          <w:rFonts w:hAnsi="宋体"/>
          <w:bCs/>
          <w:sz w:val="24"/>
          <w:szCs w:val="24"/>
        </w:rPr>
        <w:t>日以上（含本数）发生巨额赎回，如基金管理人认为有必要，可暂停接受基金的赎回申请；已经接受的赎回申请可以延缓支付赎回款项，但不得超过</w:t>
      </w:r>
      <w:r>
        <w:rPr>
          <w:bCs/>
          <w:sz w:val="24"/>
          <w:szCs w:val="24"/>
        </w:rPr>
        <w:t>20</w:t>
      </w:r>
      <w:r>
        <w:rPr>
          <w:rFonts w:hAnsi="宋体"/>
          <w:bCs/>
          <w:sz w:val="24"/>
          <w:szCs w:val="24"/>
        </w:rPr>
        <w:t>个工作日，并应当在指定媒体上进行公告。</w:t>
      </w:r>
    </w:p>
    <w:p w:rsidR="00783788" w:rsidRDefault="002C6E18">
      <w:pPr>
        <w:adjustRightInd w:val="0"/>
        <w:snapToGrid w:val="0"/>
        <w:spacing w:line="360" w:lineRule="auto"/>
        <w:ind w:firstLineChars="200" w:firstLine="480"/>
        <w:rPr>
          <w:bCs/>
          <w:sz w:val="24"/>
          <w:szCs w:val="24"/>
        </w:rPr>
      </w:pPr>
      <w:r>
        <w:rPr>
          <w:bCs/>
          <w:sz w:val="24"/>
          <w:szCs w:val="24"/>
        </w:rPr>
        <w:t>3</w:t>
      </w:r>
      <w:r>
        <w:rPr>
          <w:rFonts w:hAnsi="宋体"/>
          <w:bCs/>
          <w:sz w:val="24"/>
          <w:szCs w:val="24"/>
        </w:rPr>
        <w:t>、巨额赎回的公告</w:t>
      </w:r>
    </w:p>
    <w:p w:rsidR="00783788" w:rsidRDefault="002C6E18">
      <w:pPr>
        <w:adjustRightInd w:val="0"/>
        <w:snapToGrid w:val="0"/>
        <w:spacing w:line="360" w:lineRule="auto"/>
        <w:ind w:firstLineChars="200" w:firstLine="480"/>
        <w:rPr>
          <w:sz w:val="24"/>
          <w:szCs w:val="24"/>
        </w:rPr>
      </w:pPr>
      <w:r>
        <w:rPr>
          <w:rFonts w:hAnsi="宋体"/>
          <w:bCs/>
          <w:sz w:val="24"/>
          <w:szCs w:val="24"/>
        </w:rPr>
        <w:t>当发生上述延期赎回并延期办理时，基金管理人应当通过邮寄、传真</w:t>
      </w:r>
      <w:r>
        <w:rPr>
          <w:rFonts w:hAnsi="宋体"/>
          <w:sz w:val="24"/>
          <w:szCs w:val="24"/>
        </w:rPr>
        <w:t>、</w:t>
      </w:r>
      <w:r>
        <w:rPr>
          <w:rFonts w:hAnsi="宋体"/>
          <w:kern w:val="0"/>
          <w:sz w:val="24"/>
          <w:szCs w:val="24"/>
        </w:rPr>
        <w:t>刊登公告或者通知代销机构代为告知等</w:t>
      </w:r>
      <w:r>
        <w:rPr>
          <w:rFonts w:hAnsi="宋体"/>
          <w:bCs/>
          <w:sz w:val="24"/>
          <w:szCs w:val="24"/>
        </w:rPr>
        <w:t>方式在</w:t>
      </w:r>
      <w:r>
        <w:rPr>
          <w:bCs/>
          <w:sz w:val="24"/>
          <w:szCs w:val="24"/>
        </w:rPr>
        <w:t>3</w:t>
      </w:r>
      <w:r>
        <w:rPr>
          <w:rFonts w:hAnsi="宋体"/>
          <w:bCs/>
          <w:sz w:val="24"/>
          <w:szCs w:val="24"/>
        </w:rPr>
        <w:t>个交易日内通知基金份额持有人，说明有关处理方法，同时在指定媒体上刊登公告。</w:t>
      </w:r>
    </w:p>
    <w:p w:rsidR="00783788" w:rsidRDefault="002C6E18">
      <w:pPr>
        <w:widowControl/>
        <w:adjustRightInd w:val="0"/>
        <w:snapToGrid w:val="0"/>
        <w:spacing w:line="360" w:lineRule="auto"/>
        <w:ind w:firstLineChars="200" w:firstLine="482"/>
        <w:outlineLvl w:val="1"/>
        <w:rPr>
          <w:b/>
          <w:kern w:val="0"/>
          <w:sz w:val="24"/>
          <w:szCs w:val="24"/>
        </w:rPr>
      </w:pPr>
      <w:bookmarkStart w:id="45" w:name="_Toc79392617"/>
      <w:r>
        <w:rPr>
          <w:rFonts w:hAnsi="宋体"/>
          <w:b/>
          <w:kern w:val="0"/>
          <w:sz w:val="24"/>
          <w:szCs w:val="24"/>
        </w:rPr>
        <w:t>（十一）暂停申购或赎回的公告和重新开放申购或赎回的公告</w:t>
      </w:r>
      <w:bookmarkEnd w:id="45"/>
    </w:p>
    <w:p w:rsidR="00783788" w:rsidRDefault="002C6E18">
      <w:pPr>
        <w:adjustRightInd w:val="0"/>
        <w:snapToGrid w:val="0"/>
        <w:spacing w:line="360" w:lineRule="auto"/>
        <w:ind w:firstLineChars="200" w:firstLine="480"/>
        <w:rPr>
          <w:bCs/>
          <w:sz w:val="24"/>
          <w:szCs w:val="24"/>
        </w:rPr>
      </w:pPr>
      <w:bookmarkStart w:id="46" w:name="_Toc59441259"/>
      <w:bookmarkStart w:id="47" w:name="_Toc15118274"/>
      <w:bookmarkStart w:id="48" w:name="_Toc79392618"/>
      <w:r>
        <w:rPr>
          <w:bCs/>
          <w:sz w:val="24"/>
          <w:szCs w:val="24"/>
        </w:rPr>
        <w:t>1</w:t>
      </w:r>
      <w:r>
        <w:rPr>
          <w:rFonts w:hAnsi="宋体"/>
          <w:bCs/>
          <w:sz w:val="24"/>
          <w:szCs w:val="24"/>
        </w:rPr>
        <w:t>、发生上述暂停申购或赎回情况的，基金管理人当日应立即向中国证监会备案，并在规定期限内在指定媒体上刊登暂停公告。</w:t>
      </w:r>
    </w:p>
    <w:p w:rsidR="00783788" w:rsidRDefault="002C6E18">
      <w:pPr>
        <w:adjustRightInd w:val="0"/>
        <w:snapToGrid w:val="0"/>
        <w:spacing w:line="360" w:lineRule="auto"/>
        <w:ind w:firstLineChars="200" w:firstLine="480"/>
        <w:rPr>
          <w:sz w:val="24"/>
          <w:szCs w:val="24"/>
        </w:rPr>
      </w:pPr>
      <w:r>
        <w:rPr>
          <w:bCs/>
          <w:sz w:val="24"/>
          <w:szCs w:val="24"/>
        </w:rPr>
        <w:t>2</w:t>
      </w:r>
      <w:r>
        <w:rPr>
          <w:rFonts w:hAnsi="宋体"/>
          <w:bCs/>
          <w:sz w:val="24"/>
          <w:szCs w:val="24"/>
        </w:rPr>
        <w:t>、暂停结束，基金重新开放申购或赎回时，基金管理人应依照《信息披露管理办法》的有关规定，在指定媒体上刊登基金重新开放申购或赎回公告，</w:t>
      </w:r>
      <w:r>
        <w:rPr>
          <w:rFonts w:hAnsi="宋体"/>
          <w:sz w:val="24"/>
          <w:szCs w:val="24"/>
        </w:rPr>
        <w:t>并</w:t>
      </w:r>
      <w:r>
        <w:rPr>
          <w:rFonts w:hAnsi="宋体"/>
          <w:bCs/>
          <w:sz w:val="24"/>
          <w:szCs w:val="24"/>
        </w:rPr>
        <w:t>公告最近</w:t>
      </w:r>
      <w:r>
        <w:rPr>
          <w:bCs/>
          <w:sz w:val="24"/>
          <w:szCs w:val="24"/>
        </w:rPr>
        <w:t>1</w:t>
      </w:r>
      <w:r>
        <w:rPr>
          <w:rFonts w:hAnsi="宋体"/>
          <w:bCs/>
          <w:sz w:val="24"/>
          <w:szCs w:val="24"/>
        </w:rPr>
        <w:t>个开放日的基金份额净值。</w:t>
      </w:r>
    </w:p>
    <w:p w:rsidR="00783788" w:rsidRDefault="002C6E18">
      <w:pPr>
        <w:widowControl/>
        <w:adjustRightInd w:val="0"/>
        <w:snapToGrid w:val="0"/>
        <w:spacing w:line="360" w:lineRule="auto"/>
        <w:ind w:firstLineChars="200" w:firstLine="482"/>
        <w:rPr>
          <w:b/>
          <w:kern w:val="0"/>
          <w:sz w:val="24"/>
          <w:szCs w:val="24"/>
        </w:rPr>
      </w:pPr>
      <w:bookmarkStart w:id="49" w:name="_Toc79392621"/>
      <w:bookmarkEnd w:id="46"/>
      <w:bookmarkEnd w:id="47"/>
      <w:bookmarkEnd w:id="48"/>
      <w:r>
        <w:rPr>
          <w:rFonts w:hAnsi="宋体"/>
          <w:b/>
          <w:kern w:val="0"/>
          <w:sz w:val="24"/>
          <w:szCs w:val="24"/>
        </w:rPr>
        <w:t>（十</w:t>
      </w:r>
      <w:r>
        <w:rPr>
          <w:rFonts w:hAnsi="宋体" w:hint="eastAsia"/>
          <w:b/>
          <w:kern w:val="0"/>
          <w:sz w:val="24"/>
          <w:szCs w:val="24"/>
        </w:rPr>
        <w:t>二</w:t>
      </w:r>
      <w:r>
        <w:rPr>
          <w:rFonts w:hAnsi="宋体"/>
          <w:b/>
          <w:kern w:val="0"/>
          <w:sz w:val="24"/>
          <w:szCs w:val="24"/>
        </w:rPr>
        <w:t>）基金的非交易过户</w:t>
      </w:r>
    </w:p>
    <w:p w:rsidR="00783788" w:rsidRDefault="002C6E18">
      <w:pPr>
        <w:adjustRightInd w:val="0"/>
        <w:snapToGrid w:val="0"/>
        <w:spacing w:line="360" w:lineRule="auto"/>
        <w:ind w:firstLineChars="200" w:firstLine="480"/>
        <w:rPr>
          <w:bCs/>
          <w:sz w:val="24"/>
          <w:szCs w:val="24"/>
        </w:rPr>
      </w:pPr>
      <w:r>
        <w:rPr>
          <w:rFonts w:hAnsi="宋体"/>
          <w:bCs/>
          <w:sz w:val="24"/>
          <w:szCs w:val="24"/>
        </w:rPr>
        <w:t>基金的非交易过户是指基金登记机构受理继承、捐赠和司法强制执行等情形而产生的非交易过户以及登记机构认可、符合法律法规的其它非交易过户。无论在上述何种情况下，接受划转的主体必须是依法可以持有本基金基金份额的投资人。</w:t>
      </w:r>
    </w:p>
    <w:p w:rsidR="00783788" w:rsidRDefault="002C6E18">
      <w:pPr>
        <w:widowControl/>
        <w:adjustRightInd w:val="0"/>
        <w:snapToGrid w:val="0"/>
        <w:spacing w:line="360" w:lineRule="auto"/>
        <w:ind w:firstLineChars="200" w:firstLine="480"/>
        <w:rPr>
          <w:b/>
          <w:kern w:val="0"/>
          <w:sz w:val="24"/>
          <w:szCs w:val="24"/>
        </w:rPr>
      </w:pPr>
      <w:r>
        <w:rPr>
          <w:rFonts w:hAnsi="宋体"/>
          <w:sz w:val="24"/>
          <w:szCs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rsidR="00783788" w:rsidRDefault="002C6E18">
      <w:pPr>
        <w:widowControl/>
        <w:adjustRightInd w:val="0"/>
        <w:snapToGrid w:val="0"/>
        <w:spacing w:line="360" w:lineRule="auto"/>
        <w:ind w:firstLineChars="200" w:firstLine="482"/>
        <w:rPr>
          <w:b/>
          <w:kern w:val="0"/>
          <w:sz w:val="24"/>
          <w:szCs w:val="24"/>
        </w:rPr>
      </w:pPr>
      <w:r>
        <w:rPr>
          <w:rFonts w:hAnsi="宋体"/>
          <w:b/>
          <w:kern w:val="0"/>
          <w:sz w:val="24"/>
          <w:szCs w:val="24"/>
        </w:rPr>
        <w:t>（十</w:t>
      </w:r>
      <w:r>
        <w:rPr>
          <w:rFonts w:hAnsi="宋体" w:hint="eastAsia"/>
          <w:b/>
          <w:kern w:val="0"/>
          <w:sz w:val="24"/>
          <w:szCs w:val="24"/>
        </w:rPr>
        <w:t>三</w:t>
      </w:r>
      <w:r>
        <w:rPr>
          <w:rFonts w:hAnsi="宋体"/>
          <w:b/>
          <w:kern w:val="0"/>
          <w:sz w:val="24"/>
          <w:szCs w:val="24"/>
        </w:rPr>
        <w:t>）基金的转托管</w:t>
      </w:r>
      <w:bookmarkEnd w:id="49"/>
    </w:p>
    <w:p w:rsidR="00783788" w:rsidRDefault="002C6E18">
      <w:pPr>
        <w:adjustRightInd w:val="0"/>
        <w:snapToGrid w:val="0"/>
        <w:spacing w:line="360" w:lineRule="auto"/>
        <w:ind w:firstLineChars="200" w:firstLine="480"/>
        <w:rPr>
          <w:sz w:val="24"/>
          <w:szCs w:val="24"/>
        </w:rPr>
      </w:pPr>
      <w:r>
        <w:rPr>
          <w:rFonts w:hAnsi="宋体"/>
          <w:sz w:val="24"/>
          <w:szCs w:val="24"/>
        </w:rPr>
        <w:t>基金份额持有人可办理已持有基金份额在不同销售机构之间的转托管，基金销售机构可以按照规定的标准收取转托管费。</w:t>
      </w:r>
    </w:p>
    <w:p w:rsidR="00783788" w:rsidRDefault="002C6E18">
      <w:pPr>
        <w:adjustRightInd w:val="0"/>
        <w:snapToGrid w:val="0"/>
        <w:spacing w:line="360" w:lineRule="auto"/>
        <w:ind w:firstLineChars="200" w:firstLine="480"/>
        <w:rPr>
          <w:sz w:val="24"/>
          <w:szCs w:val="24"/>
        </w:rPr>
      </w:pPr>
      <w:r>
        <w:rPr>
          <w:rFonts w:hAnsi="宋体"/>
          <w:sz w:val="24"/>
          <w:szCs w:val="24"/>
        </w:rPr>
        <w:t>如果基金管理人、登记机构、办理转托管的销售机构出现技术系统性能限制或出于其它合理原因，可以暂停该业务或者拒绝基金份额持有人的转托管申请。</w:t>
      </w:r>
    </w:p>
    <w:p w:rsidR="00783788" w:rsidRDefault="002C6E18">
      <w:pPr>
        <w:widowControl/>
        <w:adjustRightInd w:val="0"/>
        <w:snapToGrid w:val="0"/>
        <w:spacing w:line="360" w:lineRule="auto"/>
        <w:ind w:firstLineChars="200" w:firstLine="482"/>
        <w:rPr>
          <w:b/>
          <w:kern w:val="0"/>
          <w:sz w:val="24"/>
          <w:szCs w:val="24"/>
        </w:rPr>
      </w:pPr>
      <w:bookmarkStart w:id="50" w:name="_Toc79392620"/>
      <w:r>
        <w:rPr>
          <w:rFonts w:hAnsi="宋体"/>
          <w:b/>
          <w:kern w:val="0"/>
          <w:sz w:val="24"/>
          <w:szCs w:val="24"/>
        </w:rPr>
        <w:t>（十</w:t>
      </w:r>
      <w:r>
        <w:rPr>
          <w:rFonts w:hAnsi="宋体" w:hint="eastAsia"/>
          <w:b/>
          <w:kern w:val="0"/>
          <w:sz w:val="24"/>
          <w:szCs w:val="24"/>
        </w:rPr>
        <w:t>四</w:t>
      </w:r>
      <w:r>
        <w:rPr>
          <w:rFonts w:hAnsi="宋体"/>
          <w:b/>
          <w:kern w:val="0"/>
          <w:sz w:val="24"/>
          <w:szCs w:val="24"/>
        </w:rPr>
        <w:t>）定期定额投资计划</w:t>
      </w:r>
    </w:p>
    <w:p w:rsidR="00783788" w:rsidRDefault="002C6E18">
      <w:pPr>
        <w:spacing w:line="360" w:lineRule="auto"/>
        <w:ind w:firstLineChars="200" w:firstLine="480"/>
        <w:rPr>
          <w:bCs/>
          <w:sz w:val="24"/>
        </w:rPr>
      </w:pPr>
      <w:r>
        <w:rPr>
          <w:rFonts w:hint="eastAsia"/>
          <w:bCs/>
          <w:sz w:val="24"/>
        </w:rPr>
        <w:t>定期定额投资计划是基金申购业务的一种方式，投资人可通过向相关销售机构提交申请，约定每期申购日、扣款金额及扣款方式，由指定的销售机构在投资人指定资金账户内自动扣款并于每期约定的申购日提交基金的申购申请。定期定额投资计划并不构成对基金日常申购、赎回等业务的影响，投资人在办理相关基金定期定额投资计划的同时，仍然可以进行日常申购、赎回业务。本基金</w:t>
      </w:r>
      <w:r>
        <w:rPr>
          <w:sz w:val="24"/>
        </w:rPr>
        <w:t>201</w:t>
      </w:r>
      <w:r>
        <w:rPr>
          <w:rFonts w:hint="eastAsia"/>
          <w:sz w:val="24"/>
        </w:rPr>
        <w:t>3</w:t>
      </w:r>
      <w:r>
        <w:rPr>
          <w:sz w:val="24"/>
        </w:rPr>
        <w:t>年</w:t>
      </w:r>
      <w:r>
        <w:rPr>
          <w:rFonts w:hint="eastAsia"/>
          <w:sz w:val="24"/>
        </w:rPr>
        <w:t>11</w:t>
      </w:r>
      <w:r>
        <w:rPr>
          <w:sz w:val="24"/>
        </w:rPr>
        <w:t>月</w:t>
      </w:r>
      <w:r>
        <w:rPr>
          <w:rFonts w:hint="eastAsia"/>
          <w:sz w:val="24"/>
        </w:rPr>
        <w:t>28</w:t>
      </w:r>
      <w:r>
        <w:rPr>
          <w:sz w:val="24"/>
        </w:rPr>
        <w:t>日</w:t>
      </w:r>
      <w:r>
        <w:rPr>
          <w:rFonts w:hint="eastAsia"/>
          <w:bCs/>
          <w:sz w:val="24"/>
        </w:rPr>
        <w:t>刊登公告自</w:t>
      </w:r>
      <w:r>
        <w:rPr>
          <w:sz w:val="24"/>
        </w:rPr>
        <w:t>201</w:t>
      </w:r>
      <w:r>
        <w:rPr>
          <w:rFonts w:hint="eastAsia"/>
          <w:sz w:val="24"/>
        </w:rPr>
        <w:t>3</w:t>
      </w:r>
      <w:r>
        <w:rPr>
          <w:sz w:val="24"/>
        </w:rPr>
        <w:t>年</w:t>
      </w:r>
      <w:r>
        <w:rPr>
          <w:rFonts w:hint="eastAsia"/>
          <w:sz w:val="24"/>
        </w:rPr>
        <w:t>12</w:t>
      </w:r>
      <w:r>
        <w:rPr>
          <w:sz w:val="24"/>
        </w:rPr>
        <w:t>月</w:t>
      </w:r>
      <w:r>
        <w:rPr>
          <w:rFonts w:hint="eastAsia"/>
          <w:sz w:val="24"/>
        </w:rPr>
        <w:t>3</w:t>
      </w:r>
      <w:r>
        <w:rPr>
          <w:sz w:val="24"/>
        </w:rPr>
        <w:t>日</w:t>
      </w:r>
      <w:r>
        <w:rPr>
          <w:rFonts w:hint="eastAsia"/>
          <w:bCs/>
          <w:sz w:val="24"/>
        </w:rPr>
        <w:t>起开通定期定额投资计划业务，具体开通销售机构名单和业务规则参见相关公告。</w:t>
      </w:r>
    </w:p>
    <w:p w:rsidR="00783788" w:rsidRDefault="002C6E18">
      <w:pPr>
        <w:widowControl/>
        <w:adjustRightInd w:val="0"/>
        <w:snapToGrid w:val="0"/>
        <w:spacing w:line="360" w:lineRule="auto"/>
        <w:ind w:firstLineChars="200" w:firstLine="482"/>
        <w:rPr>
          <w:b/>
          <w:kern w:val="0"/>
          <w:sz w:val="24"/>
          <w:szCs w:val="24"/>
        </w:rPr>
      </w:pPr>
      <w:r>
        <w:rPr>
          <w:rFonts w:hAnsi="宋体"/>
          <w:b/>
          <w:kern w:val="0"/>
          <w:sz w:val="24"/>
          <w:szCs w:val="24"/>
        </w:rPr>
        <w:t>（十</w:t>
      </w:r>
      <w:r>
        <w:rPr>
          <w:rFonts w:hAnsi="宋体" w:hint="eastAsia"/>
          <w:b/>
          <w:kern w:val="0"/>
          <w:sz w:val="24"/>
          <w:szCs w:val="24"/>
        </w:rPr>
        <w:t>五</w:t>
      </w:r>
      <w:r>
        <w:rPr>
          <w:rFonts w:hAnsi="宋体"/>
          <w:b/>
          <w:kern w:val="0"/>
          <w:sz w:val="24"/>
          <w:szCs w:val="24"/>
        </w:rPr>
        <w:t>）定期定额</w:t>
      </w:r>
      <w:r>
        <w:rPr>
          <w:rFonts w:hAnsi="宋体" w:hint="eastAsia"/>
          <w:b/>
          <w:kern w:val="0"/>
          <w:sz w:val="24"/>
          <w:szCs w:val="24"/>
        </w:rPr>
        <w:t>赎回业务</w:t>
      </w:r>
    </w:p>
    <w:p w:rsidR="00783788" w:rsidRDefault="002C6E18">
      <w:pPr>
        <w:spacing w:line="360" w:lineRule="auto"/>
        <w:ind w:firstLineChars="200" w:firstLine="480"/>
        <w:rPr>
          <w:bCs/>
          <w:sz w:val="24"/>
        </w:rPr>
      </w:pPr>
      <w:r>
        <w:rPr>
          <w:rFonts w:hint="eastAsia"/>
          <w:bCs/>
          <w:sz w:val="24"/>
        </w:rPr>
        <w:t>投资人可通过中国农业银行股份有限公司申请办理本基金的定期定额赎回业务。定期定额赎回业务是指投资人可以委托中国农业银行股份有限公司每月固定时间从指定的基金账户代投资人赎回固定份额的基金。本基金</w:t>
      </w:r>
      <w:r>
        <w:rPr>
          <w:sz w:val="24"/>
        </w:rPr>
        <w:t>201</w:t>
      </w:r>
      <w:r>
        <w:rPr>
          <w:rFonts w:hint="eastAsia"/>
          <w:sz w:val="24"/>
        </w:rPr>
        <w:t>3</w:t>
      </w:r>
      <w:r>
        <w:rPr>
          <w:sz w:val="24"/>
        </w:rPr>
        <w:t>年</w:t>
      </w:r>
      <w:r>
        <w:rPr>
          <w:rFonts w:hint="eastAsia"/>
          <w:sz w:val="24"/>
        </w:rPr>
        <w:t>11</w:t>
      </w:r>
      <w:r>
        <w:rPr>
          <w:sz w:val="24"/>
        </w:rPr>
        <w:t>月</w:t>
      </w:r>
      <w:r>
        <w:rPr>
          <w:rFonts w:hint="eastAsia"/>
          <w:sz w:val="24"/>
        </w:rPr>
        <w:t>28</w:t>
      </w:r>
      <w:r>
        <w:rPr>
          <w:sz w:val="24"/>
        </w:rPr>
        <w:t>日</w:t>
      </w:r>
      <w:r>
        <w:rPr>
          <w:rFonts w:hint="eastAsia"/>
          <w:bCs/>
          <w:sz w:val="24"/>
        </w:rPr>
        <w:t>刊登公告自</w:t>
      </w:r>
      <w:r>
        <w:rPr>
          <w:sz w:val="24"/>
        </w:rPr>
        <w:t>201</w:t>
      </w:r>
      <w:r>
        <w:rPr>
          <w:rFonts w:hint="eastAsia"/>
          <w:sz w:val="24"/>
        </w:rPr>
        <w:t>3</w:t>
      </w:r>
      <w:r>
        <w:rPr>
          <w:sz w:val="24"/>
        </w:rPr>
        <w:t>年</w:t>
      </w:r>
      <w:r>
        <w:rPr>
          <w:rFonts w:hint="eastAsia"/>
          <w:sz w:val="24"/>
        </w:rPr>
        <w:t>12</w:t>
      </w:r>
      <w:r>
        <w:rPr>
          <w:sz w:val="24"/>
        </w:rPr>
        <w:t>月</w:t>
      </w:r>
      <w:r>
        <w:rPr>
          <w:rFonts w:hint="eastAsia"/>
          <w:sz w:val="24"/>
        </w:rPr>
        <w:t>3</w:t>
      </w:r>
      <w:r>
        <w:rPr>
          <w:sz w:val="24"/>
        </w:rPr>
        <w:t>日</w:t>
      </w:r>
      <w:r>
        <w:rPr>
          <w:rFonts w:hint="eastAsia"/>
          <w:bCs/>
          <w:sz w:val="24"/>
        </w:rPr>
        <w:t>起在中国农业银行股份有限公司下属各代销网点开通定期定额赎回业务。</w:t>
      </w:r>
    </w:p>
    <w:p w:rsidR="00783788" w:rsidRDefault="002C6E18">
      <w:pPr>
        <w:spacing w:line="360" w:lineRule="auto"/>
        <w:ind w:firstLineChars="200" w:firstLine="480"/>
        <w:rPr>
          <w:bCs/>
          <w:sz w:val="24"/>
        </w:rPr>
      </w:pPr>
      <w:r>
        <w:rPr>
          <w:rFonts w:hint="eastAsia"/>
          <w:bCs/>
          <w:sz w:val="24"/>
        </w:rPr>
        <w:t>投资人通过中国农业银行股份有限公司办理本基金的定期定额赎回业务，相关流程和业务规则遵循中国农业银行股份有限公司的有关规定。详情请咨询当地中国农业银行股份有限公司的代销网点或中国农业银行股份有限公司客户服务热线（</w:t>
      </w:r>
      <w:r>
        <w:rPr>
          <w:rFonts w:hint="eastAsia"/>
          <w:bCs/>
          <w:sz w:val="24"/>
        </w:rPr>
        <w:t>95599</w:t>
      </w:r>
      <w:r>
        <w:rPr>
          <w:rFonts w:hint="eastAsia"/>
          <w:bCs/>
          <w:sz w:val="24"/>
        </w:rPr>
        <w:t>）。</w:t>
      </w:r>
    </w:p>
    <w:p w:rsidR="00783788" w:rsidRDefault="002C6E18">
      <w:pPr>
        <w:widowControl/>
        <w:adjustRightInd w:val="0"/>
        <w:snapToGrid w:val="0"/>
        <w:spacing w:line="360" w:lineRule="auto"/>
        <w:ind w:firstLineChars="200" w:firstLine="482"/>
        <w:rPr>
          <w:b/>
          <w:kern w:val="0"/>
          <w:sz w:val="24"/>
          <w:szCs w:val="24"/>
        </w:rPr>
      </w:pPr>
      <w:r>
        <w:rPr>
          <w:rFonts w:hAnsi="宋体"/>
          <w:b/>
          <w:kern w:val="0"/>
          <w:sz w:val="24"/>
          <w:szCs w:val="24"/>
        </w:rPr>
        <w:t>（十六）</w:t>
      </w:r>
      <w:r>
        <w:rPr>
          <w:rFonts w:hAnsi="宋体"/>
          <w:b/>
          <w:sz w:val="24"/>
          <w:szCs w:val="24"/>
        </w:rPr>
        <w:t>基金份额的冻结和解冻</w:t>
      </w:r>
      <w:bookmarkEnd w:id="50"/>
    </w:p>
    <w:p w:rsidR="00783788" w:rsidRDefault="002C6E18">
      <w:pPr>
        <w:adjustRightInd w:val="0"/>
        <w:snapToGrid w:val="0"/>
        <w:spacing w:line="360" w:lineRule="auto"/>
        <w:ind w:firstLineChars="200" w:firstLine="480"/>
        <w:rPr>
          <w:rFonts w:hAnsi="宋体"/>
          <w:bCs/>
          <w:sz w:val="24"/>
          <w:szCs w:val="24"/>
        </w:rPr>
      </w:pPr>
      <w:r>
        <w:rPr>
          <w:rFonts w:hAnsi="宋体"/>
          <w:bCs/>
          <w:sz w:val="24"/>
          <w:szCs w:val="24"/>
        </w:rPr>
        <w:t>登记机构只受理国家有权机关依法要求的基金份额的冻结与解冻，以及登记机构认可、符合法律法规的其他情况下的冻结与解冻。</w:t>
      </w:r>
    </w:p>
    <w:p w:rsidR="00783788" w:rsidRDefault="002C6E18">
      <w:pPr>
        <w:adjustRightInd w:val="0"/>
        <w:snapToGrid w:val="0"/>
        <w:spacing w:line="360" w:lineRule="auto"/>
        <w:ind w:firstLineChars="200" w:firstLine="482"/>
        <w:rPr>
          <w:rFonts w:hAnsi="宋体"/>
          <w:b/>
          <w:bCs/>
          <w:sz w:val="24"/>
        </w:rPr>
      </w:pPr>
      <w:r>
        <w:rPr>
          <w:rFonts w:hAnsi="宋体" w:hint="eastAsia"/>
          <w:b/>
          <w:bCs/>
          <w:sz w:val="24"/>
        </w:rPr>
        <w:t>（十七）基金份额的折算</w:t>
      </w:r>
    </w:p>
    <w:p w:rsidR="00783788" w:rsidRDefault="002C6E18">
      <w:pPr>
        <w:adjustRightInd w:val="0"/>
        <w:snapToGrid w:val="0"/>
        <w:spacing w:line="360" w:lineRule="auto"/>
        <w:ind w:firstLineChars="200" w:firstLine="480"/>
        <w:rPr>
          <w:bCs/>
          <w:sz w:val="24"/>
        </w:rPr>
      </w:pPr>
      <w:r>
        <w:rPr>
          <w:rFonts w:hint="eastAsia"/>
          <w:bCs/>
          <w:sz w:val="24"/>
        </w:rPr>
        <w:t>基金合同生效后，本基金可以进行份额折算。</w:t>
      </w:r>
    </w:p>
    <w:p w:rsidR="00783788" w:rsidRDefault="002C6E18">
      <w:pPr>
        <w:adjustRightInd w:val="0"/>
        <w:snapToGrid w:val="0"/>
        <w:spacing w:line="360" w:lineRule="auto"/>
        <w:ind w:firstLineChars="200" w:firstLine="480"/>
        <w:rPr>
          <w:bCs/>
          <w:sz w:val="24"/>
        </w:rPr>
      </w:pPr>
      <w:r>
        <w:rPr>
          <w:rFonts w:hint="eastAsia"/>
          <w:bCs/>
          <w:sz w:val="24"/>
        </w:rPr>
        <w:t>1</w:t>
      </w:r>
      <w:r>
        <w:rPr>
          <w:rFonts w:hint="eastAsia"/>
          <w:bCs/>
          <w:sz w:val="24"/>
        </w:rPr>
        <w:t>、基金份额折算的时间</w:t>
      </w:r>
    </w:p>
    <w:p w:rsidR="00783788" w:rsidRDefault="002C6E18">
      <w:pPr>
        <w:adjustRightInd w:val="0"/>
        <w:snapToGrid w:val="0"/>
        <w:spacing w:line="360" w:lineRule="auto"/>
        <w:ind w:firstLineChars="200" w:firstLine="480"/>
        <w:rPr>
          <w:bCs/>
          <w:sz w:val="24"/>
        </w:rPr>
      </w:pPr>
      <w:r>
        <w:rPr>
          <w:rFonts w:hint="eastAsia"/>
          <w:bCs/>
          <w:sz w:val="24"/>
        </w:rPr>
        <w:t>基金管理人应事先确定基金份额折算日，并依照《信息披露办法》的有关规定提前公告。</w:t>
      </w:r>
    </w:p>
    <w:p w:rsidR="00783788" w:rsidRDefault="002C6E18">
      <w:pPr>
        <w:adjustRightInd w:val="0"/>
        <w:snapToGrid w:val="0"/>
        <w:spacing w:line="360" w:lineRule="auto"/>
        <w:ind w:firstLineChars="200" w:firstLine="480"/>
        <w:rPr>
          <w:bCs/>
          <w:sz w:val="24"/>
        </w:rPr>
      </w:pPr>
      <w:r>
        <w:rPr>
          <w:rFonts w:hint="eastAsia"/>
          <w:bCs/>
          <w:sz w:val="24"/>
        </w:rPr>
        <w:t>2</w:t>
      </w:r>
      <w:r>
        <w:rPr>
          <w:rFonts w:hint="eastAsia"/>
          <w:bCs/>
          <w:sz w:val="24"/>
        </w:rPr>
        <w:t>、基金份额折算的原则</w:t>
      </w:r>
    </w:p>
    <w:p w:rsidR="00783788" w:rsidRDefault="002C6E18">
      <w:pPr>
        <w:adjustRightInd w:val="0"/>
        <w:snapToGrid w:val="0"/>
        <w:spacing w:line="360" w:lineRule="auto"/>
        <w:ind w:firstLineChars="200" w:firstLine="480"/>
        <w:rPr>
          <w:bCs/>
          <w:sz w:val="24"/>
        </w:rPr>
      </w:pPr>
      <w:r>
        <w:rPr>
          <w:rFonts w:hint="eastAsia"/>
          <w:bCs/>
          <w:sz w:val="24"/>
        </w:rPr>
        <w:t>基金份额折算由基金管理人向登记机构申请办理，并由登记机构进行基金份额的变更登记。</w:t>
      </w:r>
    </w:p>
    <w:p w:rsidR="00783788" w:rsidRDefault="002C6E18">
      <w:pPr>
        <w:adjustRightInd w:val="0"/>
        <w:snapToGrid w:val="0"/>
        <w:spacing w:line="360" w:lineRule="auto"/>
        <w:ind w:firstLineChars="200" w:firstLine="480"/>
        <w:rPr>
          <w:bCs/>
          <w:sz w:val="24"/>
        </w:rPr>
      </w:pPr>
      <w:r>
        <w:rPr>
          <w:rFonts w:hint="eastAsia"/>
          <w:bCs/>
          <w:sz w:val="24"/>
        </w:rPr>
        <w:t>基金份额折算后，本基金的基金份额总额与基金份额持有人持有的基金份额数额将发生调整，但调整后的基金份额持有人持有的基金份额占基金份额总额的比例不发生变化。基金份额折算对基金份额持有人的权益无实质性影响。基金份额折算后，基金份额持有人将按照折算后的基金份额享有权利并承担义务。如果基金份额折算过程中发生不可抗力，基金管理人可延迟办理基金份额折算。</w:t>
      </w:r>
    </w:p>
    <w:p w:rsidR="00783788" w:rsidRDefault="002C6E18">
      <w:pPr>
        <w:adjustRightInd w:val="0"/>
        <w:snapToGrid w:val="0"/>
        <w:spacing w:line="360" w:lineRule="auto"/>
        <w:ind w:firstLineChars="200" w:firstLine="480"/>
        <w:rPr>
          <w:bCs/>
          <w:sz w:val="24"/>
        </w:rPr>
      </w:pPr>
      <w:r>
        <w:rPr>
          <w:rFonts w:hint="eastAsia"/>
          <w:bCs/>
          <w:sz w:val="24"/>
        </w:rPr>
        <w:t>3</w:t>
      </w:r>
      <w:r>
        <w:rPr>
          <w:rFonts w:hint="eastAsia"/>
          <w:bCs/>
          <w:sz w:val="24"/>
        </w:rPr>
        <w:t>、基金份额折算的方法</w:t>
      </w:r>
    </w:p>
    <w:p w:rsidR="00783788" w:rsidRDefault="002C6E18">
      <w:pPr>
        <w:adjustRightInd w:val="0"/>
        <w:snapToGrid w:val="0"/>
        <w:spacing w:line="360" w:lineRule="auto"/>
        <w:ind w:firstLineChars="200" w:firstLine="480"/>
        <w:rPr>
          <w:bCs/>
          <w:sz w:val="24"/>
          <w:szCs w:val="24"/>
        </w:rPr>
      </w:pPr>
      <w:r>
        <w:rPr>
          <w:rFonts w:hint="eastAsia"/>
          <w:bCs/>
          <w:sz w:val="24"/>
        </w:rPr>
        <w:t>基金份额折算的具体方法在基金份额折算公告中列示。</w:t>
      </w:r>
    </w:p>
    <w:p w:rsidR="00783788" w:rsidRDefault="00783788">
      <w:pPr>
        <w:adjustRightInd w:val="0"/>
        <w:snapToGrid w:val="0"/>
        <w:spacing w:line="360" w:lineRule="auto"/>
        <w:ind w:firstLineChars="200" w:firstLine="480"/>
        <w:rPr>
          <w:sz w:val="24"/>
          <w:szCs w:val="24"/>
        </w:rPr>
      </w:pPr>
    </w:p>
    <w:p w:rsidR="00783788" w:rsidRDefault="002C6E18">
      <w:pPr>
        <w:widowControl/>
        <w:adjustRightInd w:val="0"/>
        <w:snapToGrid w:val="0"/>
        <w:spacing w:beforeLines="100" w:before="240" w:afterLines="50" w:after="120" w:line="360" w:lineRule="auto"/>
        <w:jc w:val="center"/>
        <w:outlineLvl w:val="0"/>
        <w:rPr>
          <w:rFonts w:ascii="宋体" w:hAnsi="宋体"/>
          <w:b/>
          <w:kern w:val="0"/>
          <w:sz w:val="30"/>
        </w:rPr>
      </w:pPr>
      <w:bookmarkStart w:id="51" w:name="_Toc349807198"/>
      <w:bookmarkStart w:id="52" w:name="_Toc381197146"/>
      <w:bookmarkStart w:id="53" w:name="_Toc382321320"/>
      <w:r>
        <w:rPr>
          <w:rFonts w:ascii="宋体" w:hAnsi="宋体"/>
          <w:b/>
          <w:kern w:val="0"/>
          <w:sz w:val="30"/>
        </w:rPr>
        <w:t>九、基金的转换</w:t>
      </w:r>
      <w:bookmarkEnd w:id="51"/>
      <w:bookmarkEnd w:id="52"/>
      <w:bookmarkEnd w:id="53"/>
    </w:p>
    <w:p w:rsidR="00783788" w:rsidRDefault="002C6E18">
      <w:pPr>
        <w:widowControl/>
        <w:tabs>
          <w:tab w:val="left" w:pos="4949"/>
        </w:tabs>
        <w:spacing w:line="360" w:lineRule="auto"/>
        <w:ind w:firstLineChars="200" w:firstLine="482"/>
        <w:outlineLvl w:val="1"/>
        <w:rPr>
          <w:b/>
          <w:kern w:val="0"/>
          <w:sz w:val="24"/>
        </w:rPr>
      </w:pPr>
      <w:r>
        <w:rPr>
          <w:rFonts w:hint="eastAsia"/>
          <w:b/>
          <w:kern w:val="0"/>
          <w:sz w:val="24"/>
        </w:rPr>
        <w:t>（一）基金转换</w:t>
      </w:r>
    </w:p>
    <w:p w:rsidR="00783788" w:rsidRDefault="002C6E18">
      <w:pPr>
        <w:spacing w:line="360" w:lineRule="auto"/>
        <w:ind w:firstLineChars="200" w:firstLine="480"/>
        <w:rPr>
          <w:bCs/>
          <w:sz w:val="24"/>
        </w:rPr>
      </w:pPr>
      <w:r>
        <w:rPr>
          <w:rFonts w:hint="eastAsia"/>
          <w:bCs/>
          <w:sz w:val="24"/>
        </w:rPr>
        <w:t>基金转换是指开放式基金份额持有人将其持有某只基金的部分或全部份额转换为同一基金管理人管理的另一只开放式基金份额。基金转换只能在同一销售机构进行。</w:t>
      </w:r>
    </w:p>
    <w:p w:rsidR="00783788" w:rsidRDefault="002C6E18">
      <w:pPr>
        <w:widowControl/>
        <w:tabs>
          <w:tab w:val="left" w:pos="4949"/>
        </w:tabs>
        <w:spacing w:line="360" w:lineRule="auto"/>
        <w:ind w:firstLineChars="200" w:firstLine="482"/>
        <w:outlineLvl w:val="1"/>
        <w:rPr>
          <w:b/>
          <w:kern w:val="0"/>
          <w:sz w:val="24"/>
        </w:rPr>
      </w:pPr>
      <w:r>
        <w:rPr>
          <w:rFonts w:hint="eastAsia"/>
          <w:b/>
          <w:kern w:val="0"/>
          <w:sz w:val="24"/>
        </w:rPr>
        <w:t>（二）转换业务办理时间</w:t>
      </w:r>
    </w:p>
    <w:p w:rsidR="00783788" w:rsidRDefault="002C6E18">
      <w:pPr>
        <w:spacing w:line="360" w:lineRule="auto"/>
        <w:ind w:firstLineChars="200" w:firstLine="480"/>
        <w:rPr>
          <w:bCs/>
          <w:sz w:val="24"/>
        </w:rPr>
      </w:pPr>
      <w:r>
        <w:rPr>
          <w:rFonts w:hint="eastAsia"/>
          <w:bCs/>
          <w:sz w:val="24"/>
        </w:rPr>
        <w:t>本基金</w:t>
      </w:r>
      <w:r>
        <w:rPr>
          <w:sz w:val="24"/>
        </w:rPr>
        <w:t>201</w:t>
      </w:r>
      <w:r>
        <w:rPr>
          <w:rFonts w:hint="eastAsia"/>
          <w:sz w:val="24"/>
        </w:rPr>
        <w:t>3</w:t>
      </w:r>
      <w:r>
        <w:rPr>
          <w:sz w:val="24"/>
        </w:rPr>
        <w:t>年</w:t>
      </w:r>
      <w:r>
        <w:rPr>
          <w:rFonts w:hint="eastAsia"/>
          <w:sz w:val="24"/>
        </w:rPr>
        <w:t>11</w:t>
      </w:r>
      <w:r>
        <w:rPr>
          <w:sz w:val="24"/>
        </w:rPr>
        <w:t>月</w:t>
      </w:r>
      <w:r>
        <w:rPr>
          <w:rFonts w:hint="eastAsia"/>
          <w:sz w:val="24"/>
        </w:rPr>
        <w:t>28</w:t>
      </w:r>
      <w:r>
        <w:rPr>
          <w:sz w:val="24"/>
        </w:rPr>
        <w:t>日</w:t>
      </w:r>
      <w:r>
        <w:rPr>
          <w:rFonts w:hint="eastAsia"/>
          <w:bCs/>
          <w:sz w:val="24"/>
        </w:rPr>
        <w:t>刊登公告自</w:t>
      </w:r>
      <w:r>
        <w:rPr>
          <w:sz w:val="24"/>
        </w:rPr>
        <w:t>201</w:t>
      </w:r>
      <w:r>
        <w:rPr>
          <w:rFonts w:hint="eastAsia"/>
          <w:sz w:val="24"/>
        </w:rPr>
        <w:t>3</w:t>
      </w:r>
      <w:r>
        <w:rPr>
          <w:sz w:val="24"/>
        </w:rPr>
        <w:t>年</w:t>
      </w:r>
      <w:r>
        <w:rPr>
          <w:rFonts w:hint="eastAsia"/>
          <w:sz w:val="24"/>
        </w:rPr>
        <w:t>12</w:t>
      </w:r>
      <w:r>
        <w:rPr>
          <w:sz w:val="24"/>
        </w:rPr>
        <w:t>月</w:t>
      </w:r>
      <w:r>
        <w:rPr>
          <w:rFonts w:hint="eastAsia"/>
          <w:sz w:val="24"/>
        </w:rPr>
        <w:t>3</w:t>
      </w:r>
      <w:r>
        <w:rPr>
          <w:sz w:val="24"/>
        </w:rPr>
        <w:t>日</w:t>
      </w:r>
      <w:r>
        <w:rPr>
          <w:rFonts w:hint="eastAsia"/>
          <w:bCs/>
          <w:sz w:val="24"/>
        </w:rPr>
        <w:t>起开放日常转换业务。</w:t>
      </w:r>
    </w:p>
    <w:p w:rsidR="00783788" w:rsidRDefault="002C6E18">
      <w:pPr>
        <w:spacing w:line="360" w:lineRule="auto"/>
        <w:ind w:firstLineChars="200" w:firstLine="480"/>
        <w:rPr>
          <w:bCs/>
          <w:sz w:val="24"/>
        </w:rPr>
      </w:pPr>
      <w:r>
        <w:rPr>
          <w:rFonts w:hint="eastAsia"/>
          <w:bCs/>
          <w:sz w:val="24"/>
        </w:rPr>
        <w:t>办理基金间转换的时间为上海证券交易所、深圳证券交易所交易日。若出现新的证券交易市场或交易所交易时间更改或其它原因，基金管理人将视情况进行相应的调整并公告。</w:t>
      </w:r>
    </w:p>
    <w:p w:rsidR="00783788" w:rsidRDefault="002C6E18">
      <w:pPr>
        <w:spacing w:line="360" w:lineRule="auto"/>
        <w:ind w:firstLineChars="200" w:firstLine="480"/>
        <w:rPr>
          <w:bCs/>
          <w:sz w:val="24"/>
        </w:rPr>
      </w:pPr>
      <w:r>
        <w:rPr>
          <w:rFonts w:hint="eastAsia"/>
          <w:bCs/>
          <w:sz w:val="24"/>
        </w:rPr>
        <w:t>投资人可在基金开放日申请办理基金转换业务，具体办理时间与基金申购、赎回业务办理时间相同。由于各销售机构的系统差异以及业务安排等原因，开展该业务的时间可能有所不同，投资人应以各销售机构公告的时间为准。</w:t>
      </w:r>
    </w:p>
    <w:p w:rsidR="00783788" w:rsidRDefault="002C6E18">
      <w:pPr>
        <w:spacing w:line="360" w:lineRule="auto"/>
        <w:ind w:firstLineChars="200" w:firstLine="480"/>
        <w:rPr>
          <w:bCs/>
          <w:sz w:val="24"/>
        </w:rPr>
      </w:pPr>
      <w:r>
        <w:rPr>
          <w:rFonts w:hint="eastAsia"/>
          <w:bCs/>
          <w:sz w:val="24"/>
        </w:rPr>
        <w:t>本基金转换业务具体开通销售机构名单、可转换旗下基金范围参见相关公告。</w:t>
      </w:r>
    </w:p>
    <w:p w:rsidR="00783788" w:rsidRDefault="002C6E18">
      <w:pPr>
        <w:widowControl/>
        <w:tabs>
          <w:tab w:val="left" w:pos="4949"/>
        </w:tabs>
        <w:spacing w:line="360" w:lineRule="auto"/>
        <w:ind w:firstLineChars="200" w:firstLine="482"/>
        <w:outlineLvl w:val="1"/>
        <w:rPr>
          <w:b/>
          <w:kern w:val="0"/>
          <w:sz w:val="24"/>
        </w:rPr>
      </w:pPr>
      <w:r>
        <w:rPr>
          <w:rFonts w:hint="eastAsia"/>
          <w:b/>
          <w:kern w:val="0"/>
          <w:sz w:val="24"/>
        </w:rPr>
        <w:t>（三）基金转换的程序</w:t>
      </w:r>
    </w:p>
    <w:p w:rsidR="00783788" w:rsidRDefault="002C6E18">
      <w:pPr>
        <w:spacing w:line="360" w:lineRule="auto"/>
        <w:ind w:firstLineChars="200" w:firstLine="480"/>
        <w:rPr>
          <w:bCs/>
          <w:sz w:val="24"/>
        </w:rPr>
      </w:pPr>
      <w:r>
        <w:rPr>
          <w:rFonts w:hint="eastAsia"/>
          <w:bCs/>
          <w:sz w:val="24"/>
        </w:rPr>
        <w:t>1</w:t>
      </w:r>
      <w:r>
        <w:rPr>
          <w:rFonts w:hint="eastAsia"/>
          <w:bCs/>
          <w:sz w:val="24"/>
        </w:rPr>
        <w:t>、申请方式：书面申请或销售机构公布的其他方式。</w:t>
      </w:r>
      <w:r>
        <w:rPr>
          <w:rFonts w:hint="eastAsia"/>
          <w:bCs/>
          <w:sz w:val="24"/>
        </w:rPr>
        <w:t xml:space="preserve"> </w:t>
      </w:r>
    </w:p>
    <w:p w:rsidR="00783788" w:rsidRDefault="002C6E18">
      <w:pPr>
        <w:spacing w:line="360" w:lineRule="auto"/>
        <w:ind w:firstLineChars="200" w:firstLine="480"/>
        <w:rPr>
          <w:bCs/>
          <w:sz w:val="24"/>
        </w:rPr>
      </w:pPr>
      <w:r>
        <w:rPr>
          <w:rFonts w:hint="eastAsia"/>
          <w:bCs/>
          <w:sz w:val="24"/>
        </w:rPr>
        <w:t>2</w:t>
      </w:r>
      <w:r>
        <w:rPr>
          <w:rFonts w:hint="eastAsia"/>
          <w:bCs/>
          <w:sz w:val="24"/>
        </w:rPr>
        <w:t>、基金转换申请的确认</w:t>
      </w:r>
    </w:p>
    <w:p w:rsidR="00783788" w:rsidRDefault="002C6E18">
      <w:pPr>
        <w:spacing w:line="360" w:lineRule="auto"/>
        <w:ind w:firstLineChars="200" w:firstLine="480"/>
        <w:rPr>
          <w:bCs/>
          <w:sz w:val="24"/>
        </w:rPr>
      </w:pPr>
      <w:r>
        <w:rPr>
          <w:rFonts w:hint="eastAsia"/>
          <w:bCs/>
          <w:sz w:val="24"/>
        </w:rPr>
        <w:t>正常情况下，</w:t>
      </w:r>
      <w:r>
        <w:rPr>
          <w:rFonts w:hint="eastAsia"/>
          <w:bCs/>
          <w:sz w:val="24"/>
        </w:rPr>
        <w:t>T</w:t>
      </w:r>
      <w:r>
        <w:rPr>
          <w:rFonts w:hint="eastAsia"/>
          <w:bCs/>
          <w:sz w:val="24"/>
        </w:rPr>
        <w:t>日规定时间受理的申请，注册登记机构在</w:t>
      </w:r>
      <w:r>
        <w:rPr>
          <w:rFonts w:hint="eastAsia"/>
          <w:bCs/>
          <w:sz w:val="24"/>
        </w:rPr>
        <w:t>T</w:t>
      </w:r>
      <w:r>
        <w:rPr>
          <w:rFonts w:hint="eastAsia"/>
          <w:bCs/>
          <w:sz w:val="24"/>
        </w:rPr>
        <w:t>＋</w:t>
      </w:r>
      <w:r>
        <w:rPr>
          <w:rFonts w:hint="eastAsia"/>
          <w:bCs/>
          <w:sz w:val="24"/>
        </w:rPr>
        <w:t>1</w:t>
      </w:r>
      <w:r>
        <w:rPr>
          <w:rFonts w:hint="eastAsia"/>
          <w:bCs/>
          <w:sz w:val="24"/>
        </w:rPr>
        <w:t>日内为投资人对该交易的有效性进行确认，在</w:t>
      </w:r>
      <w:r>
        <w:rPr>
          <w:rFonts w:hint="eastAsia"/>
          <w:bCs/>
          <w:sz w:val="24"/>
        </w:rPr>
        <w:t>T</w:t>
      </w:r>
      <w:r>
        <w:rPr>
          <w:rFonts w:hint="eastAsia"/>
          <w:bCs/>
          <w:sz w:val="24"/>
        </w:rPr>
        <w:t>＋</w:t>
      </w:r>
      <w:r>
        <w:rPr>
          <w:rFonts w:hint="eastAsia"/>
          <w:bCs/>
          <w:sz w:val="24"/>
        </w:rPr>
        <w:t>2</w:t>
      </w:r>
      <w:r>
        <w:rPr>
          <w:rFonts w:hint="eastAsia"/>
          <w:bCs/>
          <w:sz w:val="24"/>
        </w:rPr>
        <w:t>日后</w:t>
      </w:r>
      <w:r>
        <w:rPr>
          <w:rFonts w:hint="eastAsia"/>
          <w:bCs/>
          <w:sz w:val="24"/>
        </w:rPr>
        <w:t>(</w:t>
      </w:r>
      <w:r>
        <w:rPr>
          <w:rFonts w:hint="eastAsia"/>
          <w:bCs/>
          <w:sz w:val="24"/>
        </w:rPr>
        <w:t>包括该日</w:t>
      </w:r>
      <w:r>
        <w:rPr>
          <w:rFonts w:hint="eastAsia"/>
          <w:bCs/>
          <w:sz w:val="24"/>
        </w:rPr>
        <w:t>)</w:t>
      </w:r>
      <w:r>
        <w:rPr>
          <w:rFonts w:hint="eastAsia"/>
          <w:bCs/>
          <w:sz w:val="24"/>
        </w:rPr>
        <w:t>投资人可向销售机构查询转换的确认情况。</w:t>
      </w:r>
    </w:p>
    <w:p w:rsidR="00783788" w:rsidRDefault="002C6E18">
      <w:pPr>
        <w:spacing w:line="360" w:lineRule="auto"/>
        <w:ind w:firstLineChars="200" w:firstLine="480"/>
        <w:rPr>
          <w:bCs/>
          <w:sz w:val="24"/>
        </w:rPr>
      </w:pPr>
      <w:r>
        <w:rPr>
          <w:rFonts w:hint="eastAsia"/>
          <w:bCs/>
          <w:sz w:val="24"/>
        </w:rPr>
        <w:t>3</w:t>
      </w:r>
      <w:r>
        <w:rPr>
          <w:rFonts w:hint="eastAsia"/>
          <w:bCs/>
          <w:sz w:val="24"/>
        </w:rPr>
        <w:t>、基金转换的注册登记</w:t>
      </w:r>
    </w:p>
    <w:p w:rsidR="00783788" w:rsidRDefault="002C6E18">
      <w:pPr>
        <w:spacing w:line="360" w:lineRule="auto"/>
        <w:ind w:firstLineChars="200" w:firstLine="480"/>
        <w:rPr>
          <w:bCs/>
          <w:sz w:val="24"/>
        </w:rPr>
      </w:pPr>
      <w:r>
        <w:rPr>
          <w:rFonts w:hint="eastAsia"/>
          <w:bCs/>
          <w:sz w:val="24"/>
        </w:rPr>
        <w:t>注册登记机构以收到有效转换申请的当天作为转换申请日（</w:t>
      </w:r>
      <w:r>
        <w:rPr>
          <w:rFonts w:hint="eastAsia"/>
          <w:bCs/>
          <w:sz w:val="24"/>
        </w:rPr>
        <w:t>T</w:t>
      </w:r>
      <w:r>
        <w:rPr>
          <w:rFonts w:hint="eastAsia"/>
          <w:bCs/>
          <w:sz w:val="24"/>
        </w:rPr>
        <w:t>日）。投资人转换基金成功的，注册登记机构将在</w:t>
      </w:r>
      <w:r>
        <w:rPr>
          <w:rFonts w:hint="eastAsia"/>
          <w:bCs/>
          <w:sz w:val="24"/>
        </w:rPr>
        <w:t>T</w:t>
      </w:r>
      <w:r>
        <w:rPr>
          <w:rFonts w:hint="eastAsia"/>
          <w:bCs/>
          <w:sz w:val="24"/>
        </w:rPr>
        <w:t>＋</w:t>
      </w:r>
      <w:r>
        <w:rPr>
          <w:rFonts w:hint="eastAsia"/>
          <w:bCs/>
          <w:sz w:val="24"/>
        </w:rPr>
        <w:t>1</w:t>
      </w:r>
      <w:r>
        <w:rPr>
          <w:rFonts w:hint="eastAsia"/>
          <w:bCs/>
          <w:sz w:val="24"/>
        </w:rPr>
        <w:t>日对投资人</w:t>
      </w:r>
      <w:r>
        <w:rPr>
          <w:rFonts w:hint="eastAsia"/>
          <w:bCs/>
          <w:sz w:val="24"/>
        </w:rPr>
        <w:t>T</w:t>
      </w:r>
      <w:r>
        <w:rPr>
          <w:rFonts w:hint="eastAsia"/>
          <w:bCs/>
          <w:sz w:val="24"/>
        </w:rPr>
        <w:t>日的基金转换业务申请进行有效性确认，办理转出基金的权益扣除以及转入基金的权益登记，在</w:t>
      </w:r>
      <w:r>
        <w:rPr>
          <w:rFonts w:hint="eastAsia"/>
          <w:bCs/>
          <w:sz w:val="24"/>
        </w:rPr>
        <w:t>T</w:t>
      </w:r>
      <w:r>
        <w:rPr>
          <w:rFonts w:hint="eastAsia"/>
          <w:bCs/>
          <w:sz w:val="24"/>
        </w:rPr>
        <w:t>＋</w:t>
      </w:r>
      <w:r>
        <w:rPr>
          <w:rFonts w:hint="eastAsia"/>
          <w:bCs/>
          <w:sz w:val="24"/>
        </w:rPr>
        <w:t>2</w:t>
      </w:r>
      <w:r>
        <w:rPr>
          <w:rFonts w:hint="eastAsia"/>
          <w:bCs/>
          <w:sz w:val="24"/>
        </w:rPr>
        <w:t>日后（包括该日）投资人可向销售机构查询基金转换的成交情况，并有权转换或赎回该部分基金份额。</w:t>
      </w:r>
    </w:p>
    <w:p w:rsidR="00783788" w:rsidRDefault="002C6E18">
      <w:pPr>
        <w:widowControl/>
        <w:tabs>
          <w:tab w:val="left" w:pos="4949"/>
        </w:tabs>
        <w:spacing w:line="360" w:lineRule="auto"/>
        <w:ind w:firstLineChars="200" w:firstLine="482"/>
        <w:outlineLvl w:val="1"/>
        <w:rPr>
          <w:b/>
          <w:kern w:val="0"/>
          <w:sz w:val="24"/>
        </w:rPr>
      </w:pPr>
      <w:r>
        <w:rPr>
          <w:rFonts w:hint="eastAsia"/>
          <w:b/>
          <w:kern w:val="0"/>
          <w:sz w:val="24"/>
        </w:rPr>
        <w:t>（四）基金转换的数额限制</w:t>
      </w:r>
    </w:p>
    <w:p w:rsidR="00783788" w:rsidRDefault="002C6E18">
      <w:pPr>
        <w:spacing w:line="360" w:lineRule="auto"/>
        <w:ind w:firstLineChars="200" w:firstLine="480"/>
        <w:rPr>
          <w:bCs/>
          <w:sz w:val="24"/>
        </w:rPr>
      </w:pPr>
      <w:r>
        <w:rPr>
          <w:rFonts w:hint="eastAsia"/>
          <w:bCs/>
          <w:sz w:val="24"/>
        </w:rPr>
        <w:t>基金转换以份额为单位进行申请，申请转换份额精确到小数点后两位，小数点后两位以后的部分四舍五入，误差部分归基金财产。</w:t>
      </w:r>
    </w:p>
    <w:p w:rsidR="00783788" w:rsidRDefault="002C6E18">
      <w:pPr>
        <w:spacing w:line="360" w:lineRule="auto"/>
        <w:ind w:firstLineChars="200" w:firstLine="480"/>
        <w:rPr>
          <w:bCs/>
          <w:sz w:val="24"/>
        </w:rPr>
      </w:pPr>
      <w:r>
        <w:rPr>
          <w:rFonts w:hint="eastAsia"/>
          <w:bCs/>
          <w:sz w:val="24"/>
        </w:rPr>
        <w:t>本基金遵循“份额转换”的原则，单笔转换份额不得低于</w:t>
      </w:r>
      <w:r>
        <w:rPr>
          <w:rFonts w:hint="eastAsia"/>
          <w:bCs/>
          <w:sz w:val="24"/>
        </w:rPr>
        <w:t>100</w:t>
      </w:r>
      <w:r>
        <w:rPr>
          <w:rFonts w:hint="eastAsia"/>
          <w:bCs/>
          <w:sz w:val="24"/>
        </w:rPr>
        <w:t>份。基金持有人可将其全部或部分基金份额转换成其它基金，单笔转换申请不受转入基金最低申购限额限制。</w:t>
      </w:r>
    </w:p>
    <w:p w:rsidR="00783788" w:rsidRDefault="002C6E18">
      <w:pPr>
        <w:spacing w:line="360" w:lineRule="auto"/>
        <w:ind w:firstLine="480"/>
        <w:rPr>
          <w:sz w:val="24"/>
        </w:rPr>
      </w:pPr>
      <w:r>
        <w:rPr>
          <w:rFonts w:ascii="宋体" w:hAnsi="宋体" w:hint="eastAsia"/>
          <w:sz w:val="24"/>
        </w:rPr>
        <w:t>基于各基金关于投资人在单个交易账户最低保留余额的规定，每个工作日投资人在单个交易账户保留的某基金基金份额余额少于该基金的最低保留余额时，若当日该账户同时有该基金的基金份额减少类业务（如赎回、转换出等）被确认，基金管理人有权将投资人在该账户保留的该基金基金份额一次性全部赎回。因此，如果某笔转换申请确认后转出基金的单个交易账户的基金份额余额少于转出基金的最低保留余额，则转出基金在该账户剩余的基金份额将被全部赎回。如果某笔转换申请确认后转入基金的单个交易账户的基金份额余额少于转入基金的最低保留余额且该账户当日有转入基金的基金份额减少类业务被确认，则转入基金在该账户剩余的基金份额（包括该部分转换入确认份额）将随即被强制赎回。</w:t>
      </w:r>
      <w:r>
        <w:rPr>
          <w:rStyle w:val="af3"/>
        </w:rPr>
        <w:t> </w:t>
      </w:r>
    </w:p>
    <w:p w:rsidR="00783788" w:rsidRDefault="002C6E18">
      <w:pPr>
        <w:widowControl/>
        <w:tabs>
          <w:tab w:val="left" w:pos="4949"/>
        </w:tabs>
        <w:spacing w:line="360" w:lineRule="auto"/>
        <w:ind w:firstLineChars="200" w:firstLine="482"/>
        <w:outlineLvl w:val="1"/>
        <w:rPr>
          <w:b/>
          <w:kern w:val="0"/>
          <w:sz w:val="24"/>
        </w:rPr>
      </w:pPr>
      <w:r>
        <w:rPr>
          <w:rFonts w:hint="eastAsia"/>
          <w:b/>
          <w:kern w:val="0"/>
          <w:sz w:val="24"/>
        </w:rPr>
        <w:t>（五）基金转换费用</w:t>
      </w:r>
    </w:p>
    <w:p w:rsidR="00783788" w:rsidRDefault="002C6E18">
      <w:pPr>
        <w:spacing w:line="360" w:lineRule="auto"/>
        <w:ind w:firstLineChars="200" w:firstLine="480"/>
        <w:rPr>
          <w:bCs/>
          <w:sz w:val="24"/>
        </w:rPr>
      </w:pPr>
      <w:r>
        <w:rPr>
          <w:rFonts w:hint="eastAsia"/>
          <w:bCs/>
          <w:sz w:val="24"/>
        </w:rPr>
        <w:t>1</w:t>
      </w:r>
      <w:r>
        <w:rPr>
          <w:rFonts w:hint="eastAsia"/>
          <w:bCs/>
          <w:sz w:val="24"/>
        </w:rPr>
        <w:t>、每笔基金转换视为一笔赎回和一笔申购，基金转换费用相应由转出基金的赎回费用及转出、转入基金的申购补差费用构成。</w:t>
      </w:r>
    </w:p>
    <w:p w:rsidR="00783788" w:rsidRDefault="002C6E18">
      <w:pPr>
        <w:spacing w:line="360" w:lineRule="auto"/>
        <w:ind w:firstLineChars="200" w:firstLine="480"/>
        <w:rPr>
          <w:bCs/>
          <w:sz w:val="24"/>
        </w:rPr>
      </w:pPr>
      <w:r>
        <w:rPr>
          <w:rFonts w:hint="eastAsia"/>
          <w:bCs/>
          <w:sz w:val="24"/>
        </w:rPr>
        <w:t>2</w:t>
      </w:r>
      <w:r>
        <w:rPr>
          <w:rFonts w:hint="eastAsia"/>
          <w:bCs/>
          <w:sz w:val="24"/>
        </w:rPr>
        <w:t>、转出基金的赎回费用</w:t>
      </w:r>
    </w:p>
    <w:p w:rsidR="00783788" w:rsidRDefault="002C6E18">
      <w:pPr>
        <w:spacing w:line="360" w:lineRule="auto"/>
        <w:ind w:firstLineChars="200" w:firstLine="480"/>
        <w:rPr>
          <w:bCs/>
          <w:sz w:val="24"/>
          <w:highlight w:val="green"/>
        </w:rPr>
      </w:pPr>
      <w:r>
        <w:rPr>
          <w:rFonts w:hint="eastAsia"/>
          <w:bCs/>
          <w:sz w:val="24"/>
        </w:rPr>
        <w:t>转出基金的赎回费用按照各基金最新的更新招募说明书及相关公告规定的赎回费率和计费方式收取，赎回费用的</w:t>
      </w:r>
      <w:r>
        <w:rPr>
          <w:rFonts w:hint="eastAsia"/>
          <w:bCs/>
          <w:sz w:val="24"/>
        </w:rPr>
        <w:t>25%</w:t>
      </w:r>
      <w:r>
        <w:rPr>
          <w:rFonts w:hint="eastAsia"/>
          <w:bCs/>
          <w:sz w:val="24"/>
        </w:rPr>
        <w:t>归入基金财产，其余部分用于支付注册登记费等相关手续费。</w:t>
      </w:r>
    </w:p>
    <w:p w:rsidR="00783788" w:rsidRDefault="002C6E18">
      <w:pPr>
        <w:spacing w:line="360" w:lineRule="auto"/>
        <w:ind w:firstLineChars="200" w:firstLine="480"/>
        <w:rPr>
          <w:bCs/>
          <w:sz w:val="24"/>
        </w:rPr>
      </w:pPr>
      <w:r>
        <w:rPr>
          <w:rFonts w:hint="eastAsia"/>
          <w:bCs/>
          <w:sz w:val="24"/>
        </w:rPr>
        <w:t>3</w:t>
      </w:r>
      <w:r>
        <w:rPr>
          <w:rFonts w:hint="eastAsia"/>
          <w:bCs/>
          <w:sz w:val="24"/>
        </w:rPr>
        <w:t>、前端收费模式下转出与转入基金的申购补差费用</w:t>
      </w:r>
    </w:p>
    <w:p w:rsidR="00783788" w:rsidRDefault="002C6E18">
      <w:pPr>
        <w:spacing w:line="360" w:lineRule="auto"/>
        <w:ind w:firstLineChars="200" w:firstLine="480"/>
        <w:rPr>
          <w:bCs/>
          <w:sz w:val="24"/>
          <w:highlight w:val="green"/>
        </w:rPr>
      </w:pPr>
      <w:r>
        <w:rPr>
          <w:rFonts w:hint="eastAsia"/>
          <w:bCs/>
          <w:sz w:val="24"/>
        </w:rPr>
        <w:t>从不收取申购费用的基金或前端申购费用低的基金向前端申购费用高的基金转换，收取前端申购补差费用；从前端申购费用高的基金向前端申购费用低的基金或不收取申购费用的基金转换，不收取前端申购补差费用。申购补差费用原则上按照转出确认金额对应分档的转入基金前端申购费率减去转出基金前端申购费率差额进行补差，转出与转入基金的申购补差费率按照转出确认金额分档，并随着转出确认金额递减。</w:t>
      </w:r>
    </w:p>
    <w:p w:rsidR="00783788" w:rsidRDefault="002C6E18">
      <w:pPr>
        <w:spacing w:line="360" w:lineRule="auto"/>
        <w:ind w:firstLineChars="200" w:firstLine="480"/>
        <w:rPr>
          <w:bCs/>
          <w:sz w:val="24"/>
        </w:rPr>
      </w:pPr>
      <w:r>
        <w:rPr>
          <w:rFonts w:hint="eastAsia"/>
          <w:bCs/>
          <w:sz w:val="24"/>
        </w:rPr>
        <w:t>4</w:t>
      </w:r>
      <w:r>
        <w:rPr>
          <w:rFonts w:hint="eastAsia"/>
          <w:bCs/>
          <w:sz w:val="24"/>
        </w:rPr>
        <w:t>、后端收费模式下转出与转入基金的申购补差费用</w:t>
      </w:r>
    </w:p>
    <w:p w:rsidR="00783788" w:rsidRDefault="002C6E18">
      <w:pPr>
        <w:spacing w:line="360" w:lineRule="auto"/>
        <w:ind w:firstLineChars="200" w:firstLine="480"/>
        <w:rPr>
          <w:bCs/>
          <w:sz w:val="24"/>
          <w:highlight w:val="green"/>
        </w:rPr>
      </w:pPr>
      <w:r>
        <w:rPr>
          <w:rFonts w:hint="eastAsia"/>
          <w:bCs/>
          <w:sz w:val="24"/>
        </w:rPr>
        <w:t>从不收取申购费用的基金或后端申购费用低的基金向后端申购费用高的基金转换，不收取后端申购补差费用，但转入的基金份额赎回的时候需全额收取转入基金的后端申购费；从后端申购费用高的基金向后端申购费用低的基金或不收取申购费用的基金转换，收取后端申购补差费用，且转入的基金份额赎回的时候需全额收取转入基金的后端申购费。后端申购补差费用按照转出份额持有时间对应分档的转出基金后端申购费率减去转入基金后端申购费率差额进行补差。</w:t>
      </w:r>
    </w:p>
    <w:p w:rsidR="00783788" w:rsidRDefault="002C6E18">
      <w:pPr>
        <w:spacing w:line="360" w:lineRule="auto"/>
        <w:ind w:firstLineChars="200" w:firstLine="480"/>
        <w:rPr>
          <w:bCs/>
          <w:sz w:val="24"/>
        </w:rPr>
      </w:pPr>
      <w:bookmarkStart w:id="54" w:name="OLE_LINK27"/>
      <w:bookmarkStart w:id="55" w:name="OLE_LINK26"/>
      <w:r>
        <w:rPr>
          <w:rFonts w:hint="eastAsia"/>
          <w:bCs/>
          <w:sz w:val="24"/>
        </w:rPr>
        <w:t>5</w:t>
      </w:r>
      <w:r>
        <w:rPr>
          <w:rFonts w:hint="eastAsia"/>
          <w:bCs/>
          <w:sz w:val="24"/>
        </w:rPr>
        <w:t>、网上直销的申购补差费率优惠</w:t>
      </w:r>
    </w:p>
    <w:bookmarkEnd w:id="54"/>
    <w:bookmarkEnd w:id="55"/>
    <w:p w:rsidR="00783788" w:rsidRDefault="002C6E18">
      <w:pPr>
        <w:spacing w:line="360" w:lineRule="auto"/>
        <w:ind w:firstLineChars="200" w:firstLine="480"/>
        <w:rPr>
          <w:color w:val="000000"/>
          <w:sz w:val="24"/>
        </w:rPr>
      </w:pPr>
      <w:r>
        <w:rPr>
          <w:rFonts w:hint="eastAsia"/>
          <w:color w:val="000000"/>
          <w:sz w:val="24"/>
        </w:rPr>
        <w:t>为更好服务投资者，本基金管理人已开通基金网上直销业务，个人投资者可以通过</w:t>
      </w:r>
      <w:r>
        <w:rPr>
          <w:rFonts w:hint="eastAsia"/>
          <w:bCs/>
          <w:sz w:val="24"/>
        </w:rPr>
        <w:t>“</w:t>
      </w:r>
      <w:r>
        <w:rPr>
          <w:rFonts w:hint="eastAsia"/>
          <w:color w:val="000000"/>
          <w:sz w:val="24"/>
        </w:rPr>
        <w:t>网上直销交易平台”办理基金转换业务，其中部分转换业务可享受转换费率优惠，优惠费率只适用于转出与转入基金申购补差费用，转出基金的赎回费用无优惠。可通过网上直销交易平台办理的转换业务范围及转换费率优惠的具体情况请参阅本基金管理人网站。</w:t>
      </w:r>
    </w:p>
    <w:p w:rsidR="00783788" w:rsidRDefault="002C6E18">
      <w:pPr>
        <w:spacing w:line="360" w:lineRule="auto"/>
        <w:ind w:firstLineChars="200" w:firstLine="480"/>
        <w:rPr>
          <w:sz w:val="24"/>
        </w:rPr>
      </w:pPr>
      <w:r>
        <w:rPr>
          <w:rFonts w:hint="eastAsia"/>
          <w:sz w:val="24"/>
        </w:rPr>
        <w:t>具体转换费率水平请参见本基金管理人网站（</w:t>
      </w:r>
      <w:r>
        <w:rPr>
          <w:rFonts w:hint="eastAsia"/>
          <w:sz w:val="24"/>
        </w:rPr>
        <w:t>www.fund001.com</w:t>
      </w:r>
      <w:r>
        <w:rPr>
          <w:rFonts w:hint="eastAsia"/>
          <w:sz w:val="24"/>
        </w:rPr>
        <w:t>，</w:t>
      </w:r>
      <w:r>
        <w:rPr>
          <w:rFonts w:hint="eastAsia"/>
          <w:sz w:val="24"/>
        </w:rPr>
        <w:t>www.bocomschroder.com</w:t>
      </w:r>
      <w:r>
        <w:rPr>
          <w:rFonts w:hint="eastAsia"/>
          <w:sz w:val="24"/>
        </w:rPr>
        <w:t>）列示的相关转换费率表或相关公告。</w:t>
      </w:r>
    </w:p>
    <w:p w:rsidR="00783788" w:rsidRDefault="002C6E18">
      <w:pPr>
        <w:spacing w:line="360" w:lineRule="auto"/>
        <w:ind w:firstLineChars="200" w:firstLine="480"/>
        <w:rPr>
          <w:bCs/>
          <w:sz w:val="24"/>
        </w:rPr>
      </w:pPr>
      <w:r>
        <w:rPr>
          <w:rFonts w:hint="eastAsia"/>
          <w:bCs/>
          <w:sz w:val="24"/>
        </w:rPr>
        <w:t>6</w:t>
      </w:r>
      <w:r>
        <w:rPr>
          <w:rFonts w:hint="eastAsia"/>
          <w:bCs/>
          <w:sz w:val="24"/>
        </w:rPr>
        <w:t>、基金管理人可以根据法律法规及基金合同的规定对上述收费方式和费率进行调整，并应于调整后的收费方式和费率在实施前依照《信息披露办法》的有关规定在中国证监会指定媒体上公告。</w:t>
      </w:r>
    </w:p>
    <w:p w:rsidR="00783788" w:rsidRDefault="002C6E18">
      <w:pPr>
        <w:widowControl/>
        <w:tabs>
          <w:tab w:val="left" w:pos="4949"/>
        </w:tabs>
        <w:spacing w:line="360" w:lineRule="auto"/>
        <w:ind w:firstLineChars="200" w:firstLine="482"/>
        <w:outlineLvl w:val="1"/>
        <w:rPr>
          <w:b/>
          <w:kern w:val="0"/>
          <w:sz w:val="24"/>
        </w:rPr>
      </w:pPr>
      <w:r>
        <w:rPr>
          <w:rFonts w:hint="eastAsia"/>
          <w:b/>
          <w:kern w:val="0"/>
          <w:sz w:val="24"/>
        </w:rPr>
        <w:t>（六）基金转换份额的计算公式</w:t>
      </w:r>
    </w:p>
    <w:p w:rsidR="00783788" w:rsidRDefault="002C6E18">
      <w:pPr>
        <w:spacing w:line="360" w:lineRule="auto"/>
        <w:ind w:firstLineChars="200" w:firstLine="480"/>
        <w:rPr>
          <w:bCs/>
          <w:sz w:val="24"/>
        </w:rPr>
      </w:pPr>
      <w:r>
        <w:rPr>
          <w:rFonts w:hint="eastAsia"/>
          <w:bCs/>
          <w:sz w:val="24"/>
        </w:rPr>
        <w:t>1</w:t>
      </w:r>
      <w:r>
        <w:rPr>
          <w:rFonts w:hint="eastAsia"/>
          <w:bCs/>
          <w:sz w:val="24"/>
        </w:rPr>
        <w:t>、前端收费模式下基金转换份额的计算公式及举例</w:t>
      </w:r>
    </w:p>
    <w:p w:rsidR="00783788" w:rsidRDefault="002C6E18">
      <w:pPr>
        <w:spacing w:line="360" w:lineRule="auto"/>
        <w:ind w:firstLineChars="200" w:firstLine="480"/>
        <w:rPr>
          <w:bCs/>
          <w:sz w:val="24"/>
        </w:rPr>
      </w:pPr>
      <w:r>
        <w:rPr>
          <w:rFonts w:hint="eastAsia"/>
          <w:bCs/>
          <w:sz w:val="24"/>
        </w:rPr>
        <w:t>转出确认金额</w:t>
      </w:r>
      <w:r>
        <w:rPr>
          <w:rFonts w:hint="eastAsia"/>
          <w:bCs/>
          <w:sz w:val="24"/>
        </w:rPr>
        <w:t>=</w:t>
      </w:r>
      <w:r>
        <w:rPr>
          <w:rFonts w:hint="eastAsia"/>
          <w:bCs/>
          <w:sz w:val="24"/>
        </w:rPr>
        <w:t>转出的基金份额×转换申请当日转出基金的基金份额净值</w:t>
      </w:r>
    </w:p>
    <w:p w:rsidR="00783788" w:rsidRDefault="002C6E18">
      <w:pPr>
        <w:spacing w:line="360" w:lineRule="auto"/>
        <w:ind w:firstLineChars="200" w:firstLine="480"/>
        <w:rPr>
          <w:bCs/>
          <w:sz w:val="24"/>
        </w:rPr>
      </w:pPr>
      <w:r>
        <w:rPr>
          <w:rFonts w:hint="eastAsia"/>
          <w:bCs/>
          <w:sz w:val="24"/>
        </w:rPr>
        <w:t>转出基金的赎回费</w:t>
      </w:r>
      <w:r>
        <w:rPr>
          <w:rFonts w:hint="eastAsia"/>
          <w:bCs/>
          <w:sz w:val="24"/>
        </w:rPr>
        <w:t>=</w:t>
      </w:r>
      <w:r>
        <w:rPr>
          <w:rFonts w:hint="eastAsia"/>
          <w:bCs/>
          <w:sz w:val="24"/>
        </w:rPr>
        <w:t>转出确认金额×对应的转出基金的赎回费率</w:t>
      </w:r>
    </w:p>
    <w:p w:rsidR="00783788" w:rsidRDefault="002C6E18">
      <w:pPr>
        <w:spacing w:line="360" w:lineRule="auto"/>
        <w:ind w:firstLineChars="200" w:firstLine="480"/>
        <w:rPr>
          <w:bCs/>
          <w:sz w:val="24"/>
        </w:rPr>
      </w:pPr>
      <w:r>
        <w:rPr>
          <w:rFonts w:hint="eastAsia"/>
          <w:bCs/>
          <w:sz w:val="24"/>
        </w:rPr>
        <w:t>转入确认金额</w:t>
      </w:r>
      <w:r>
        <w:rPr>
          <w:rFonts w:hint="eastAsia"/>
          <w:bCs/>
          <w:sz w:val="24"/>
        </w:rPr>
        <w:t>=</w:t>
      </w:r>
      <w:r>
        <w:rPr>
          <w:rFonts w:hint="eastAsia"/>
          <w:bCs/>
          <w:sz w:val="24"/>
        </w:rPr>
        <w:t>转出确认金额</w:t>
      </w:r>
      <w:r>
        <w:rPr>
          <w:rFonts w:hint="eastAsia"/>
          <w:bCs/>
          <w:sz w:val="24"/>
        </w:rPr>
        <w:t>-</w:t>
      </w:r>
      <w:r>
        <w:rPr>
          <w:rFonts w:hint="eastAsia"/>
          <w:bCs/>
          <w:sz w:val="24"/>
        </w:rPr>
        <w:t>转出基金的赎回费</w:t>
      </w:r>
    </w:p>
    <w:p w:rsidR="00783788" w:rsidRDefault="002C6E18">
      <w:pPr>
        <w:spacing w:line="360" w:lineRule="auto"/>
        <w:ind w:firstLineChars="200" w:firstLine="480"/>
        <w:rPr>
          <w:bCs/>
          <w:sz w:val="24"/>
        </w:rPr>
      </w:pPr>
      <w:r>
        <w:rPr>
          <w:rFonts w:hint="eastAsia"/>
          <w:bCs/>
          <w:sz w:val="24"/>
        </w:rPr>
        <w:t>转出与转入基金的申购补差费</w:t>
      </w:r>
      <w:r>
        <w:rPr>
          <w:rFonts w:hint="eastAsia"/>
          <w:bCs/>
          <w:sz w:val="24"/>
        </w:rPr>
        <w:t>=</w:t>
      </w:r>
      <w:r>
        <w:rPr>
          <w:rFonts w:hint="eastAsia"/>
          <w:bCs/>
          <w:sz w:val="24"/>
        </w:rPr>
        <w:t>转入确认金额×对应的转出与转入基金的申购补差费率</w:t>
      </w:r>
      <w:r>
        <w:rPr>
          <w:rFonts w:hint="eastAsia"/>
          <w:bCs/>
          <w:sz w:val="24"/>
        </w:rPr>
        <w:t>/</w:t>
      </w:r>
      <w:r>
        <w:rPr>
          <w:rFonts w:hint="eastAsia"/>
          <w:bCs/>
          <w:sz w:val="24"/>
        </w:rPr>
        <w:t>（</w:t>
      </w:r>
      <w:r>
        <w:rPr>
          <w:rFonts w:hint="eastAsia"/>
          <w:bCs/>
          <w:sz w:val="24"/>
        </w:rPr>
        <w:t>1+</w:t>
      </w:r>
      <w:r>
        <w:rPr>
          <w:rFonts w:hint="eastAsia"/>
          <w:bCs/>
          <w:sz w:val="24"/>
        </w:rPr>
        <w:t>对应的转出与转入基金的申购补差费率）</w:t>
      </w:r>
    </w:p>
    <w:p w:rsidR="00783788" w:rsidRDefault="002C6E18">
      <w:pPr>
        <w:spacing w:line="360" w:lineRule="auto"/>
        <w:ind w:firstLineChars="200" w:firstLine="480"/>
        <w:rPr>
          <w:bCs/>
          <w:sz w:val="24"/>
        </w:rPr>
      </w:pPr>
      <w:r>
        <w:rPr>
          <w:rFonts w:hint="eastAsia"/>
          <w:bCs/>
          <w:sz w:val="24"/>
        </w:rPr>
        <w:t>（注：对于适用固定金额申购补差费用的，转出与转入基金的申购补差费＝固定金额的申购补差费）</w:t>
      </w:r>
    </w:p>
    <w:p w:rsidR="00783788" w:rsidRDefault="002C6E18">
      <w:pPr>
        <w:spacing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（转入确认金额</w:t>
      </w:r>
      <w:r>
        <w:rPr>
          <w:rFonts w:hint="eastAsia"/>
          <w:bCs/>
          <w:sz w:val="24"/>
        </w:rPr>
        <w:t>-</w:t>
      </w:r>
      <w:r>
        <w:rPr>
          <w:rFonts w:hint="eastAsia"/>
          <w:bCs/>
          <w:sz w:val="24"/>
        </w:rPr>
        <w:t>转出与转入基金的申购补差费</w:t>
      </w:r>
      <w:r>
        <w:rPr>
          <w:rFonts w:hint="eastAsia"/>
          <w:bCs/>
          <w:sz w:val="24"/>
        </w:rPr>
        <w:t>+A</w:t>
      </w:r>
      <w:r>
        <w:rPr>
          <w:rFonts w:hint="eastAsia"/>
          <w:bCs/>
          <w:sz w:val="24"/>
        </w:rPr>
        <w:t>）</w:t>
      </w:r>
      <w:r>
        <w:rPr>
          <w:rFonts w:hint="eastAsia"/>
          <w:bCs/>
          <w:sz w:val="24"/>
        </w:rPr>
        <w:t>/</w:t>
      </w:r>
      <w:r>
        <w:rPr>
          <w:rFonts w:hint="eastAsia"/>
          <w:bCs/>
          <w:sz w:val="24"/>
        </w:rPr>
        <w:t>转换申请当日转入基金的基金份额净值</w:t>
      </w:r>
    </w:p>
    <w:p w:rsidR="00783788" w:rsidRDefault="002C6E18">
      <w:pPr>
        <w:spacing w:line="360" w:lineRule="auto"/>
        <w:ind w:firstLineChars="200" w:firstLine="480"/>
        <w:rPr>
          <w:bCs/>
          <w:sz w:val="24"/>
        </w:rPr>
      </w:pPr>
      <w:r>
        <w:rPr>
          <w:rFonts w:hint="eastAsia"/>
          <w:bCs/>
          <w:sz w:val="24"/>
        </w:rPr>
        <w:t>其中：</w:t>
      </w:r>
    </w:p>
    <w:p w:rsidR="00783788" w:rsidRDefault="002C6E18">
      <w:pPr>
        <w:spacing w:line="360" w:lineRule="auto"/>
        <w:ind w:firstLineChars="200" w:firstLine="480"/>
        <w:rPr>
          <w:bCs/>
          <w:sz w:val="24"/>
        </w:rPr>
      </w:pPr>
      <w:r>
        <w:rPr>
          <w:rFonts w:hint="eastAsia"/>
          <w:bCs/>
          <w:sz w:val="24"/>
        </w:rPr>
        <w:t>A</w:t>
      </w:r>
      <w:r>
        <w:rPr>
          <w:rFonts w:hint="eastAsia"/>
          <w:bCs/>
          <w:sz w:val="24"/>
        </w:rPr>
        <w:t>为货币市场基金转出的基金份额按比例结转的账户当前累计待支付收益（仅限转出基金为货币市场基金的情形，否则</w:t>
      </w:r>
      <w:r>
        <w:rPr>
          <w:rFonts w:hint="eastAsia"/>
          <w:bCs/>
          <w:sz w:val="24"/>
        </w:rPr>
        <w:t>A</w:t>
      </w:r>
      <w:r>
        <w:rPr>
          <w:rFonts w:hint="eastAsia"/>
          <w:bCs/>
          <w:sz w:val="24"/>
        </w:rPr>
        <w:t>为</w:t>
      </w:r>
      <w:r>
        <w:rPr>
          <w:rFonts w:hint="eastAsia"/>
          <w:bCs/>
          <w:sz w:val="24"/>
        </w:rPr>
        <w:t>0</w:t>
      </w:r>
      <w:r>
        <w:rPr>
          <w:rFonts w:hint="eastAsia"/>
          <w:bCs/>
          <w:sz w:val="24"/>
        </w:rPr>
        <w:t>）。</w:t>
      </w:r>
    </w:p>
    <w:p w:rsidR="00783788" w:rsidRDefault="002C6E18">
      <w:pPr>
        <w:spacing w:line="360" w:lineRule="auto"/>
        <w:ind w:firstLineChars="200" w:firstLine="480"/>
        <w:rPr>
          <w:bCs/>
          <w:sz w:val="24"/>
        </w:rPr>
      </w:pPr>
      <w:r>
        <w:rPr>
          <w:rFonts w:hint="eastAsia"/>
          <w:bCs/>
          <w:sz w:val="24"/>
        </w:rPr>
        <w:t>转入基金确认份额的计算精确到小数点后两位，小数点后两位以后的部分四舍五入，误差部分归基金财产。</w:t>
      </w:r>
    </w:p>
    <w:p w:rsidR="00783788" w:rsidRDefault="002C6E18">
      <w:pPr>
        <w:spacing w:line="360" w:lineRule="auto"/>
        <w:ind w:firstLineChars="200" w:firstLine="480"/>
        <w:rPr>
          <w:bCs/>
          <w:sz w:val="24"/>
        </w:rPr>
      </w:pPr>
      <w:r>
        <w:rPr>
          <w:rFonts w:hint="eastAsia"/>
          <w:bCs/>
          <w:sz w:val="24"/>
        </w:rPr>
        <w:t>例一：某投资者持有交银趋势前端收费模式的基金份额</w:t>
      </w:r>
      <w:r>
        <w:rPr>
          <w:rFonts w:hint="eastAsia"/>
          <w:bCs/>
          <w:sz w:val="24"/>
        </w:rPr>
        <w:t>100,000</w:t>
      </w:r>
      <w:r>
        <w:rPr>
          <w:rFonts w:hint="eastAsia"/>
          <w:bCs/>
          <w:sz w:val="24"/>
        </w:rPr>
        <w:t>份，持有期半年，转换申请当日交银趋势的基金份额净值为</w:t>
      </w:r>
      <w:r>
        <w:rPr>
          <w:rFonts w:hint="eastAsia"/>
          <w:bCs/>
          <w:sz w:val="24"/>
        </w:rPr>
        <w:t>1.010</w:t>
      </w:r>
      <w:r>
        <w:rPr>
          <w:rFonts w:hint="eastAsia"/>
          <w:bCs/>
          <w:sz w:val="24"/>
        </w:rPr>
        <w:t>元，交银成长的基金份额净值为</w:t>
      </w:r>
      <w:r>
        <w:rPr>
          <w:rFonts w:hint="eastAsia"/>
          <w:bCs/>
          <w:sz w:val="24"/>
        </w:rPr>
        <w:t>2.2700</w:t>
      </w:r>
      <w:r>
        <w:rPr>
          <w:rFonts w:hint="eastAsia"/>
          <w:bCs/>
          <w:sz w:val="24"/>
        </w:rPr>
        <w:t>元。若该投资者将</w:t>
      </w:r>
      <w:r>
        <w:rPr>
          <w:rFonts w:hint="eastAsia"/>
          <w:bCs/>
          <w:sz w:val="24"/>
        </w:rPr>
        <w:t>100,000</w:t>
      </w:r>
      <w:r>
        <w:rPr>
          <w:rFonts w:hint="eastAsia"/>
          <w:bCs/>
          <w:sz w:val="24"/>
        </w:rPr>
        <w:t>份交银趋势前端基金份额转换为交银成长前端基金份额，则转入交银成长确认的基金份额为：</w:t>
      </w:r>
    </w:p>
    <w:p w:rsidR="00783788" w:rsidRDefault="002C6E18">
      <w:pPr>
        <w:spacing w:line="360" w:lineRule="auto"/>
        <w:ind w:firstLineChars="200" w:firstLine="480"/>
        <w:rPr>
          <w:bCs/>
          <w:sz w:val="24"/>
        </w:rPr>
      </w:pPr>
      <w:r>
        <w:rPr>
          <w:rFonts w:hint="eastAsia"/>
          <w:bCs/>
          <w:sz w:val="24"/>
        </w:rPr>
        <w:t>转出确认金额</w:t>
      </w:r>
      <w:r>
        <w:rPr>
          <w:rFonts w:hint="eastAsia"/>
          <w:bCs/>
          <w:sz w:val="24"/>
        </w:rPr>
        <w:t>=100,000</w:t>
      </w:r>
      <w:r>
        <w:rPr>
          <w:rFonts w:hint="eastAsia"/>
          <w:bCs/>
          <w:sz w:val="24"/>
        </w:rPr>
        <w:t>×</w:t>
      </w:r>
      <w:r>
        <w:rPr>
          <w:rFonts w:hint="eastAsia"/>
          <w:bCs/>
          <w:sz w:val="24"/>
        </w:rPr>
        <w:t>1.010=101,000</w:t>
      </w:r>
      <w:r>
        <w:rPr>
          <w:rFonts w:hint="eastAsia"/>
          <w:bCs/>
          <w:sz w:val="24"/>
        </w:rPr>
        <w:t>元</w:t>
      </w:r>
    </w:p>
    <w:p w:rsidR="00783788" w:rsidRDefault="002C6E18">
      <w:pPr>
        <w:spacing w:line="360" w:lineRule="auto"/>
        <w:ind w:firstLineChars="200" w:firstLine="480"/>
        <w:rPr>
          <w:bCs/>
          <w:sz w:val="24"/>
        </w:rPr>
      </w:pPr>
      <w:r>
        <w:rPr>
          <w:rFonts w:hint="eastAsia"/>
          <w:bCs/>
          <w:sz w:val="24"/>
        </w:rPr>
        <w:t>转出基金的赎回费</w:t>
      </w:r>
      <w:r>
        <w:rPr>
          <w:rFonts w:hint="eastAsia"/>
          <w:bCs/>
          <w:sz w:val="24"/>
        </w:rPr>
        <w:t>=101,000</w:t>
      </w:r>
      <w:r>
        <w:rPr>
          <w:rFonts w:hint="eastAsia"/>
          <w:bCs/>
          <w:sz w:val="24"/>
        </w:rPr>
        <w:t>×</w:t>
      </w:r>
      <w:r>
        <w:rPr>
          <w:rFonts w:hint="eastAsia"/>
          <w:bCs/>
          <w:sz w:val="24"/>
        </w:rPr>
        <w:t>0.5%=505</w:t>
      </w:r>
      <w:r>
        <w:rPr>
          <w:rFonts w:hint="eastAsia"/>
          <w:bCs/>
          <w:sz w:val="24"/>
        </w:rPr>
        <w:t>元</w:t>
      </w:r>
    </w:p>
    <w:p w:rsidR="00783788" w:rsidRDefault="002C6E18">
      <w:pPr>
        <w:spacing w:line="360" w:lineRule="auto"/>
        <w:ind w:firstLineChars="200" w:firstLine="480"/>
        <w:rPr>
          <w:bCs/>
          <w:sz w:val="24"/>
        </w:rPr>
      </w:pPr>
      <w:r>
        <w:rPr>
          <w:rFonts w:hint="eastAsia"/>
          <w:bCs/>
          <w:sz w:val="24"/>
        </w:rPr>
        <w:t>转入确认金额</w:t>
      </w:r>
      <w:r>
        <w:rPr>
          <w:rFonts w:hint="eastAsia"/>
          <w:bCs/>
          <w:sz w:val="24"/>
        </w:rPr>
        <w:t>=101,000-505=100,495</w:t>
      </w:r>
      <w:r>
        <w:rPr>
          <w:rFonts w:hint="eastAsia"/>
          <w:bCs/>
          <w:sz w:val="24"/>
        </w:rPr>
        <w:t>元</w:t>
      </w:r>
    </w:p>
    <w:p w:rsidR="00783788" w:rsidRDefault="002C6E18">
      <w:pPr>
        <w:spacing w:line="360" w:lineRule="auto"/>
        <w:ind w:firstLineChars="200" w:firstLine="480"/>
        <w:rPr>
          <w:bCs/>
          <w:sz w:val="24"/>
        </w:rPr>
      </w:pPr>
      <w:r>
        <w:rPr>
          <w:rFonts w:hint="eastAsia"/>
          <w:bCs/>
          <w:sz w:val="24"/>
        </w:rPr>
        <w:t>转出与转入基金的申购补差费</w:t>
      </w:r>
      <w:r>
        <w:rPr>
          <w:rFonts w:hint="eastAsia"/>
          <w:bCs/>
          <w:sz w:val="24"/>
        </w:rPr>
        <w:t>=100,495</w:t>
      </w:r>
      <w:r>
        <w:rPr>
          <w:rFonts w:hint="eastAsia"/>
          <w:bCs/>
          <w:sz w:val="24"/>
        </w:rPr>
        <w:t>×</w:t>
      </w:r>
      <w:r>
        <w:rPr>
          <w:rFonts w:hint="eastAsia"/>
          <w:bCs/>
          <w:sz w:val="24"/>
        </w:rPr>
        <w:t>0/</w:t>
      </w:r>
      <w:r>
        <w:rPr>
          <w:rFonts w:hint="eastAsia"/>
          <w:bCs/>
          <w:sz w:val="24"/>
        </w:rPr>
        <w:t>（</w:t>
      </w:r>
      <w:r>
        <w:rPr>
          <w:rFonts w:hint="eastAsia"/>
          <w:bCs/>
          <w:sz w:val="24"/>
        </w:rPr>
        <w:t>1+0</w:t>
      </w:r>
      <w:r>
        <w:rPr>
          <w:rFonts w:hint="eastAsia"/>
          <w:bCs/>
          <w:sz w:val="24"/>
        </w:rPr>
        <w:t>）</w:t>
      </w:r>
      <w:r>
        <w:rPr>
          <w:rFonts w:hint="eastAsia"/>
          <w:bCs/>
          <w:sz w:val="24"/>
        </w:rPr>
        <w:t>=0</w:t>
      </w:r>
      <w:r>
        <w:rPr>
          <w:rFonts w:hint="eastAsia"/>
          <w:bCs/>
          <w:sz w:val="24"/>
        </w:rPr>
        <w:t>元</w:t>
      </w:r>
    </w:p>
    <w:p w:rsidR="00783788" w:rsidRDefault="002C6E18">
      <w:pPr>
        <w:spacing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w:t>
      </w:r>
      <w:r>
        <w:rPr>
          <w:rFonts w:hint="eastAsia"/>
          <w:bCs/>
          <w:sz w:val="24"/>
        </w:rPr>
        <w:t>100,495-0</w:t>
      </w:r>
      <w:r>
        <w:rPr>
          <w:rFonts w:hint="eastAsia"/>
          <w:bCs/>
          <w:sz w:val="24"/>
        </w:rPr>
        <w:t>）</w:t>
      </w:r>
      <w:r>
        <w:rPr>
          <w:rFonts w:hint="eastAsia"/>
          <w:bCs/>
          <w:sz w:val="24"/>
        </w:rPr>
        <w:t>/2.2700=44,270.93</w:t>
      </w:r>
      <w:r>
        <w:rPr>
          <w:rFonts w:hint="eastAsia"/>
          <w:bCs/>
          <w:sz w:val="24"/>
        </w:rPr>
        <w:t>份</w:t>
      </w:r>
    </w:p>
    <w:p w:rsidR="00783788" w:rsidRDefault="002C6E18">
      <w:pPr>
        <w:spacing w:line="360" w:lineRule="auto"/>
        <w:ind w:firstLineChars="200" w:firstLine="480"/>
        <w:rPr>
          <w:bCs/>
          <w:sz w:val="24"/>
        </w:rPr>
      </w:pPr>
      <w:r>
        <w:rPr>
          <w:rFonts w:hint="eastAsia"/>
          <w:bCs/>
          <w:sz w:val="24"/>
        </w:rPr>
        <w:t>例二：某投资者持有交银增利</w:t>
      </w:r>
      <w:r>
        <w:rPr>
          <w:rFonts w:hint="eastAsia"/>
          <w:bCs/>
          <w:sz w:val="24"/>
        </w:rPr>
        <w:t>A</w:t>
      </w:r>
      <w:r>
        <w:rPr>
          <w:rFonts w:hint="eastAsia"/>
          <w:bCs/>
          <w:sz w:val="24"/>
        </w:rPr>
        <w:t>类基金份额</w:t>
      </w:r>
      <w:r>
        <w:rPr>
          <w:rFonts w:hint="eastAsia"/>
          <w:bCs/>
          <w:sz w:val="24"/>
        </w:rPr>
        <w:t>1,000,000</w:t>
      </w:r>
      <w:r>
        <w:rPr>
          <w:rFonts w:hint="eastAsia"/>
          <w:bCs/>
          <w:sz w:val="24"/>
        </w:rPr>
        <w:t>份，持有期一年半，转换申请当日交银增利</w:t>
      </w:r>
      <w:r>
        <w:rPr>
          <w:rFonts w:hint="eastAsia"/>
          <w:bCs/>
          <w:sz w:val="24"/>
        </w:rPr>
        <w:t>A</w:t>
      </w:r>
      <w:r>
        <w:rPr>
          <w:rFonts w:hint="eastAsia"/>
          <w:bCs/>
          <w:sz w:val="24"/>
        </w:rPr>
        <w:t>类基金份额的基金份额净值为</w:t>
      </w:r>
      <w:r>
        <w:rPr>
          <w:rFonts w:hint="eastAsia"/>
          <w:bCs/>
          <w:sz w:val="24"/>
        </w:rPr>
        <w:t>1.0200</w:t>
      </w:r>
      <w:r>
        <w:rPr>
          <w:rFonts w:hint="eastAsia"/>
          <w:bCs/>
          <w:sz w:val="24"/>
        </w:rPr>
        <w:t>元，交银趋势的基金份额净值为</w:t>
      </w:r>
      <w:r>
        <w:rPr>
          <w:rFonts w:hint="eastAsia"/>
          <w:bCs/>
          <w:sz w:val="24"/>
        </w:rPr>
        <w:t>1.010</w:t>
      </w:r>
      <w:r>
        <w:rPr>
          <w:rFonts w:hint="eastAsia"/>
          <w:bCs/>
          <w:sz w:val="24"/>
        </w:rPr>
        <w:t>元。若该投资者将</w:t>
      </w:r>
      <w:r>
        <w:rPr>
          <w:rFonts w:hint="eastAsia"/>
          <w:bCs/>
          <w:sz w:val="24"/>
        </w:rPr>
        <w:t>1,000,000</w:t>
      </w:r>
      <w:r>
        <w:rPr>
          <w:rFonts w:hint="eastAsia"/>
          <w:bCs/>
          <w:sz w:val="24"/>
        </w:rPr>
        <w:t>份交银增利</w:t>
      </w:r>
      <w:r>
        <w:rPr>
          <w:rFonts w:hint="eastAsia"/>
          <w:bCs/>
          <w:sz w:val="24"/>
        </w:rPr>
        <w:t>A</w:t>
      </w:r>
      <w:r>
        <w:rPr>
          <w:rFonts w:hint="eastAsia"/>
          <w:bCs/>
          <w:sz w:val="24"/>
        </w:rPr>
        <w:t>类基金份额转换为交银趋势前端基金份额（非网上交易），则转入交银趋势确认的基金份额为：</w:t>
      </w:r>
    </w:p>
    <w:p w:rsidR="00783788" w:rsidRDefault="002C6E18">
      <w:pPr>
        <w:spacing w:line="360" w:lineRule="auto"/>
        <w:ind w:firstLineChars="200" w:firstLine="480"/>
        <w:rPr>
          <w:bCs/>
          <w:sz w:val="24"/>
        </w:rPr>
      </w:pPr>
      <w:r>
        <w:rPr>
          <w:rFonts w:hint="eastAsia"/>
          <w:bCs/>
          <w:sz w:val="24"/>
        </w:rPr>
        <w:t>转出确认金额</w:t>
      </w:r>
      <w:r>
        <w:rPr>
          <w:rFonts w:hint="eastAsia"/>
          <w:bCs/>
          <w:sz w:val="24"/>
        </w:rPr>
        <w:t>=1,000,000</w:t>
      </w:r>
      <w:r>
        <w:rPr>
          <w:rFonts w:hint="eastAsia"/>
          <w:bCs/>
          <w:sz w:val="24"/>
        </w:rPr>
        <w:t>×</w:t>
      </w:r>
      <w:r>
        <w:rPr>
          <w:rFonts w:hint="eastAsia"/>
          <w:bCs/>
          <w:sz w:val="24"/>
        </w:rPr>
        <w:t>1.0200=1,020,000</w:t>
      </w:r>
      <w:r>
        <w:rPr>
          <w:rFonts w:hint="eastAsia"/>
          <w:bCs/>
          <w:sz w:val="24"/>
        </w:rPr>
        <w:t>元</w:t>
      </w:r>
    </w:p>
    <w:p w:rsidR="00783788" w:rsidRDefault="002C6E18">
      <w:pPr>
        <w:spacing w:line="360" w:lineRule="auto"/>
        <w:ind w:firstLineChars="200" w:firstLine="480"/>
        <w:rPr>
          <w:bCs/>
          <w:sz w:val="24"/>
        </w:rPr>
      </w:pPr>
      <w:r>
        <w:rPr>
          <w:rFonts w:hint="eastAsia"/>
          <w:bCs/>
          <w:sz w:val="24"/>
        </w:rPr>
        <w:t>转出基金的赎回费</w:t>
      </w:r>
      <w:r>
        <w:rPr>
          <w:rFonts w:hint="eastAsia"/>
          <w:bCs/>
          <w:sz w:val="24"/>
        </w:rPr>
        <w:t>=1,020,000</w:t>
      </w:r>
      <w:r>
        <w:rPr>
          <w:rFonts w:hint="eastAsia"/>
          <w:bCs/>
          <w:sz w:val="24"/>
        </w:rPr>
        <w:t>×</w:t>
      </w:r>
      <w:r>
        <w:rPr>
          <w:rFonts w:hint="eastAsia"/>
          <w:bCs/>
          <w:sz w:val="24"/>
        </w:rPr>
        <w:t>0.05%=510</w:t>
      </w:r>
      <w:r>
        <w:rPr>
          <w:rFonts w:hint="eastAsia"/>
          <w:bCs/>
          <w:sz w:val="24"/>
        </w:rPr>
        <w:t>元</w:t>
      </w:r>
    </w:p>
    <w:p w:rsidR="00783788" w:rsidRDefault="002C6E18">
      <w:pPr>
        <w:spacing w:line="360" w:lineRule="auto"/>
        <w:ind w:firstLineChars="200" w:firstLine="480"/>
        <w:rPr>
          <w:bCs/>
          <w:sz w:val="24"/>
        </w:rPr>
      </w:pPr>
      <w:r>
        <w:rPr>
          <w:rFonts w:hint="eastAsia"/>
          <w:bCs/>
          <w:sz w:val="24"/>
        </w:rPr>
        <w:t>转入确认金额</w:t>
      </w:r>
      <w:r>
        <w:rPr>
          <w:rFonts w:hint="eastAsia"/>
          <w:bCs/>
          <w:sz w:val="24"/>
        </w:rPr>
        <w:t>=1,020,000-510=1,019,490</w:t>
      </w:r>
      <w:r>
        <w:rPr>
          <w:rFonts w:hint="eastAsia"/>
          <w:bCs/>
          <w:sz w:val="24"/>
        </w:rPr>
        <w:t>元</w:t>
      </w:r>
    </w:p>
    <w:p w:rsidR="00783788" w:rsidRDefault="002C6E18">
      <w:pPr>
        <w:spacing w:line="360" w:lineRule="auto"/>
        <w:ind w:firstLineChars="200" w:firstLine="480"/>
        <w:rPr>
          <w:bCs/>
          <w:sz w:val="24"/>
        </w:rPr>
      </w:pPr>
      <w:r>
        <w:rPr>
          <w:rFonts w:hint="eastAsia"/>
          <w:bCs/>
          <w:sz w:val="24"/>
        </w:rPr>
        <w:t>转出与转入基金的申购补差费</w:t>
      </w:r>
      <w:r>
        <w:rPr>
          <w:rFonts w:hint="eastAsia"/>
          <w:bCs/>
          <w:sz w:val="24"/>
        </w:rPr>
        <w:t>=1,019,490</w:t>
      </w:r>
      <w:r>
        <w:rPr>
          <w:rFonts w:hint="eastAsia"/>
          <w:bCs/>
          <w:sz w:val="24"/>
        </w:rPr>
        <w:t>×</w:t>
      </w:r>
      <w:r>
        <w:rPr>
          <w:rFonts w:hint="eastAsia"/>
          <w:bCs/>
          <w:sz w:val="24"/>
        </w:rPr>
        <w:t>0.5%/</w:t>
      </w:r>
      <w:r>
        <w:rPr>
          <w:rFonts w:hint="eastAsia"/>
          <w:bCs/>
          <w:sz w:val="24"/>
        </w:rPr>
        <w:t>（</w:t>
      </w:r>
      <w:r>
        <w:rPr>
          <w:rFonts w:hint="eastAsia"/>
          <w:bCs/>
          <w:sz w:val="24"/>
        </w:rPr>
        <w:t>1+0.5%</w:t>
      </w:r>
      <w:r>
        <w:rPr>
          <w:rFonts w:hint="eastAsia"/>
          <w:bCs/>
          <w:sz w:val="24"/>
        </w:rPr>
        <w:t>）</w:t>
      </w:r>
      <w:r>
        <w:rPr>
          <w:rFonts w:hint="eastAsia"/>
          <w:bCs/>
          <w:sz w:val="24"/>
        </w:rPr>
        <w:t>=5,072.09</w:t>
      </w:r>
      <w:r>
        <w:rPr>
          <w:rFonts w:hint="eastAsia"/>
          <w:bCs/>
          <w:sz w:val="24"/>
        </w:rPr>
        <w:t>元</w:t>
      </w:r>
    </w:p>
    <w:p w:rsidR="00783788" w:rsidRDefault="002C6E18">
      <w:pPr>
        <w:spacing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w:t>
      </w:r>
      <w:r>
        <w:rPr>
          <w:rFonts w:hint="eastAsia"/>
          <w:bCs/>
          <w:sz w:val="24"/>
        </w:rPr>
        <w:t>1,019,490-5,072.09</w:t>
      </w:r>
      <w:r>
        <w:rPr>
          <w:rFonts w:hint="eastAsia"/>
          <w:bCs/>
          <w:sz w:val="24"/>
        </w:rPr>
        <w:t>）</w:t>
      </w:r>
      <w:r>
        <w:rPr>
          <w:rFonts w:hint="eastAsia"/>
          <w:bCs/>
          <w:sz w:val="24"/>
        </w:rPr>
        <w:t>/1.010=1,004,374.17</w:t>
      </w:r>
      <w:r>
        <w:rPr>
          <w:rFonts w:hint="eastAsia"/>
          <w:bCs/>
          <w:sz w:val="24"/>
        </w:rPr>
        <w:t>份</w:t>
      </w:r>
    </w:p>
    <w:p w:rsidR="00783788" w:rsidRDefault="002C6E18">
      <w:pPr>
        <w:spacing w:line="360" w:lineRule="auto"/>
        <w:ind w:firstLineChars="200" w:firstLine="480"/>
        <w:rPr>
          <w:bCs/>
          <w:sz w:val="24"/>
        </w:rPr>
      </w:pPr>
      <w:r>
        <w:rPr>
          <w:rFonts w:hint="eastAsia"/>
          <w:bCs/>
          <w:sz w:val="24"/>
        </w:rPr>
        <w:t>例三：某投资者持有交银增利</w:t>
      </w:r>
      <w:r>
        <w:rPr>
          <w:rFonts w:hint="eastAsia"/>
          <w:bCs/>
          <w:sz w:val="24"/>
        </w:rPr>
        <w:t xml:space="preserve">C </w:t>
      </w:r>
      <w:r>
        <w:rPr>
          <w:rFonts w:hint="eastAsia"/>
          <w:bCs/>
          <w:sz w:val="24"/>
        </w:rPr>
        <w:t>类基金份额</w:t>
      </w:r>
      <w:r>
        <w:rPr>
          <w:rFonts w:hint="eastAsia"/>
          <w:bCs/>
          <w:sz w:val="24"/>
        </w:rPr>
        <w:t>100,000</w:t>
      </w:r>
      <w:r>
        <w:rPr>
          <w:rFonts w:hint="eastAsia"/>
          <w:bCs/>
          <w:sz w:val="24"/>
        </w:rPr>
        <w:t>份，转换申请当日交银增利</w:t>
      </w:r>
      <w:r>
        <w:rPr>
          <w:rFonts w:hint="eastAsia"/>
          <w:bCs/>
          <w:sz w:val="24"/>
        </w:rPr>
        <w:t>C</w:t>
      </w:r>
      <w:r>
        <w:rPr>
          <w:rFonts w:hint="eastAsia"/>
          <w:bCs/>
          <w:sz w:val="24"/>
        </w:rPr>
        <w:t>类基金份额净值为</w:t>
      </w:r>
      <w:r>
        <w:rPr>
          <w:rFonts w:hint="eastAsia"/>
          <w:bCs/>
          <w:sz w:val="24"/>
        </w:rPr>
        <w:t>1.2500</w:t>
      </w:r>
      <w:r>
        <w:rPr>
          <w:rFonts w:hint="eastAsia"/>
          <w:bCs/>
          <w:sz w:val="24"/>
        </w:rPr>
        <w:t>元，交银精选的基金份额净值为</w:t>
      </w:r>
      <w:r>
        <w:rPr>
          <w:rFonts w:hint="eastAsia"/>
          <w:bCs/>
          <w:sz w:val="24"/>
        </w:rPr>
        <w:t>2.2700</w:t>
      </w:r>
      <w:r>
        <w:rPr>
          <w:rFonts w:hint="eastAsia"/>
          <w:bCs/>
          <w:sz w:val="24"/>
        </w:rPr>
        <w:t>元。若该投资者将</w:t>
      </w:r>
      <w:r>
        <w:rPr>
          <w:rFonts w:hint="eastAsia"/>
          <w:bCs/>
          <w:sz w:val="24"/>
        </w:rPr>
        <w:t>100,000</w:t>
      </w:r>
      <w:r>
        <w:rPr>
          <w:rFonts w:hint="eastAsia"/>
          <w:bCs/>
          <w:sz w:val="24"/>
        </w:rPr>
        <w:t>份交银增利</w:t>
      </w:r>
      <w:r>
        <w:rPr>
          <w:rFonts w:hint="eastAsia"/>
          <w:bCs/>
          <w:sz w:val="24"/>
        </w:rPr>
        <w:t>C</w:t>
      </w:r>
      <w:r>
        <w:rPr>
          <w:rFonts w:hint="eastAsia"/>
          <w:bCs/>
          <w:sz w:val="24"/>
        </w:rPr>
        <w:t>类基金份额转换为交银精选前端基金份额（非网上交易），则转入交银精选确认的基金份额为：</w:t>
      </w:r>
    </w:p>
    <w:p w:rsidR="00783788" w:rsidRDefault="002C6E18">
      <w:pPr>
        <w:spacing w:line="360" w:lineRule="auto"/>
        <w:ind w:firstLineChars="200" w:firstLine="480"/>
        <w:rPr>
          <w:bCs/>
          <w:sz w:val="24"/>
        </w:rPr>
      </w:pPr>
      <w:r>
        <w:rPr>
          <w:rFonts w:hint="eastAsia"/>
          <w:bCs/>
          <w:sz w:val="24"/>
        </w:rPr>
        <w:t>转出确认金额</w:t>
      </w:r>
      <w:r>
        <w:rPr>
          <w:rFonts w:hint="eastAsia"/>
          <w:bCs/>
          <w:sz w:val="24"/>
        </w:rPr>
        <w:t>=100,000</w:t>
      </w:r>
      <w:r>
        <w:rPr>
          <w:rFonts w:hint="eastAsia"/>
          <w:bCs/>
          <w:sz w:val="24"/>
        </w:rPr>
        <w:t>×</w:t>
      </w:r>
      <w:r>
        <w:rPr>
          <w:rFonts w:hint="eastAsia"/>
          <w:bCs/>
          <w:sz w:val="24"/>
        </w:rPr>
        <w:t>1.2500=125,000</w:t>
      </w:r>
      <w:r>
        <w:rPr>
          <w:rFonts w:hint="eastAsia"/>
          <w:bCs/>
          <w:sz w:val="24"/>
        </w:rPr>
        <w:t>元</w:t>
      </w:r>
    </w:p>
    <w:p w:rsidR="00783788" w:rsidRDefault="002C6E18">
      <w:pPr>
        <w:spacing w:line="360" w:lineRule="auto"/>
        <w:ind w:firstLineChars="200" w:firstLine="480"/>
        <w:rPr>
          <w:bCs/>
          <w:sz w:val="24"/>
        </w:rPr>
      </w:pPr>
      <w:r>
        <w:rPr>
          <w:rFonts w:hint="eastAsia"/>
          <w:bCs/>
          <w:sz w:val="24"/>
        </w:rPr>
        <w:t>转出基金的赎回费</w:t>
      </w:r>
      <w:r>
        <w:rPr>
          <w:rFonts w:hint="eastAsia"/>
          <w:bCs/>
          <w:sz w:val="24"/>
        </w:rPr>
        <w:t>=0</w:t>
      </w:r>
      <w:r>
        <w:rPr>
          <w:rFonts w:hint="eastAsia"/>
          <w:bCs/>
          <w:sz w:val="24"/>
        </w:rPr>
        <w:t>元</w:t>
      </w:r>
    </w:p>
    <w:p w:rsidR="00783788" w:rsidRDefault="002C6E18">
      <w:pPr>
        <w:spacing w:line="360" w:lineRule="auto"/>
        <w:ind w:firstLineChars="200" w:firstLine="480"/>
        <w:rPr>
          <w:bCs/>
          <w:sz w:val="24"/>
        </w:rPr>
      </w:pPr>
      <w:r>
        <w:rPr>
          <w:rFonts w:hint="eastAsia"/>
          <w:bCs/>
          <w:sz w:val="24"/>
        </w:rPr>
        <w:t>转入确认金额</w:t>
      </w:r>
      <w:r>
        <w:rPr>
          <w:rFonts w:hint="eastAsia"/>
          <w:bCs/>
          <w:sz w:val="24"/>
        </w:rPr>
        <w:t>=125,000-0=125,000</w:t>
      </w:r>
      <w:r>
        <w:rPr>
          <w:rFonts w:hint="eastAsia"/>
          <w:bCs/>
          <w:sz w:val="24"/>
        </w:rPr>
        <w:t>元</w:t>
      </w:r>
    </w:p>
    <w:p w:rsidR="00783788" w:rsidRDefault="002C6E18">
      <w:pPr>
        <w:spacing w:line="360" w:lineRule="auto"/>
        <w:ind w:firstLineChars="200" w:firstLine="480"/>
        <w:rPr>
          <w:bCs/>
          <w:sz w:val="24"/>
        </w:rPr>
      </w:pPr>
      <w:r>
        <w:rPr>
          <w:rFonts w:hint="eastAsia"/>
          <w:bCs/>
          <w:sz w:val="24"/>
        </w:rPr>
        <w:t>转出与转入基金的申购补差费</w:t>
      </w:r>
      <w:r>
        <w:rPr>
          <w:rFonts w:hint="eastAsia"/>
          <w:bCs/>
          <w:sz w:val="24"/>
        </w:rPr>
        <w:t>=125,000</w:t>
      </w:r>
      <w:r>
        <w:rPr>
          <w:rFonts w:hint="eastAsia"/>
          <w:bCs/>
          <w:sz w:val="24"/>
        </w:rPr>
        <w:t>×</w:t>
      </w:r>
      <w:r>
        <w:rPr>
          <w:rFonts w:hint="eastAsia"/>
          <w:bCs/>
          <w:sz w:val="24"/>
        </w:rPr>
        <w:t>1.5%/</w:t>
      </w:r>
      <w:r>
        <w:rPr>
          <w:rFonts w:hint="eastAsia"/>
          <w:bCs/>
          <w:sz w:val="24"/>
        </w:rPr>
        <w:t>（</w:t>
      </w:r>
      <w:r>
        <w:rPr>
          <w:rFonts w:hint="eastAsia"/>
          <w:bCs/>
          <w:sz w:val="24"/>
        </w:rPr>
        <w:t>1+1.5%</w:t>
      </w:r>
      <w:r>
        <w:rPr>
          <w:rFonts w:hint="eastAsia"/>
          <w:bCs/>
          <w:sz w:val="24"/>
        </w:rPr>
        <w:t>）</w:t>
      </w:r>
      <w:r>
        <w:rPr>
          <w:rFonts w:hint="eastAsia"/>
          <w:bCs/>
          <w:sz w:val="24"/>
        </w:rPr>
        <w:t>=1,847.29</w:t>
      </w:r>
      <w:r>
        <w:rPr>
          <w:rFonts w:hint="eastAsia"/>
          <w:bCs/>
          <w:sz w:val="24"/>
        </w:rPr>
        <w:t>元</w:t>
      </w:r>
    </w:p>
    <w:p w:rsidR="00783788" w:rsidRDefault="002C6E18">
      <w:pPr>
        <w:spacing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w:t>
      </w:r>
      <w:r>
        <w:rPr>
          <w:rFonts w:hint="eastAsia"/>
          <w:bCs/>
          <w:sz w:val="24"/>
        </w:rPr>
        <w:t>125,000-1,847.29</w:t>
      </w:r>
      <w:r>
        <w:rPr>
          <w:rFonts w:hint="eastAsia"/>
          <w:bCs/>
          <w:sz w:val="24"/>
        </w:rPr>
        <w:t>）</w:t>
      </w:r>
      <w:r>
        <w:rPr>
          <w:rFonts w:hint="eastAsia"/>
          <w:bCs/>
          <w:sz w:val="24"/>
        </w:rPr>
        <w:t>/2.2700=54,252.30</w:t>
      </w:r>
      <w:r>
        <w:rPr>
          <w:rFonts w:hint="eastAsia"/>
          <w:bCs/>
          <w:sz w:val="24"/>
        </w:rPr>
        <w:t>份</w:t>
      </w:r>
    </w:p>
    <w:p w:rsidR="00783788" w:rsidRDefault="002C6E18">
      <w:pPr>
        <w:spacing w:line="360" w:lineRule="auto"/>
        <w:ind w:firstLineChars="200" w:firstLine="480"/>
        <w:rPr>
          <w:bCs/>
          <w:sz w:val="24"/>
        </w:rPr>
      </w:pPr>
      <w:r>
        <w:rPr>
          <w:rFonts w:hint="eastAsia"/>
          <w:bCs/>
          <w:sz w:val="24"/>
        </w:rPr>
        <w:t>例四：某投资者持有交银货币</w:t>
      </w:r>
      <w:r>
        <w:rPr>
          <w:rFonts w:hint="eastAsia"/>
          <w:bCs/>
          <w:sz w:val="24"/>
        </w:rPr>
        <w:t>A</w:t>
      </w:r>
      <w:r>
        <w:rPr>
          <w:rFonts w:hint="eastAsia"/>
          <w:bCs/>
          <w:sz w:val="24"/>
        </w:rPr>
        <w:t>级基金份额</w:t>
      </w:r>
      <w:r>
        <w:rPr>
          <w:rFonts w:hint="eastAsia"/>
          <w:bCs/>
          <w:sz w:val="24"/>
        </w:rPr>
        <w:t>100,000</w:t>
      </w:r>
      <w:r>
        <w:rPr>
          <w:rFonts w:hint="eastAsia"/>
          <w:bCs/>
          <w:sz w:val="24"/>
        </w:rPr>
        <w:t>份，该</w:t>
      </w:r>
      <w:r>
        <w:rPr>
          <w:rFonts w:hint="eastAsia"/>
          <w:bCs/>
          <w:sz w:val="24"/>
        </w:rPr>
        <w:t>100,000</w:t>
      </w:r>
      <w:r>
        <w:rPr>
          <w:rFonts w:hint="eastAsia"/>
          <w:bCs/>
          <w:sz w:val="24"/>
        </w:rPr>
        <w:t>份基金份额未结转的待支付收益为</w:t>
      </w:r>
      <w:r>
        <w:rPr>
          <w:rFonts w:hint="eastAsia"/>
          <w:bCs/>
          <w:sz w:val="24"/>
        </w:rPr>
        <w:t>61.52</w:t>
      </w:r>
      <w:r>
        <w:rPr>
          <w:rFonts w:hint="eastAsia"/>
          <w:bCs/>
          <w:sz w:val="24"/>
        </w:rPr>
        <w:t>元，转换申请当日交银增利</w:t>
      </w:r>
      <w:r>
        <w:rPr>
          <w:rFonts w:hint="eastAsia"/>
          <w:bCs/>
          <w:sz w:val="24"/>
        </w:rPr>
        <w:t>A/B</w:t>
      </w:r>
      <w:r>
        <w:rPr>
          <w:rFonts w:hint="eastAsia"/>
          <w:bCs/>
          <w:sz w:val="24"/>
        </w:rPr>
        <w:t>类基金份额净值为</w:t>
      </w:r>
      <w:r>
        <w:rPr>
          <w:rFonts w:hint="eastAsia"/>
          <w:bCs/>
          <w:sz w:val="24"/>
        </w:rPr>
        <w:t>1.2700</w:t>
      </w:r>
      <w:r>
        <w:rPr>
          <w:rFonts w:hint="eastAsia"/>
          <w:bCs/>
          <w:sz w:val="24"/>
        </w:rPr>
        <w:t>元，交银货币的基金份额净值为</w:t>
      </w:r>
      <w:r>
        <w:rPr>
          <w:rFonts w:hint="eastAsia"/>
          <w:bCs/>
          <w:sz w:val="24"/>
        </w:rPr>
        <w:t>1.00</w:t>
      </w:r>
      <w:r>
        <w:rPr>
          <w:rFonts w:hint="eastAsia"/>
          <w:bCs/>
          <w:sz w:val="24"/>
        </w:rPr>
        <w:t>元。若该投资者将</w:t>
      </w:r>
      <w:r>
        <w:rPr>
          <w:rFonts w:hint="eastAsia"/>
          <w:bCs/>
          <w:sz w:val="24"/>
        </w:rPr>
        <w:t>100,000</w:t>
      </w:r>
      <w:r>
        <w:rPr>
          <w:rFonts w:hint="eastAsia"/>
          <w:bCs/>
          <w:sz w:val="24"/>
        </w:rPr>
        <w:t>份交银货币</w:t>
      </w:r>
      <w:r>
        <w:rPr>
          <w:rFonts w:hint="eastAsia"/>
          <w:bCs/>
          <w:sz w:val="24"/>
        </w:rPr>
        <w:t>A</w:t>
      </w:r>
      <w:r>
        <w:rPr>
          <w:rFonts w:hint="eastAsia"/>
          <w:bCs/>
          <w:sz w:val="24"/>
        </w:rPr>
        <w:t>级基金份额转换为交银增利</w:t>
      </w:r>
      <w:r>
        <w:rPr>
          <w:rFonts w:hint="eastAsia"/>
          <w:bCs/>
          <w:sz w:val="24"/>
        </w:rPr>
        <w:t>A</w:t>
      </w:r>
      <w:r>
        <w:rPr>
          <w:rFonts w:hint="eastAsia"/>
          <w:bCs/>
          <w:sz w:val="24"/>
        </w:rPr>
        <w:t>类基金份额（非网上交易），则转入确认的交银增利</w:t>
      </w:r>
      <w:r>
        <w:rPr>
          <w:rFonts w:hint="eastAsia"/>
          <w:bCs/>
          <w:sz w:val="24"/>
        </w:rPr>
        <w:t>A</w:t>
      </w:r>
      <w:r>
        <w:rPr>
          <w:rFonts w:hint="eastAsia"/>
          <w:bCs/>
          <w:sz w:val="24"/>
        </w:rPr>
        <w:t>类基金份额为：</w:t>
      </w:r>
    </w:p>
    <w:p w:rsidR="00783788" w:rsidRDefault="002C6E18">
      <w:pPr>
        <w:spacing w:line="360" w:lineRule="auto"/>
        <w:ind w:firstLineChars="200" w:firstLine="480"/>
        <w:rPr>
          <w:bCs/>
          <w:sz w:val="24"/>
        </w:rPr>
      </w:pPr>
      <w:r>
        <w:rPr>
          <w:rFonts w:hint="eastAsia"/>
          <w:bCs/>
          <w:sz w:val="24"/>
        </w:rPr>
        <w:t>转出确认金额</w:t>
      </w:r>
      <w:r>
        <w:rPr>
          <w:rFonts w:hint="eastAsia"/>
          <w:bCs/>
          <w:sz w:val="24"/>
        </w:rPr>
        <w:t>=100,000</w:t>
      </w:r>
      <w:r>
        <w:rPr>
          <w:rFonts w:hint="eastAsia"/>
          <w:bCs/>
          <w:sz w:val="24"/>
        </w:rPr>
        <w:t>×</w:t>
      </w:r>
      <w:r>
        <w:rPr>
          <w:rFonts w:hint="eastAsia"/>
          <w:bCs/>
          <w:sz w:val="24"/>
        </w:rPr>
        <w:t>1.00=100,000</w:t>
      </w:r>
      <w:r>
        <w:rPr>
          <w:rFonts w:hint="eastAsia"/>
          <w:bCs/>
          <w:sz w:val="24"/>
        </w:rPr>
        <w:t>元</w:t>
      </w:r>
    </w:p>
    <w:p w:rsidR="00783788" w:rsidRDefault="002C6E18">
      <w:pPr>
        <w:spacing w:line="360" w:lineRule="auto"/>
        <w:ind w:firstLineChars="200" w:firstLine="480"/>
        <w:rPr>
          <w:bCs/>
          <w:sz w:val="24"/>
        </w:rPr>
      </w:pPr>
      <w:r>
        <w:rPr>
          <w:rFonts w:hint="eastAsia"/>
          <w:bCs/>
          <w:sz w:val="24"/>
        </w:rPr>
        <w:t>转出基金的赎回费</w:t>
      </w:r>
      <w:r>
        <w:rPr>
          <w:rFonts w:hint="eastAsia"/>
          <w:bCs/>
          <w:sz w:val="24"/>
        </w:rPr>
        <w:t>=0</w:t>
      </w:r>
      <w:r>
        <w:rPr>
          <w:rFonts w:hint="eastAsia"/>
          <w:bCs/>
          <w:sz w:val="24"/>
        </w:rPr>
        <w:t>元</w:t>
      </w:r>
    </w:p>
    <w:p w:rsidR="00783788" w:rsidRDefault="002C6E18">
      <w:pPr>
        <w:spacing w:line="360" w:lineRule="auto"/>
        <w:ind w:firstLineChars="200" w:firstLine="480"/>
        <w:rPr>
          <w:bCs/>
          <w:sz w:val="24"/>
        </w:rPr>
      </w:pPr>
      <w:r>
        <w:rPr>
          <w:rFonts w:hint="eastAsia"/>
          <w:bCs/>
          <w:sz w:val="24"/>
        </w:rPr>
        <w:t>转入确认金额</w:t>
      </w:r>
      <w:r>
        <w:rPr>
          <w:rFonts w:hint="eastAsia"/>
          <w:bCs/>
          <w:sz w:val="24"/>
        </w:rPr>
        <w:t>=100,000-0=100,000</w:t>
      </w:r>
      <w:r>
        <w:rPr>
          <w:rFonts w:hint="eastAsia"/>
          <w:bCs/>
          <w:sz w:val="24"/>
        </w:rPr>
        <w:t>元</w:t>
      </w:r>
    </w:p>
    <w:p w:rsidR="00783788" w:rsidRDefault="002C6E18">
      <w:pPr>
        <w:spacing w:line="360" w:lineRule="auto"/>
        <w:ind w:firstLineChars="200" w:firstLine="480"/>
        <w:rPr>
          <w:bCs/>
          <w:sz w:val="24"/>
        </w:rPr>
      </w:pPr>
      <w:r>
        <w:rPr>
          <w:rFonts w:hint="eastAsia"/>
          <w:bCs/>
          <w:sz w:val="24"/>
        </w:rPr>
        <w:t>转出与转入基金的申购补差费</w:t>
      </w:r>
      <w:r>
        <w:rPr>
          <w:rFonts w:hint="eastAsia"/>
          <w:bCs/>
          <w:sz w:val="24"/>
        </w:rPr>
        <w:t>=100,000</w:t>
      </w:r>
      <w:r>
        <w:rPr>
          <w:rFonts w:hint="eastAsia"/>
          <w:bCs/>
          <w:sz w:val="24"/>
        </w:rPr>
        <w:t>×</w:t>
      </w:r>
      <w:r>
        <w:rPr>
          <w:rFonts w:hint="eastAsia"/>
          <w:bCs/>
          <w:sz w:val="24"/>
        </w:rPr>
        <w:t>0.8%/</w:t>
      </w:r>
      <w:r>
        <w:rPr>
          <w:rFonts w:hint="eastAsia"/>
          <w:bCs/>
          <w:sz w:val="24"/>
        </w:rPr>
        <w:t>（</w:t>
      </w:r>
      <w:r>
        <w:rPr>
          <w:rFonts w:hint="eastAsia"/>
          <w:bCs/>
          <w:sz w:val="24"/>
        </w:rPr>
        <w:t>1+0.8%</w:t>
      </w:r>
      <w:r>
        <w:rPr>
          <w:rFonts w:hint="eastAsia"/>
          <w:bCs/>
          <w:sz w:val="24"/>
        </w:rPr>
        <w:t>）</w:t>
      </w:r>
      <w:r>
        <w:rPr>
          <w:rFonts w:hint="eastAsia"/>
          <w:bCs/>
          <w:sz w:val="24"/>
        </w:rPr>
        <w:t>=793.65</w:t>
      </w:r>
      <w:r>
        <w:rPr>
          <w:rFonts w:hint="eastAsia"/>
          <w:bCs/>
          <w:sz w:val="24"/>
        </w:rPr>
        <w:t>元</w:t>
      </w:r>
    </w:p>
    <w:p w:rsidR="00783788" w:rsidRDefault="002C6E18">
      <w:pPr>
        <w:spacing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w:t>
      </w:r>
      <w:r>
        <w:rPr>
          <w:rFonts w:hint="eastAsia"/>
          <w:bCs/>
          <w:sz w:val="24"/>
        </w:rPr>
        <w:t>100,000-793.65+61.52</w:t>
      </w:r>
      <w:r>
        <w:rPr>
          <w:rFonts w:hint="eastAsia"/>
          <w:bCs/>
          <w:sz w:val="24"/>
        </w:rPr>
        <w:t>）</w:t>
      </w:r>
      <w:r>
        <w:rPr>
          <w:rFonts w:hint="eastAsia"/>
          <w:bCs/>
          <w:sz w:val="24"/>
        </w:rPr>
        <w:t>/1.2700=78,163.68</w:t>
      </w:r>
      <w:r>
        <w:rPr>
          <w:rFonts w:hint="eastAsia"/>
          <w:bCs/>
          <w:sz w:val="24"/>
        </w:rPr>
        <w:t>份</w:t>
      </w:r>
    </w:p>
    <w:p w:rsidR="00783788" w:rsidRDefault="002C6E18">
      <w:pPr>
        <w:spacing w:line="360" w:lineRule="auto"/>
        <w:ind w:firstLineChars="200" w:firstLine="480"/>
        <w:rPr>
          <w:bCs/>
          <w:sz w:val="24"/>
        </w:rPr>
      </w:pPr>
      <w:r>
        <w:rPr>
          <w:rFonts w:hint="eastAsia"/>
          <w:bCs/>
          <w:sz w:val="24"/>
        </w:rPr>
        <w:t>2</w:t>
      </w:r>
      <w:r>
        <w:rPr>
          <w:rFonts w:hint="eastAsia"/>
          <w:bCs/>
          <w:sz w:val="24"/>
        </w:rPr>
        <w:t>、后端收费模式下基金转换份额的计算公式及举例</w:t>
      </w:r>
    </w:p>
    <w:p w:rsidR="00783788" w:rsidRDefault="002C6E18">
      <w:pPr>
        <w:spacing w:line="360" w:lineRule="auto"/>
        <w:ind w:firstLineChars="200" w:firstLine="480"/>
        <w:rPr>
          <w:bCs/>
          <w:sz w:val="24"/>
        </w:rPr>
      </w:pPr>
      <w:r>
        <w:rPr>
          <w:rFonts w:hint="eastAsia"/>
          <w:bCs/>
          <w:sz w:val="24"/>
        </w:rPr>
        <w:t>转出确认金额</w:t>
      </w:r>
      <w:r>
        <w:rPr>
          <w:rFonts w:hint="eastAsia"/>
          <w:bCs/>
          <w:sz w:val="24"/>
        </w:rPr>
        <w:t>=</w:t>
      </w:r>
      <w:r>
        <w:rPr>
          <w:rFonts w:hint="eastAsia"/>
          <w:bCs/>
          <w:sz w:val="24"/>
        </w:rPr>
        <w:t>转出的基金份额×转换申请当日转出基金的基金份额净值</w:t>
      </w:r>
    </w:p>
    <w:p w:rsidR="00783788" w:rsidRDefault="002C6E18">
      <w:pPr>
        <w:spacing w:line="360" w:lineRule="auto"/>
        <w:ind w:firstLineChars="200" w:firstLine="480"/>
        <w:rPr>
          <w:bCs/>
          <w:sz w:val="24"/>
        </w:rPr>
      </w:pPr>
      <w:r>
        <w:rPr>
          <w:rFonts w:hint="eastAsia"/>
          <w:bCs/>
          <w:sz w:val="24"/>
        </w:rPr>
        <w:t>转出基金的赎回费</w:t>
      </w:r>
      <w:r>
        <w:rPr>
          <w:rFonts w:hint="eastAsia"/>
          <w:bCs/>
          <w:sz w:val="24"/>
        </w:rPr>
        <w:t>=</w:t>
      </w:r>
      <w:r>
        <w:rPr>
          <w:rFonts w:hint="eastAsia"/>
          <w:bCs/>
          <w:sz w:val="24"/>
        </w:rPr>
        <w:t>转出确认金额×对应的转出基金的赎回费率</w:t>
      </w:r>
    </w:p>
    <w:p w:rsidR="00783788" w:rsidRDefault="002C6E18">
      <w:pPr>
        <w:spacing w:line="360" w:lineRule="auto"/>
        <w:ind w:firstLineChars="200" w:firstLine="480"/>
        <w:rPr>
          <w:bCs/>
          <w:sz w:val="24"/>
        </w:rPr>
      </w:pPr>
      <w:r>
        <w:rPr>
          <w:rFonts w:hint="eastAsia"/>
          <w:bCs/>
          <w:sz w:val="24"/>
        </w:rPr>
        <w:t>转入确认金额</w:t>
      </w:r>
      <w:r>
        <w:rPr>
          <w:rFonts w:hint="eastAsia"/>
          <w:bCs/>
          <w:sz w:val="24"/>
        </w:rPr>
        <w:t>=</w:t>
      </w:r>
      <w:r>
        <w:rPr>
          <w:rFonts w:hint="eastAsia"/>
          <w:bCs/>
          <w:sz w:val="24"/>
        </w:rPr>
        <w:t>转出确认金额</w:t>
      </w:r>
      <w:r>
        <w:rPr>
          <w:rFonts w:hint="eastAsia"/>
          <w:bCs/>
          <w:sz w:val="24"/>
        </w:rPr>
        <w:t>-</w:t>
      </w:r>
      <w:r>
        <w:rPr>
          <w:rFonts w:hint="eastAsia"/>
          <w:bCs/>
          <w:sz w:val="24"/>
        </w:rPr>
        <w:t>转出基金的赎回费</w:t>
      </w:r>
    </w:p>
    <w:p w:rsidR="00783788" w:rsidRDefault="002C6E18">
      <w:pPr>
        <w:spacing w:line="360" w:lineRule="auto"/>
        <w:ind w:firstLineChars="200" w:firstLine="480"/>
        <w:rPr>
          <w:bCs/>
          <w:sz w:val="24"/>
        </w:rPr>
      </w:pPr>
      <w:r>
        <w:rPr>
          <w:rFonts w:hint="eastAsia"/>
          <w:bCs/>
          <w:sz w:val="24"/>
        </w:rPr>
        <w:t>转出与转入基金的申购补差费</w:t>
      </w:r>
      <w:r>
        <w:rPr>
          <w:rFonts w:hint="eastAsia"/>
          <w:bCs/>
          <w:sz w:val="24"/>
        </w:rPr>
        <w:t>=</w:t>
      </w:r>
      <w:r>
        <w:rPr>
          <w:rFonts w:hint="eastAsia"/>
          <w:bCs/>
          <w:sz w:val="24"/>
        </w:rPr>
        <w:t>转入确认金额×对应的转出与转入基金的申购补差费率</w:t>
      </w:r>
    </w:p>
    <w:p w:rsidR="00783788" w:rsidRDefault="002C6E18">
      <w:pPr>
        <w:spacing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（转入确认金额</w:t>
      </w:r>
      <w:r>
        <w:rPr>
          <w:rFonts w:hint="eastAsia"/>
          <w:bCs/>
          <w:sz w:val="24"/>
        </w:rPr>
        <w:t>-</w:t>
      </w:r>
      <w:r>
        <w:rPr>
          <w:rFonts w:hint="eastAsia"/>
          <w:bCs/>
          <w:sz w:val="24"/>
        </w:rPr>
        <w:t>转出与转入基金的申购补差费</w:t>
      </w:r>
      <w:r>
        <w:rPr>
          <w:rFonts w:hint="eastAsia"/>
          <w:bCs/>
          <w:sz w:val="24"/>
        </w:rPr>
        <w:t>+A</w:t>
      </w:r>
      <w:r>
        <w:rPr>
          <w:rFonts w:hint="eastAsia"/>
          <w:bCs/>
          <w:sz w:val="24"/>
        </w:rPr>
        <w:t>）</w:t>
      </w:r>
      <w:r>
        <w:rPr>
          <w:rFonts w:hint="eastAsia"/>
          <w:bCs/>
          <w:sz w:val="24"/>
        </w:rPr>
        <w:t>/</w:t>
      </w:r>
      <w:r>
        <w:rPr>
          <w:rFonts w:hint="eastAsia"/>
          <w:bCs/>
          <w:sz w:val="24"/>
        </w:rPr>
        <w:t>转换申请当日转入基金的基金份额净值</w:t>
      </w:r>
    </w:p>
    <w:p w:rsidR="00783788" w:rsidRDefault="002C6E18">
      <w:pPr>
        <w:spacing w:line="360" w:lineRule="auto"/>
        <w:ind w:firstLineChars="200" w:firstLine="480"/>
        <w:rPr>
          <w:bCs/>
          <w:sz w:val="24"/>
        </w:rPr>
      </w:pPr>
      <w:r>
        <w:rPr>
          <w:rFonts w:hint="eastAsia"/>
          <w:bCs/>
          <w:sz w:val="24"/>
        </w:rPr>
        <w:t>其中：</w:t>
      </w:r>
    </w:p>
    <w:p w:rsidR="00783788" w:rsidRDefault="002C6E18">
      <w:pPr>
        <w:spacing w:line="360" w:lineRule="auto"/>
        <w:ind w:firstLineChars="200" w:firstLine="480"/>
        <w:rPr>
          <w:bCs/>
          <w:sz w:val="24"/>
        </w:rPr>
      </w:pPr>
      <w:r>
        <w:rPr>
          <w:rFonts w:hint="eastAsia"/>
          <w:bCs/>
          <w:sz w:val="24"/>
        </w:rPr>
        <w:t>A</w:t>
      </w:r>
      <w:r>
        <w:rPr>
          <w:rFonts w:hint="eastAsia"/>
          <w:bCs/>
          <w:sz w:val="24"/>
        </w:rPr>
        <w:t>为货币市场基金转出的基金份额按比例结转的账户当前累计待支付收益（仅限转出基金为货币市场基金的情形，否则</w:t>
      </w:r>
      <w:r>
        <w:rPr>
          <w:rFonts w:hint="eastAsia"/>
          <w:bCs/>
          <w:sz w:val="24"/>
        </w:rPr>
        <w:t>A</w:t>
      </w:r>
      <w:r>
        <w:rPr>
          <w:rFonts w:hint="eastAsia"/>
          <w:bCs/>
          <w:sz w:val="24"/>
        </w:rPr>
        <w:t>为</w:t>
      </w:r>
      <w:r>
        <w:rPr>
          <w:rFonts w:hint="eastAsia"/>
          <w:bCs/>
          <w:sz w:val="24"/>
        </w:rPr>
        <w:t>0</w:t>
      </w:r>
      <w:r>
        <w:rPr>
          <w:rFonts w:hint="eastAsia"/>
          <w:bCs/>
          <w:sz w:val="24"/>
        </w:rPr>
        <w:t>）。</w:t>
      </w:r>
    </w:p>
    <w:p w:rsidR="00783788" w:rsidRDefault="002C6E18">
      <w:pPr>
        <w:spacing w:line="360" w:lineRule="auto"/>
        <w:ind w:firstLineChars="200" w:firstLine="480"/>
        <w:rPr>
          <w:bCs/>
          <w:sz w:val="24"/>
        </w:rPr>
      </w:pPr>
      <w:r>
        <w:rPr>
          <w:rFonts w:hint="eastAsia"/>
          <w:bCs/>
          <w:sz w:val="24"/>
        </w:rPr>
        <w:t>转入基金确认份额的计算精确到小数点后两位，小数点后两位以后的部分四舍五入，误差部分归基金财产。</w:t>
      </w:r>
    </w:p>
    <w:p w:rsidR="00783788" w:rsidRDefault="002C6E18">
      <w:pPr>
        <w:spacing w:line="360" w:lineRule="auto"/>
        <w:ind w:firstLineChars="200" w:firstLine="480"/>
        <w:rPr>
          <w:bCs/>
          <w:sz w:val="24"/>
        </w:rPr>
      </w:pPr>
      <w:r>
        <w:rPr>
          <w:rFonts w:hint="eastAsia"/>
          <w:bCs/>
          <w:sz w:val="24"/>
        </w:rPr>
        <w:t>例五：某投资者持有交银主题后端收费模式的基金份额</w:t>
      </w:r>
      <w:r>
        <w:rPr>
          <w:rFonts w:hint="eastAsia"/>
          <w:bCs/>
          <w:sz w:val="24"/>
        </w:rPr>
        <w:t>100,000</w:t>
      </w:r>
      <w:r>
        <w:rPr>
          <w:rFonts w:hint="eastAsia"/>
          <w:bCs/>
          <w:sz w:val="24"/>
        </w:rPr>
        <w:t>份，持有期一年半，转换申请当日交银主题的基金份额净值为</w:t>
      </w:r>
      <w:r>
        <w:rPr>
          <w:rFonts w:hint="eastAsia"/>
          <w:bCs/>
          <w:sz w:val="24"/>
        </w:rPr>
        <w:t>1.2500</w:t>
      </w:r>
      <w:r>
        <w:rPr>
          <w:rFonts w:hint="eastAsia"/>
          <w:bCs/>
          <w:sz w:val="24"/>
        </w:rPr>
        <w:t>元，交银稳健的基金份额净值为</w:t>
      </w:r>
      <w:r>
        <w:rPr>
          <w:rFonts w:hint="eastAsia"/>
          <w:bCs/>
          <w:sz w:val="24"/>
        </w:rPr>
        <w:t>2.2700</w:t>
      </w:r>
      <w:r>
        <w:rPr>
          <w:rFonts w:hint="eastAsia"/>
          <w:bCs/>
          <w:sz w:val="24"/>
        </w:rPr>
        <w:t>元。若该投资者将</w:t>
      </w:r>
      <w:r>
        <w:rPr>
          <w:rFonts w:hint="eastAsia"/>
          <w:bCs/>
          <w:sz w:val="24"/>
        </w:rPr>
        <w:t>100,000</w:t>
      </w:r>
      <w:r>
        <w:rPr>
          <w:rFonts w:hint="eastAsia"/>
          <w:bCs/>
          <w:sz w:val="24"/>
        </w:rPr>
        <w:t>份交银主题后端基金份额转换为交银稳健后端基金份额，则转入交银稳健确认的基金份额为：</w:t>
      </w:r>
    </w:p>
    <w:p w:rsidR="00783788" w:rsidRDefault="002C6E18">
      <w:pPr>
        <w:spacing w:line="360" w:lineRule="auto"/>
        <w:ind w:firstLineChars="200" w:firstLine="480"/>
        <w:rPr>
          <w:bCs/>
          <w:sz w:val="24"/>
        </w:rPr>
      </w:pPr>
      <w:r>
        <w:rPr>
          <w:rFonts w:hint="eastAsia"/>
          <w:bCs/>
          <w:sz w:val="24"/>
        </w:rPr>
        <w:t>转出确认金额</w:t>
      </w:r>
      <w:r>
        <w:rPr>
          <w:rFonts w:hint="eastAsia"/>
          <w:bCs/>
          <w:sz w:val="24"/>
        </w:rPr>
        <w:t>=100,000</w:t>
      </w:r>
      <w:r>
        <w:rPr>
          <w:rFonts w:hint="eastAsia"/>
          <w:bCs/>
          <w:sz w:val="24"/>
        </w:rPr>
        <w:t>×</w:t>
      </w:r>
      <w:r>
        <w:rPr>
          <w:rFonts w:hint="eastAsia"/>
          <w:bCs/>
          <w:sz w:val="24"/>
        </w:rPr>
        <w:t>1.250=125,000</w:t>
      </w:r>
      <w:r>
        <w:rPr>
          <w:rFonts w:hint="eastAsia"/>
          <w:bCs/>
          <w:sz w:val="24"/>
        </w:rPr>
        <w:t>元</w:t>
      </w:r>
    </w:p>
    <w:p w:rsidR="00783788" w:rsidRDefault="002C6E18">
      <w:pPr>
        <w:spacing w:line="360" w:lineRule="auto"/>
        <w:ind w:firstLineChars="200" w:firstLine="480"/>
        <w:rPr>
          <w:bCs/>
          <w:sz w:val="24"/>
        </w:rPr>
      </w:pPr>
      <w:r>
        <w:rPr>
          <w:rFonts w:hint="eastAsia"/>
          <w:bCs/>
          <w:sz w:val="24"/>
        </w:rPr>
        <w:t>转出基金的赎回费</w:t>
      </w:r>
      <w:r>
        <w:rPr>
          <w:rFonts w:hint="eastAsia"/>
          <w:bCs/>
          <w:sz w:val="24"/>
        </w:rPr>
        <w:t>=125,000</w:t>
      </w:r>
      <w:r>
        <w:rPr>
          <w:rFonts w:hint="eastAsia"/>
          <w:bCs/>
          <w:sz w:val="24"/>
        </w:rPr>
        <w:t>×</w:t>
      </w:r>
      <w:r>
        <w:rPr>
          <w:rFonts w:hint="eastAsia"/>
          <w:bCs/>
          <w:sz w:val="24"/>
        </w:rPr>
        <w:t>0.2%=250</w:t>
      </w:r>
      <w:r>
        <w:rPr>
          <w:rFonts w:hint="eastAsia"/>
          <w:bCs/>
          <w:sz w:val="24"/>
        </w:rPr>
        <w:t>元</w:t>
      </w:r>
    </w:p>
    <w:p w:rsidR="00783788" w:rsidRDefault="002C6E18">
      <w:pPr>
        <w:spacing w:line="360" w:lineRule="auto"/>
        <w:ind w:firstLineChars="200" w:firstLine="480"/>
        <w:rPr>
          <w:bCs/>
          <w:sz w:val="24"/>
        </w:rPr>
      </w:pPr>
      <w:r>
        <w:rPr>
          <w:rFonts w:hint="eastAsia"/>
          <w:bCs/>
          <w:sz w:val="24"/>
        </w:rPr>
        <w:t>转入确认金额</w:t>
      </w:r>
      <w:r>
        <w:rPr>
          <w:rFonts w:hint="eastAsia"/>
          <w:bCs/>
          <w:sz w:val="24"/>
        </w:rPr>
        <w:t>=125,000-250=124,750</w:t>
      </w:r>
      <w:r>
        <w:rPr>
          <w:rFonts w:hint="eastAsia"/>
          <w:bCs/>
          <w:sz w:val="24"/>
        </w:rPr>
        <w:t>元</w:t>
      </w:r>
    </w:p>
    <w:p w:rsidR="00783788" w:rsidRDefault="002C6E18">
      <w:pPr>
        <w:spacing w:line="360" w:lineRule="auto"/>
        <w:ind w:firstLineChars="200" w:firstLine="480"/>
        <w:rPr>
          <w:bCs/>
          <w:sz w:val="24"/>
        </w:rPr>
      </w:pPr>
      <w:r>
        <w:rPr>
          <w:rFonts w:hint="eastAsia"/>
          <w:bCs/>
          <w:sz w:val="24"/>
        </w:rPr>
        <w:t>转出与转入基金的申购补差费</w:t>
      </w:r>
      <w:r>
        <w:rPr>
          <w:rFonts w:hint="eastAsia"/>
          <w:bCs/>
          <w:sz w:val="24"/>
        </w:rPr>
        <w:t>=124,750</w:t>
      </w:r>
      <w:r>
        <w:rPr>
          <w:rFonts w:hint="eastAsia"/>
          <w:bCs/>
          <w:sz w:val="24"/>
        </w:rPr>
        <w:t>×</w:t>
      </w:r>
      <w:r>
        <w:rPr>
          <w:rFonts w:hint="eastAsia"/>
          <w:bCs/>
          <w:sz w:val="24"/>
        </w:rPr>
        <w:t>0=0</w:t>
      </w:r>
      <w:r>
        <w:rPr>
          <w:rFonts w:hint="eastAsia"/>
          <w:bCs/>
          <w:sz w:val="24"/>
        </w:rPr>
        <w:t>元</w:t>
      </w:r>
    </w:p>
    <w:p w:rsidR="00783788" w:rsidRDefault="002C6E18">
      <w:pPr>
        <w:spacing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w:t>
      </w:r>
      <w:r>
        <w:rPr>
          <w:rFonts w:hint="eastAsia"/>
          <w:bCs/>
          <w:sz w:val="24"/>
        </w:rPr>
        <w:t>124,750-0</w:t>
      </w:r>
      <w:r>
        <w:rPr>
          <w:rFonts w:hint="eastAsia"/>
          <w:bCs/>
          <w:sz w:val="24"/>
        </w:rPr>
        <w:t>）</w:t>
      </w:r>
      <w:r>
        <w:rPr>
          <w:rFonts w:hint="eastAsia"/>
          <w:bCs/>
          <w:sz w:val="24"/>
        </w:rPr>
        <w:t>/2.2700=54,955.95</w:t>
      </w:r>
      <w:r>
        <w:rPr>
          <w:rFonts w:hint="eastAsia"/>
          <w:bCs/>
          <w:sz w:val="24"/>
        </w:rPr>
        <w:t>份</w:t>
      </w:r>
    </w:p>
    <w:p w:rsidR="00783788" w:rsidRDefault="002C6E18">
      <w:pPr>
        <w:spacing w:line="360" w:lineRule="auto"/>
        <w:ind w:firstLineChars="200" w:firstLine="480"/>
        <w:rPr>
          <w:bCs/>
          <w:sz w:val="24"/>
        </w:rPr>
      </w:pPr>
      <w:r>
        <w:rPr>
          <w:rFonts w:hint="eastAsia"/>
          <w:bCs/>
          <w:sz w:val="24"/>
        </w:rPr>
        <w:t>例六：某投资者持有交银先锋后端收费模式的基金份额</w:t>
      </w:r>
      <w:r>
        <w:rPr>
          <w:rFonts w:hint="eastAsia"/>
          <w:bCs/>
          <w:sz w:val="24"/>
        </w:rPr>
        <w:t>100,000</w:t>
      </w:r>
      <w:r>
        <w:rPr>
          <w:rFonts w:hint="eastAsia"/>
          <w:bCs/>
          <w:sz w:val="24"/>
        </w:rPr>
        <w:t>份，持有期一年半，转换申请当日交银先锋的基金份额净值为</w:t>
      </w:r>
      <w:r>
        <w:rPr>
          <w:rFonts w:hint="eastAsia"/>
          <w:bCs/>
          <w:sz w:val="24"/>
        </w:rPr>
        <w:t>1.2500</w:t>
      </w:r>
      <w:r>
        <w:rPr>
          <w:rFonts w:hint="eastAsia"/>
          <w:bCs/>
          <w:sz w:val="24"/>
        </w:rPr>
        <w:t>元，交银货币的基金份额净值为</w:t>
      </w:r>
      <w:r>
        <w:rPr>
          <w:rFonts w:hint="eastAsia"/>
          <w:bCs/>
          <w:sz w:val="24"/>
        </w:rPr>
        <w:t>1.00</w:t>
      </w:r>
      <w:r>
        <w:rPr>
          <w:rFonts w:hint="eastAsia"/>
          <w:bCs/>
          <w:sz w:val="24"/>
        </w:rPr>
        <w:t>元。若该投资者将</w:t>
      </w:r>
      <w:r>
        <w:rPr>
          <w:rFonts w:hint="eastAsia"/>
          <w:bCs/>
          <w:sz w:val="24"/>
        </w:rPr>
        <w:t>100,000</w:t>
      </w:r>
      <w:r>
        <w:rPr>
          <w:rFonts w:hint="eastAsia"/>
          <w:bCs/>
          <w:sz w:val="24"/>
        </w:rPr>
        <w:t>份交银先锋后端基金份额转换为交银货币，则转入交银货币的基金份额为：</w:t>
      </w:r>
    </w:p>
    <w:p w:rsidR="00783788" w:rsidRDefault="002C6E18">
      <w:pPr>
        <w:spacing w:line="360" w:lineRule="auto"/>
        <w:ind w:firstLineChars="200" w:firstLine="480"/>
        <w:rPr>
          <w:bCs/>
          <w:sz w:val="24"/>
        </w:rPr>
      </w:pPr>
      <w:r>
        <w:rPr>
          <w:rFonts w:hint="eastAsia"/>
          <w:bCs/>
          <w:sz w:val="24"/>
        </w:rPr>
        <w:t>转出确认金额</w:t>
      </w:r>
      <w:r>
        <w:rPr>
          <w:rFonts w:hint="eastAsia"/>
          <w:bCs/>
          <w:sz w:val="24"/>
        </w:rPr>
        <w:t>=100,000</w:t>
      </w:r>
      <w:r>
        <w:rPr>
          <w:rFonts w:hint="eastAsia"/>
          <w:bCs/>
          <w:sz w:val="24"/>
        </w:rPr>
        <w:t>×</w:t>
      </w:r>
      <w:r>
        <w:rPr>
          <w:rFonts w:hint="eastAsia"/>
          <w:bCs/>
          <w:sz w:val="24"/>
        </w:rPr>
        <w:t>1.250=125,000</w:t>
      </w:r>
      <w:r>
        <w:rPr>
          <w:rFonts w:hint="eastAsia"/>
          <w:bCs/>
          <w:sz w:val="24"/>
        </w:rPr>
        <w:t>元</w:t>
      </w:r>
    </w:p>
    <w:p w:rsidR="00783788" w:rsidRDefault="002C6E18">
      <w:pPr>
        <w:spacing w:line="360" w:lineRule="auto"/>
        <w:ind w:firstLineChars="200" w:firstLine="480"/>
        <w:rPr>
          <w:bCs/>
          <w:sz w:val="24"/>
        </w:rPr>
      </w:pPr>
      <w:r>
        <w:rPr>
          <w:rFonts w:hint="eastAsia"/>
          <w:bCs/>
          <w:sz w:val="24"/>
        </w:rPr>
        <w:t>转出基金的赎回费</w:t>
      </w:r>
      <w:r>
        <w:rPr>
          <w:rFonts w:hint="eastAsia"/>
          <w:bCs/>
          <w:sz w:val="24"/>
        </w:rPr>
        <w:t>=125,000</w:t>
      </w:r>
      <w:r>
        <w:rPr>
          <w:rFonts w:hint="eastAsia"/>
          <w:bCs/>
          <w:sz w:val="24"/>
        </w:rPr>
        <w:t>×</w:t>
      </w:r>
      <w:r>
        <w:rPr>
          <w:rFonts w:hint="eastAsia"/>
          <w:bCs/>
          <w:sz w:val="24"/>
        </w:rPr>
        <w:t>0.2%=250</w:t>
      </w:r>
      <w:r>
        <w:rPr>
          <w:rFonts w:hint="eastAsia"/>
          <w:bCs/>
          <w:sz w:val="24"/>
        </w:rPr>
        <w:t>元</w:t>
      </w:r>
    </w:p>
    <w:p w:rsidR="00783788" w:rsidRDefault="002C6E18">
      <w:pPr>
        <w:spacing w:line="360" w:lineRule="auto"/>
        <w:ind w:firstLineChars="200" w:firstLine="480"/>
        <w:rPr>
          <w:bCs/>
          <w:sz w:val="24"/>
        </w:rPr>
      </w:pPr>
      <w:r>
        <w:rPr>
          <w:rFonts w:hint="eastAsia"/>
          <w:bCs/>
          <w:sz w:val="24"/>
        </w:rPr>
        <w:t>转入确认金额</w:t>
      </w:r>
      <w:r>
        <w:rPr>
          <w:rFonts w:hint="eastAsia"/>
          <w:bCs/>
          <w:sz w:val="24"/>
        </w:rPr>
        <w:t>=125,000-250=124,750</w:t>
      </w:r>
      <w:r>
        <w:rPr>
          <w:rFonts w:hint="eastAsia"/>
          <w:bCs/>
          <w:sz w:val="24"/>
        </w:rPr>
        <w:t>元</w:t>
      </w:r>
    </w:p>
    <w:p w:rsidR="00783788" w:rsidRDefault="002C6E18">
      <w:pPr>
        <w:spacing w:line="360" w:lineRule="auto"/>
        <w:ind w:firstLineChars="200" w:firstLine="480"/>
        <w:rPr>
          <w:bCs/>
          <w:sz w:val="24"/>
        </w:rPr>
      </w:pPr>
      <w:r>
        <w:rPr>
          <w:rFonts w:hint="eastAsia"/>
          <w:bCs/>
          <w:sz w:val="24"/>
        </w:rPr>
        <w:t>转出与转入基金的申购补差费</w:t>
      </w:r>
      <w:r>
        <w:rPr>
          <w:rFonts w:hint="eastAsia"/>
          <w:bCs/>
          <w:sz w:val="24"/>
        </w:rPr>
        <w:t>=124,750</w:t>
      </w:r>
      <w:r>
        <w:rPr>
          <w:rFonts w:hint="eastAsia"/>
          <w:bCs/>
          <w:sz w:val="24"/>
        </w:rPr>
        <w:t>×</w:t>
      </w:r>
      <w:r>
        <w:rPr>
          <w:rFonts w:hint="eastAsia"/>
          <w:bCs/>
          <w:sz w:val="24"/>
        </w:rPr>
        <w:t>1.2%=1497</w:t>
      </w:r>
      <w:r>
        <w:rPr>
          <w:rFonts w:hint="eastAsia"/>
          <w:bCs/>
          <w:sz w:val="24"/>
        </w:rPr>
        <w:t>元</w:t>
      </w:r>
    </w:p>
    <w:p w:rsidR="00783788" w:rsidRDefault="002C6E18">
      <w:pPr>
        <w:spacing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w:t>
      </w:r>
      <w:r>
        <w:rPr>
          <w:rFonts w:hint="eastAsia"/>
          <w:bCs/>
          <w:sz w:val="24"/>
        </w:rPr>
        <w:t>124,750-1497</w:t>
      </w:r>
      <w:r>
        <w:rPr>
          <w:rFonts w:hint="eastAsia"/>
          <w:bCs/>
          <w:sz w:val="24"/>
        </w:rPr>
        <w:t>）</w:t>
      </w:r>
      <w:r>
        <w:rPr>
          <w:rFonts w:hint="eastAsia"/>
          <w:bCs/>
          <w:sz w:val="24"/>
        </w:rPr>
        <w:t>/1.00=123,253.00</w:t>
      </w:r>
      <w:r>
        <w:rPr>
          <w:rFonts w:hint="eastAsia"/>
          <w:bCs/>
          <w:sz w:val="24"/>
        </w:rPr>
        <w:t>份</w:t>
      </w:r>
    </w:p>
    <w:p w:rsidR="00783788" w:rsidRDefault="002C6E18">
      <w:pPr>
        <w:spacing w:line="360" w:lineRule="auto"/>
        <w:ind w:firstLineChars="200" w:firstLine="480"/>
        <w:rPr>
          <w:bCs/>
          <w:sz w:val="24"/>
        </w:rPr>
      </w:pPr>
      <w:r>
        <w:rPr>
          <w:rFonts w:hint="eastAsia"/>
          <w:bCs/>
          <w:sz w:val="24"/>
        </w:rPr>
        <w:t>例七：某投资者持有交银蓝筹后端收费模式的基金份额</w:t>
      </w:r>
      <w:r>
        <w:rPr>
          <w:rFonts w:hint="eastAsia"/>
          <w:bCs/>
          <w:sz w:val="24"/>
        </w:rPr>
        <w:t>100,000</w:t>
      </w:r>
      <w:r>
        <w:rPr>
          <w:rFonts w:hint="eastAsia"/>
          <w:bCs/>
          <w:sz w:val="24"/>
        </w:rPr>
        <w:t>份，持有期三年半，转换申请当日交银蓝筹的基金份额净值为</w:t>
      </w:r>
      <w:r>
        <w:rPr>
          <w:rFonts w:hint="eastAsia"/>
          <w:bCs/>
          <w:sz w:val="24"/>
        </w:rPr>
        <w:t>0.8500</w:t>
      </w:r>
      <w:r>
        <w:rPr>
          <w:rFonts w:hint="eastAsia"/>
          <w:bCs/>
          <w:sz w:val="24"/>
        </w:rPr>
        <w:t>元，交银增利</w:t>
      </w:r>
      <w:r>
        <w:rPr>
          <w:rFonts w:hint="eastAsia"/>
          <w:bCs/>
          <w:sz w:val="24"/>
        </w:rPr>
        <w:t>B</w:t>
      </w:r>
      <w:r>
        <w:rPr>
          <w:rFonts w:hint="eastAsia"/>
          <w:bCs/>
          <w:sz w:val="24"/>
        </w:rPr>
        <w:t>类基金份额的基金份额净值为</w:t>
      </w:r>
      <w:r>
        <w:rPr>
          <w:rFonts w:hint="eastAsia"/>
          <w:bCs/>
          <w:sz w:val="24"/>
        </w:rPr>
        <w:t>1.0500</w:t>
      </w:r>
      <w:r>
        <w:rPr>
          <w:rFonts w:hint="eastAsia"/>
          <w:bCs/>
          <w:sz w:val="24"/>
        </w:rPr>
        <w:t>。若该投资者将</w:t>
      </w:r>
      <w:r>
        <w:rPr>
          <w:rFonts w:hint="eastAsia"/>
          <w:bCs/>
          <w:sz w:val="24"/>
        </w:rPr>
        <w:t>100,000</w:t>
      </w:r>
      <w:r>
        <w:rPr>
          <w:rFonts w:hint="eastAsia"/>
          <w:bCs/>
          <w:sz w:val="24"/>
        </w:rPr>
        <w:t>份交银蓝筹后端基金份额转换为交银增利</w:t>
      </w:r>
      <w:r>
        <w:rPr>
          <w:rFonts w:hint="eastAsia"/>
          <w:bCs/>
          <w:sz w:val="24"/>
        </w:rPr>
        <w:t>B</w:t>
      </w:r>
      <w:r>
        <w:rPr>
          <w:rFonts w:hint="eastAsia"/>
          <w:bCs/>
          <w:sz w:val="24"/>
        </w:rPr>
        <w:t>类基金份额，则转入交银增利</w:t>
      </w:r>
      <w:r>
        <w:rPr>
          <w:rFonts w:hint="eastAsia"/>
          <w:bCs/>
          <w:sz w:val="24"/>
        </w:rPr>
        <w:t>B</w:t>
      </w:r>
      <w:r>
        <w:rPr>
          <w:rFonts w:hint="eastAsia"/>
          <w:bCs/>
          <w:sz w:val="24"/>
        </w:rPr>
        <w:t>类基金份额的基金份额为：</w:t>
      </w:r>
    </w:p>
    <w:p w:rsidR="00783788" w:rsidRDefault="002C6E18">
      <w:pPr>
        <w:spacing w:line="360" w:lineRule="auto"/>
        <w:ind w:firstLineChars="200" w:firstLine="480"/>
        <w:rPr>
          <w:bCs/>
          <w:sz w:val="24"/>
        </w:rPr>
      </w:pPr>
      <w:r>
        <w:rPr>
          <w:rFonts w:hint="eastAsia"/>
          <w:bCs/>
          <w:sz w:val="24"/>
        </w:rPr>
        <w:t>转出确认金额</w:t>
      </w:r>
      <w:r>
        <w:rPr>
          <w:rFonts w:hint="eastAsia"/>
          <w:bCs/>
          <w:sz w:val="24"/>
        </w:rPr>
        <w:t>=100,000</w:t>
      </w:r>
      <w:r>
        <w:rPr>
          <w:rFonts w:hint="eastAsia"/>
          <w:bCs/>
          <w:sz w:val="24"/>
        </w:rPr>
        <w:t>×</w:t>
      </w:r>
      <w:r>
        <w:rPr>
          <w:rFonts w:hint="eastAsia"/>
          <w:bCs/>
          <w:sz w:val="24"/>
        </w:rPr>
        <w:t>0.850=85,000</w:t>
      </w:r>
      <w:r>
        <w:rPr>
          <w:rFonts w:hint="eastAsia"/>
          <w:bCs/>
          <w:sz w:val="24"/>
        </w:rPr>
        <w:t>元</w:t>
      </w:r>
    </w:p>
    <w:p w:rsidR="00783788" w:rsidRDefault="002C6E18">
      <w:pPr>
        <w:spacing w:line="360" w:lineRule="auto"/>
        <w:ind w:firstLineChars="200" w:firstLine="480"/>
        <w:rPr>
          <w:bCs/>
          <w:sz w:val="24"/>
        </w:rPr>
      </w:pPr>
      <w:r>
        <w:rPr>
          <w:rFonts w:hint="eastAsia"/>
          <w:bCs/>
          <w:sz w:val="24"/>
        </w:rPr>
        <w:t>转出基金的赎回费</w:t>
      </w:r>
      <w:r>
        <w:rPr>
          <w:rFonts w:hint="eastAsia"/>
          <w:bCs/>
          <w:sz w:val="24"/>
        </w:rPr>
        <w:t>=85,000</w:t>
      </w:r>
      <w:r>
        <w:rPr>
          <w:rFonts w:hint="eastAsia"/>
          <w:bCs/>
          <w:sz w:val="24"/>
        </w:rPr>
        <w:t>×</w:t>
      </w:r>
      <w:r>
        <w:rPr>
          <w:rFonts w:hint="eastAsia"/>
          <w:bCs/>
          <w:sz w:val="24"/>
        </w:rPr>
        <w:t>0=0</w:t>
      </w:r>
      <w:r>
        <w:rPr>
          <w:rFonts w:hint="eastAsia"/>
          <w:bCs/>
          <w:sz w:val="24"/>
        </w:rPr>
        <w:t>元</w:t>
      </w:r>
    </w:p>
    <w:p w:rsidR="00783788" w:rsidRDefault="002C6E18">
      <w:pPr>
        <w:spacing w:line="360" w:lineRule="auto"/>
        <w:ind w:firstLineChars="200" w:firstLine="480"/>
        <w:rPr>
          <w:bCs/>
          <w:sz w:val="24"/>
        </w:rPr>
      </w:pPr>
      <w:r>
        <w:rPr>
          <w:rFonts w:hint="eastAsia"/>
          <w:bCs/>
          <w:sz w:val="24"/>
        </w:rPr>
        <w:t>转入确认金额</w:t>
      </w:r>
      <w:r>
        <w:rPr>
          <w:rFonts w:hint="eastAsia"/>
          <w:bCs/>
          <w:sz w:val="24"/>
        </w:rPr>
        <w:t>=85,000-0=85,000</w:t>
      </w:r>
      <w:r>
        <w:rPr>
          <w:rFonts w:hint="eastAsia"/>
          <w:bCs/>
          <w:sz w:val="24"/>
        </w:rPr>
        <w:t>元</w:t>
      </w:r>
    </w:p>
    <w:p w:rsidR="00783788" w:rsidRDefault="002C6E18">
      <w:pPr>
        <w:spacing w:line="360" w:lineRule="auto"/>
        <w:ind w:firstLineChars="200" w:firstLine="480"/>
        <w:rPr>
          <w:bCs/>
          <w:sz w:val="24"/>
        </w:rPr>
      </w:pPr>
      <w:r>
        <w:rPr>
          <w:rFonts w:hint="eastAsia"/>
          <w:bCs/>
          <w:sz w:val="24"/>
        </w:rPr>
        <w:t>转出与转入基金的申购补差费</w:t>
      </w:r>
      <w:r>
        <w:rPr>
          <w:rFonts w:hint="eastAsia"/>
          <w:bCs/>
          <w:sz w:val="24"/>
        </w:rPr>
        <w:t>=85,000</w:t>
      </w:r>
      <w:r>
        <w:rPr>
          <w:rFonts w:hint="eastAsia"/>
          <w:bCs/>
          <w:sz w:val="24"/>
        </w:rPr>
        <w:t>×</w:t>
      </w:r>
      <w:r>
        <w:rPr>
          <w:rFonts w:hint="eastAsia"/>
          <w:bCs/>
          <w:sz w:val="24"/>
        </w:rPr>
        <w:t>0.2%=170</w:t>
      </w:r>
      <w:r>
        <w:rPr>
          <w:rFonts w:hint="eastAsia"/>
          <w:bCs/>
          <w:sz w:val="24"/>
        </w:rPr>
        <w:t>元</w:t>
      </w:r>
    </w:p>
    <w:p w:rsidR="00783788" w:rsidRDefault="002C6E18">
      <w:pPr>
        <w:spacing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w:t>
      </w:r>
      <w:r>
        <w:rPr>
          <w:rFonts w:hint="eastAsia"/>
          <w:bCs/>
          <w:sz w:val="24"/>
        </w:rPr>
        <w:t>85,000-170</w:t>
      </w:r>
      <w:r>
        <w:rPr>
          <w:rFonts w:hint="eastAsia"/>
          <w:bCs/>
          <w:sz w:val="24"/>
        </w:rPr>
        <w:t>）</w:t>
      </w:r>
      <w:r>
        <w:rPr>
          <w:rFonts w:hint="eastAsia"/>
          <w:bCs/>
          <w:sz w:val="24"/>
        </w:rPr>
        <w:t>/1.0500=80,790.48</w:t>
      </w:r>
      <w:r>
        <w:rPr>
          <w:rFonts w:hint="eastAsia"/>
          <w:bCs/>
          <w:sz w:val="24"/>
        </w:rPr>
        <w:t>份</w:t>
      </w:r>
    </w:p>
    <w:p w:rsidR="00783788" w:rsidRDefault="002C6E18">
      <w:pPr>
        <w:spacing w:line="360" w:lineRule="auto"/>
        <w:ind w:firstLineChars="200" w:firstLine="480"/>
        <w:rPr>
          <w:bCs/>
          <w:sz w:val="24"/>
        </w:rPr>
      </w:pPr>
      <w:r>
        <w:rPr>
          <w:rFonts w:hint="eastAsia"/>
          <w:bCs/>
          <w:sz w:val="24"/>
        </w:rPr>
        <w:t>例八：某投资者持有交银货币</w:t>
      </w:r>
      <w:r>
        <w:rPr>
          <w:rFonts w:hint="eastAsia"/>
          <w:bCs/>
          <w:sz w:val="24"/>
        </w:rPr>
        <w:t>A</w:t>
      </w:r>
      <w:r>
        <w:rPr>
          <w:rFonts w:hint="eastAsia"/>
          <w:bCs/>
          <w:sz w:val="24"/>
        </w:rPr>
        <w:t>级基金份额</w:t>
      </w:r>
      <w:r>
        <w:rPr>
          <w:rFonts w:hint="eastAsia"/>
          <w:bCs/>
          <w:sz w:val="24"/>
        </w:rPr>
        <w:t>100,000</w:t>
      </w:r>
      <w:r>
        <w:rPr>
          <w:rFonts w:hint="eastAsia"/>
          <w:bCs/>
          <w:sz w:val="24"/>
        </w:rPr>
        <w:t>份，该</w:t>
      </w:r>
      <w:r>
        <w:rPr>
          <w:rFonts w:hint="eastAsia"/>
          <w:bCs/>
          <w:sz w:val="24"/>
        </w:rPr>
        <w:t>100,000</w:t>
      </w:r>
      <w:r>
        <w:rPr>
          <w:rFonts w:hint="eastAsia"/>
          <w:bCs/>
          <w:sz w:val="24"/>
        </w:rPr>
        <w:t>份基金份额未结转的待支付收益为</w:t>
      </w:r>
      <w:r>
        <w:rPr>
          <w:rFonts w:hint="eastAsia"/>
          <w:bCs/>
          <w:sz w:val="24"/>
        </w:rPr>
        <w:t>61.52</w:t>
      </w:r>
      <w:r>
        <w:rPr>
          <w:rFonts w:hint="eastAsia"/>
          <w:bCs/>
          <w:sz w:val="24"/>
        </w:rPr>
        <w:t>元，转换申请当日交银增利</w:t>
      </w:r>
      <w:r>
        <w:rPr>
          <w:rFonts w:hint="eastAsia"/>
          <w:bCs/>
          <w:sz w:val="24"/>
        </w:rPr>
        <w:t>B</w:t>
      </w:r>
      <w:r>
        <w:rPr>
          <w:rFonts w:hint="eastAsia"/>
          <w:bCs/>
          <w:sz w:val="24"/>
        </w:rPr>
        <w:t>类基金份额净值为</w:t>
      </w:r>
      <w:r>
        <w:rPr>
          <w:rFonts w:hint="eastAsia"/>
          <w:bCs/>
          <w:sz w:val="24"/>
        </w:rPr>
        <w:t>1.2700</w:t>
      </w:r>
      <w:r>
        <w:rPr>
          <w:rFonts w:hint="eastAsia"/>
          <w:bCs/>
          <w:sz w:val="24"/>
        </w:rPr>
        <w:t>元，交银货币的基金份额净值为</w:t>
      </w:r>
      <w:r>
        <w:rPr>
          <w:rFonts w:hint="eastAsia"/>
          <w:bCs/>
          <w:sz w:val="24"/>
        </w:rPr>
        <w:t>1.00</w:t>
      </w:r>
      <w:r>
        <w:rPr>
          <w:rFonts w:hint="eastAsia"/>
          <w:bCs/>
          <w:sz w:val="24"/>
        </w:rPr>
        <w:t>元。若该投资者将</w:t>
      </w:r>
      <w:r>
        <w:rPr>
          <w:rFonts w:hint="eastAsia"/>
          <w:bCs/>
          <w:sz w:val="24"/>
        </w:rPr>
        <w:t>100,000</w:t>
      </w:r>
      <w:r>
        <w:rPr>
          <w:rFonts w:hint="eastAsia"/>
          <w:bCs/>
          <w:sz w:val="24"/>
        </w:rPr>
        <w:t>份交银货币</w:t>
      </w:r>
      <w:r>
        <w:rPr>
          <w:rFonts w:hint="eastAsia"/>
          <w:bCs/>
          <w:sz w:val="24"/>
        </w:rPr>
        <w:t>A</w:t>
      </w:r>
      <w:r>
        <w:rPr>
          <w:rFonts w:hint="eastAsia"/>
          <w:bCs/>
          <w:sz w:val="24"/>
        </w:rPr>
        <w:t>级基金份额转换为交银增利</w:t>
      </w:r>
      <w:r>
        <w:rPr>
          <w:rFonts w:hint="eastAsia"/>
          <w:bCs/>
          <w:sz w:val="24"/>
        </w:rPr>
        <w:t>B</w:t>
      </w:r>
      <w:r>
        <w:rPr>
          <w:rFonts w:hint="eastAsia"/>
          <w:bCs/>
          <w:sz w:val="24"/>
        </w:rPr>
        <w:t>类基金份额，则转入确认的交银增利</w:t>
      </w:r>
      <w:r>
        <w:rPr>
          <w:rFonts w:hint="eastAsia"/>
          <w:bCs/>
          <w:sz w:val="24"/>
        </w:rPr>
        <w:t>B</w:t>
      </w:r>
      <w:r>
        <w:rPr>
          <w:rFonts w:hint="eastAsia"/>
          <w:bCs/>
          <w:sz w:val="24"/>
        </w:rPr>
        <w:t>类基金份额为：</w:t>
      </w:r>
    </w:p>
    <w:p w:rsidR="00783788" w:rsidRDefault="002C6E18">
      <w:pPr>
        <w:spacing w:line="360" w:lineRule="auto"/>
        <w:ind w:firstLineChars="200" w:firstLine="480"/>
        <w:rPr>
          <w:bCs/>
          <w:sz w:val="24"/>
        </w:rPr>
      </w:pPr>
      <w:r>
        <w:rPr>
          <w:rFonts w:hint="eastAsia"/>
          <w:bCs/>
          <w:sz w:val="24"/>
        </w:rPr>
        <w:t>转出确认金额</w:t>
      </w:r>
      <w:r>
        <w:rPr>
          <w:rFonts w:hint="eastAsia"/>
          <w:bCs/>
          <w:sz w:val="24"/>
        </w:rPr>
        <w:t>=100,000</w:t>
      </w:r>
      <w:r>
        <w:rPr>
          <w:rFonts w:hint="eastAsia"/>
          <w:bCs/>
          <w:sz w:val="24"/>
        </w:rPr>
        <w:t>×</w:t>
      </w:r>
      <w:r>
        <w:rPr>
          <w:rFonts w:hint="eastAsia"/>
          <w:bCs/>
          <w:sz w:val="24"/>
        </w:rPr>
        <w:t>1.00=100,000</w:t>
      </w:r>
      <w:r>
        <w:rPr>
          <w:rFonts w:hint="eastAsia"/>
          <w:bCs/>
          <w:sz w:val="24"/>
        </w:rPr>
        <w:t>元</w:t>
      </w:r>
    </w:p>
    <w:p w:rsidR="00783788" w:rsidRDefault="002C6E18">
      <w:pPr>
        <w:spacing w:line="360" w:lineRule="auto"/>
        <w:ind w:firstLineChars="200" w:firstLine="480"/>
        <w:rPr>
          <w:bCs/>
          <w:sz w:val="24"/>
        </w:rPr>
      </w:pPr>
      <w:r>
        <w:rPr>
          <w:rFonts w:hint="eastAsia"/>
          <w:bCs/>
          <w:sz w:val="24"/>
        </w:rPr>
        <w:t>转出基金的赎回费</w:t>
      </w:r>
      <w:r>
        <w:rPr>
          <w:rFonts w:hint="eastAsia"/>
          <w:bCs/>
          <w:sz w:val="24"/>
        </w:rPr>
        <w:t>=0</w:t>
      </w:r>
      <w:r>
        <w:rPr>
          <w:rFonts w:hint="eastAsia"/>
          <w:bCs/>
          <w:sz w:val="24"/>
        </w:rPr>
        <w:t>元</w:t>
      </w:r>
    </w:p>
    <w:p w:rsidR="00783788" w:rsidRDefault="002C6E18">
      <w:pPr>
        <w:spacing w:line="360" w:lineRule="auto"/>
        <w:ind w:firstLineChars="200" w:firstLine="480"/>
        <w:rPr>
          <w:bCs/>
          <w:sz w:val="24"/>
        </w:rPr>
      </w:pPr>
      <w:r>
        <w:rPr>
          <w:rFonts w:hint="eastAsia"/>
          <w:bCs/>
          <w:sz w:val="24"/>
        </w:rPr>
        <w:t>转入确认金额</w:t>
      </w:r>
      <w:r>
        <w:rPr>
          <w:rFonts w:hint="eastAsia"/>
          <w:bCs/>
          <w:sz w:val="24"/>
        </w:rPr>
        <w:t>=100,000-0=100,000</w:t>
      </w:r>
      <w:r>
        <w:rPr>
          <w:rFonts w:hint="eastAsia"/>
          <w:bCs/>
          <w:sz w:val="24"/>
        </w:rPr>
        <w:t>元</w:t>
      </w:r>
    </w:p>
    <w:p w:rsidR="00783788" w:rsidRDefault="002C6E18">
      <w:pPr>
        <w:spacing w:line="360" w:lineRule="auto"/>
        <w:ind w:firstLineChars="200" w:firstLine="480"/>
        <w:rPr>
          <w:bCs/>
          <w:sz w:val="24"/>
        </w:rPr>
      </w:pPr>
      <w:r>
        <w:rPr>
          <w:rFonts w:hint="eastAsia"/>
          <w:bCs/>
          <w:sz w:val="24"/>
        </w:rPr>
        <w:t>转出与转入基金的申购补差费</w:t>
      </w:r>
      <w:r>
        <w:rPr>
          <w:rFonts w:hint="eastAsia"/>
          <w:bCs/>
          <w:sz w:val="24"/>
        </w:rPr>
        <w:t>=100,000</w:t>
      </w:r>
      <w:r>
        <w:rPr>
          <w:rFonts w:hint="eastAsia"/>
          <w:bCs/>
          <w:sz w:val="24"/>
        </w:rPr>
        <w:t>×</w:t>
      </w:r>
      <w:r>
        <w:rPr>
          <w:rFonts w:hint="eastAsia"/>
          <w:bCs/>
          <w:sz w:val="24"/>
        </w:rPr>
        <w:t>0=0</w:t>
      </w:r>
      <w:r>
        <w:rPr>
          <w:rFonts w:hint="eastAsia"/>
          <w:bCs/>
          <w:sz w:val="24"/>
        </w:rPr>
        <w:t>元</w:t>
      </w:r>
    </w:p>
    <w:p w:rsidR="00783788" w:rsidRDefault="002C6E18">
      <w:pPr>
        <w:spacing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w:t>
      </w:r>
      <w:r>
        <w:rPr>
          <w:rFonts w:hint="eastAsia"/>
          <w:bCs/>
          <w:sz w:val="24"/>
        </w:rPr>
        <w:t>100,000-0+61.52</w:t>
      </w:r>
      <w:r>
        <w:rPr>
          <w:rFonts w:hint="eastAsia"/>
          <w:bCs/>
          <w:sz w:val="24"/>
        </w:rPr>
        <w:t>）</w:t>
      </w:r>
      <w:r>
        <w:rPr>
          <w:rFonts w:hint="eastAsia"/>
          <w:bCs/>
          <w:sz w:val="24"/>
        </w:rPr>
        <w:t>/1.2700=78,788.60</w:t>
      </w:r>
      <w:r>
        <w:rPr>
          <w:rFonts w:hint="eastAsia"/>
          <w:bCs/>
          <w:sz w:val="24"/>
        </w:rPr>
        <w:t>份</w:t>
      </w:r>
    </w:p>
    <w:p w:rsidR="00783788" w:rsidRDefault="002C6E18">
      <w:pPr>
        <w:widowControl/>
        <w:tabs>
          <w:tab w:val="left" w:pos="4949"/>
        </w:tabs>
        <w:spacing w:line="360" w:lineRule="auto"/>
        <w:ind w:firstLineChars="200" w:firstLine="482"/>
        <w:outlineLvl w:val="1"/>
        <w:rPr>
          <w:b/>
          <w:kern w:val="0"/>
          <w:sz w:val="24"/>
        </w:rPr>
      </w:pPr>
      <w:r>
        <w:rPr>
          <w:rFonts w:hint="eastAsia"/>
          <w:b/>
          <w:kern w:val="0"/>
          <w:sz w:val="24"/>
        </w:rPr>
        <w:t>（七）业务规则</w:t>
      </w:r>
    </w:p>
    <w:p w:rsidR="00783788" w:rsidRDefault="002C6E18">
      <w:pPr>
        <w:spacing w:line="360" w:lineRule="auto"/>
        <w:ind w:firstLineChars="200" w:firstLine="480"/>
        <w:rPr>
          <w:bCs/>
          <w:sz w:val="24"/>
        </w:rPr>
      </w:pPr>
      <w:r>
        <w:rPr>
          <w:rFonts w:hint="eastAsia"/>
          <w:bCs/>
          <w:sz w:val="24"/>
        </w:rPr>
        <w:t>1</w:t>
      </w:r>
      <w:r>
        <w:rPr>
          <w:rFonts w:hint="eastAsia"/>
          <w:bCs/>
          <w:sz w:val="24"/>
        </w:rPr>
        <w:t>、基金转换只能在同一销售机构进行。转换的两只基金必须都是该销售机构代理的同一基金管理人管理的、在同一注册登记机构处注册登记的基金。投资人办理基金转换业务时，转出方的基金必须处于可赎回状态，转入方的基金必须处于可申购状态。</w:t>
      </w:r>
    </w:p>
    <w:p w:rsidR="00783788" w:rsidRDefault="002C6E18">
      <w:pPr>
        <w:spacing w:line="360" w:lineRule="auto"/>
        <w:ind w:firstLineChars="200" w:firstLine="480"/>
        <w:rPr>
          <w:bCs/>
          <w:sz w:val="24"/>
        </w:rPr>
      </w:pPr>
      <w:r>
        <w:rPr>
          <w:rFonts w:hint="eastAsia"/>
          <w:bCs/>
          <w:sz w:val="24"/>
        </w:rPr>
        <w:t>2</w:t>
      </w:r>
      <w:r>
        <w:rPr>
          <w:rFonts w:hint="eastAsia"/>
          <w:bCs/>
          <w:sz w:val="24"/>
        </w:rPr>
        <w:t>、投资人只能在相同收费模式下进行基金转换。前端收费模式的开放式基金只能转换到前端收费模式的其他基金，后端收费模式的基金只能转换到后端收费模式的其他基金。货币市场基金、债券基金</w:t>
      </w:r>
      <w:r>
        <w:rPr>
          <w:rFonts w:hint="eastAsia"/>
          <w:bCs/>
          <w:sz w:val="24"/>
        </w:rPr>
        <w:t>C</w:t>
      </w:r>
      <w:r>
        <w:rPr>
          <w:rFonts w:hint="eastAsia"/>
          <w:bCs/>
          <w:sz w:val="24"/>
        </w:rPr>
        <w:t>类基金份额与其他基金之间的转换不受上述收费模式的限制。</w:t>
      </w:r>
    </w:p>
    <w:p w:rsidR="00783788" w:rsidRDefault="002C6E18">
      <w:pPr>
        <w:spacing w:line="360" w:lineRule="auto"/>
        <w:ind w:firstLineChars="200" w:firstLine="480"/>
        <w:rPr>
          <w:bCs/>
          <w:sz w:val="24"/>
        </w:rPr>
      </w:pPr>
      <w:r>
        <w:rPr>
          <w:rFonts w:hint="eastAsia"/>
          <w:bCs/>
          <w:sz w:val="24"/>
        </w:rPr>
        <w:t>3</w:t>
      </w:r>
      <w:r>
        <w:rPr>
          <w:rFonts w:hint="eastAsia"/>
          <w:bCs/>
          <w:sz w:val="24"/>
        </w:rPr>
        <w:t>、基金转换采取未知价法，即基金的转换价格以申请受理当日各转出、转入基金的基金份额净值为基础进行计算。（货币市场基金的基金份额净值为固定价</w:t>
      </w:r>
      <w:r>
        <w:rPr>
          <w:rFonts w:hint="eastAsia"/>
          <w:bCs/>
          <w:sz w:val="24"/>
        </w:rPr>
        <w:t>1.00</w:t>
      </w:r>
      <w:r>
        <w:rPr>
          <w:rFonts w:hint="eastAsia"/>
          <w:bCs/>
          <w:sz w:val="24"/>
        </w:rPr>
        <w:t>元）。</w:t>
      </w:r>
    </w:p>
    <w:p w:rsidR="00783788" w:rsidRDefault="002C6E18">
      <w:pPr>
        <w:spacing w:line="360" w:lineRule="auto"/>
        <w:ind w:firstLineChars="200" w:firstLine="480"/>
        <w:rPr>
          <w:bCs/>
          <w:sz w:val="24"/>
        </w:rPr>
      </w:pPr>
      <w:r>
        <w:rPr>
          <w:rFonts w:hint="eastAsia"/>
          <w:bCs/>
          <w:sz w:val="24"/>
        </w:rPr>
        <w:t>4</w:t>
      </w:r>
      <w:r>
        <w:rPr>
          <w:rFonts w:hint="eastAsia"/>
          <w:bCs/>
          <w:sz w:val="24"/>
        </w:rPr>
        <w:t>、投资人申请转出其账户内货币市场基金的基金份额时，注册登记机构将自动结转该转出份额对应的待支付收益，该收益将一并计入转出金额并折算为转入基金的基金份额，但收益部分不收取转换费用。</w:t>
      </w:r>
    </w:p>
    <w:p w:rsidR="00783788" w:rsidRDefault="002C6E18">
      <w:pPr>
        <w:spacing w:line="360" w:lineRule="auto"/>
        <w:ind w:firstLineChars="200" w:firstLine="480"/>
        <w:rPr>
          <w:bCs/>
          <w:sz w:val="24"/>
        </w:rPr>
      </w:pPr>
      <w:r>
        <w:rPr>
          <w:rFonts w:hint="eastAsia"/>
          <w:bCs/>
          <w:sz w:val="24"/>
        </w:rPr>
        <w:t>5</w:t>
      </w:r>
      <w:r>
        <w:rPr>
          <w:rFonts w:hint="eastAsia"/>
          <w:bCs/>
          <w:sz w:val="24"/>
        </w:rPr>
        <w:t>、转换后，转入基金份额的持有时间将重新计算，即转入基金份额的持有期将自转入基金份额被确认日起重新开始计算。</w:t>
      </w:r>
    </w:p>
    <w:p w:rsidR="00783788" w:rsidRDefault="002C6E18">
      <w:pPr>
        <w:spacing w:line="360" w:lineRule="auto"/>
        <w:ind w:firstLineChars="200" w:firstLine="480"/>
        <w:rPr>
          <w:bCs/>
          <w:sz w:val="24"/>
        </w:rPr>
      </w:pPr>
      <w:r>
        <w:rPr>
          <w:rFonts w:hint="eastAsia"/>
          <w:bCs/>
          <w:sz w:val="24"/>
        </w:rPr>
        <w:t>6</w:t>
      </w:r>
      <w:r>
        <w:rPr>
          <w:rFonts w:hint="eastAsia"/>
          <w:bCs/>
          <w:sz w:val="24"/>
        </w:rPr>
        <w:t>、根据旗下保本基金基金合同的约定，基金份额持有人在保本周期内申购或转换入的基金份额，以及在基金保本周期到期日前（不包括该日）赎回或转换出的基金份额不适用保本条款，其赎回或转换价格以赎回或转换申请日的</w:t>
      </w:r>
      <w:hyperlink r:id="rId12" w:history="1">
        <w:r>
          <w:rPr>
            <w:rFonts w:hint="eastAsia"/>
            <w:bCs/>
            <w:sz w:val="24"/>
          </w:rPr>
          <w:t>基金份额净值</w:t>
        </w:r>
      </w:hyperlink>
      <w:r>
        <w:rPr>
          <w:rFonts w:hint="eastAsia"/>
          <w:bCs/>
          <w:sz w:val="24"/>
        </w:rPr>
        <w:t>为基准进行计算。</w:t>
      </w:r>
    </w:p>
    <w:p w:rsidR="00783788" w:rsidRDefault="002C6E18">
      <w:pPr>
        <w:widowControl/>
        <w:tabs>
          <w:tab w:val="left" w:pos="4949"/>
        </w:tabs>
        <w:spacing w:line="360" w:lineRule="auto"/>
        <w:ind w:firstLineChars="200" w:firstLine="482"/>
        <w:outlineLvl w:val="1"/>
        <w:rPr>
          <w:b/>
          <w:kern w:val="0"/>
          <w:sz w:val="24"/>
        </w:rPr>
      </w:pPr>
      <w:r>
        <w:rPr>
          <w:rFonts w:hint="eastAsia"/>
          <w:b/>
          <w:kern w:val="0"/>
          <w:sz w:val="24"/>
        </w:rPr>
        <w:t>（八）暂停基金转换</w:t>
      </w:r>
    </w:p>
    <w:p w:rsidR="00783788" w:rsidRDefault="002C6E18">
      <w:pPr>
        <w:spacing w:line="360" w:lineRule="auto"/>
        <w:ind w:firstLineChars="200" w:firstLine="480"/>
        <w:rPr>
          <w:bCs/>
          <w:sz w:val="24"/>
        </w:rPr>
      </w:pPr>
      <w:r>
        <w:rPr>
          <w:rFonts w:hint="eastAsia"/>
          <w:bCs/>
          <w:sz w:val="24"/>
        </w:rPr>
        <w:t>基金转换视同为转出基金的赎回和转入基金的申购，因此有关转出基金和转入基金关于暂停或拒绝申购、暂停赎回的情形和公告的有关规定一般也适用于暂停基金转换，具体暂停或恢复基金转换的相关业务请详见届时本基金管理人发布的相关公告。</w:t>
      </w:r>
    </w:p>
    <w:p w:rsidR="00783788" w:rsidRDefault="002C6E18">
      <w:pPr>
        <w:spacing w:line="360" w:lineRule="auto"/>
        <w:ind w:firstLineChars="200" w:firstLine="480"/>
        <w:rPr>
          <w:bCs/>
          <w:sz w:val="24"/>
        </w:rPr>
      </w:pPr>
      <w:r>
        <w:rPr>
          <w:rFonts w:hint="eastAsia"/>
          <w:bCs/>
          <w:sz w:val="24"/>
        </w:rPr>
        <w:t>本基金单个开放日，基金净赎回申请份额（该基金赎回申请总份额加上基金转换中转出申请总份额后扣除申购申请总份额及基金转换中转入申请总份额后的余额）超过上一日基金总份额的</w:t>
      </w:r>
      <w:r>
        <w:rPr>
          <w:rFonts w:hint="eastAsia"/>
          <w:bCs/>
          <w:sz w:val="24"/>
        </w:rPr>
        <w:t>10%</w:t>
      </w:r>
      <w:r>
        <w:rPr>
          <w:rFonts w:hint="eastAsia"/>
          <w:bCs/>
          <w:sz w:val="24"/>
        </w:rPr>
        <w:t>时，即认为发生了巨额赎回。发生巨额赎回时，基金转出与基金赎回具有相同的优先级，基金管理人可根据基金资产组合情况，决定全额转出或部分转出，并且对于基金转出和基金赎回，将采取相同的比例确认；但在转出申请得到部分确认的情况下，未确认部分的转出申请将自动予以撤销，不再视为下一开放日的基金转换申请。</w:t>
      </w:r>
    </w:p>
    <w:p w:rsidR="00783788" w:rsidRDefault="00783788">
      <w:pPr>
        <w:adjustRightInd w:val="0"/>
        <w:snapToGrid w:val="0"/>
        <w:spacing w:line="360" w:lineRule="auto"/>
        <w:ind w:firstLineChars="200" w:firstLine="480"/>
        <w:rPr>
          <w:sz w:val="24"/>
          <w:szCs w:val="24"/>
        </w:rPr>
      </w:pPr>
    </w:p>
    <w:p w:rsidR="00783788" w:rsidRDefault="002C6E18">
      <w:pPr>
        <w:widowControl/>
        <w:adjustRightInd w:val="0"/>
        <w:snapToGrid w:val="0"/>
        <w:spacing w:beforeLines="100" w:before="240" w:afterLines="50" w:after="120" w:line="360" w:lineRule="auto"/>
        <w:jc w:val="center"/>
        <w:outlineLvl w:val="0"/>
        <w:rPr>
          <w:rFonts w:ascii="宋体" w:hAnsi="宋体"/>
          <w:b/>
          <w:kern w:val="0"/>
          <w:sz w:val="30"/>
        </w:rPr>
      </w:pPr>
      <w:bookmarkStart w:id="56" w:name="_Toc133308365"/>
      <w:bookmarkStart w:id="57" w:name="_Toc382321321"/>
      <w:r>
        <w:rPr>
          <w:rFonts w:ascii="宋体" w:hAnsi="宋体" w:hint="eastAsia"/>
          <w:b/>
          <w:kern w:val="0"/>
          <w:sz w:val="30"/>
        </w:rPr>
        <w:t>十、基金的定期支付</w:t>
      </w:r>
      <w:bookmarkEnd w:id="56"/>
      <w:bookmarkEnd w:id="57"/>
    </w:p>
    <w:p w:rsidR="00783788" w:rsidRDefault="002C6E18">
      <w:pPr>
        <w:adjustRightInd w:val="0"/>
        <w:snapToGrid w:val="0"/>
        <w:spacing w:line="360" w:lineRule="auto"/>
        <w:ind w:firstLineChars="200" w:firstLine="480"/>
        <w:rPr>
          <w:bCs/>
          <w:sz w:val="24"/>
          <w:szCs w:val="24"/>
        </w:rPr>
      </w:pPr>
      <w:r>
        <w:rPr>
          <w:rFonts w:hAnsi="宋体"/>
          <w:bCs/>
          <w:sz w:val="24"/>
          <w:szCs w:val="24"/>
        </w:rPr>
        <w:t>本基金按照基金合同的约定，每月定期通过自动赎回基金份额向基金份额持有人支付一定现金，具体而言，本基金按照本招募说明书约定的年化现金支付比率，以约定的定期支付基准日的基金份额净值为基础，计算当期基金份额持有人可获得支付的现金，并自动赎回基金份额持有人所持的对应金额的基金份额，以该自动赎回的资金向基金份额持有人进行现金支付。上述自动赎回基金份额由基金管理人发起而无需基金份额持有人另行提交赎回申请。基金份额持有人并无需就此类自动赎回支付赎回费。</w:t>
      </w:r>
    </w:p>
    <w:p w:rsidR="00783788" w:rsidRDefault="002C6E18">
      <w:pPr>
        <w:adjustRightInd w:val="0"/>
        <w:snapToGrid w:val="0"/>
        <w:spacing w:line="360" w:lineRule="auto"/>
        <w:ind w:firstLineChars="200" w:firstLine="480"/>
        <w:rPr>
          <w:sz w:val="24"/>
          <w:szCs w:val="24"/>
        </w:rPr>
      </w:pPr>
      <w:r>
        <w:rPr>
          <w:rFonts w:hAnsi="宋体"/>
          <w:sz w:val="24"/>
          <w:szCs w:val="24"/>
        </w:rPr>
        <w:t>未来在法律法规允许的前提下，基金管理人可在履行适当程序后采用除自动赎回基金份额以外的其他方式进行定期支付，并在新的方式开始实施前依照《信息披露办法》的有关规定在指定媒体上公告并报中国证监会备案。</w:t>
      </w:r>
    </w:p>
    <w:p w:rsidR="00783788" w:rsidRDefault="002C6E18">
      <w:pPr>
        <w:adjustRightInd w:val="0"/>
        <w:snapToGrid w:val="0"/>
        <w:spacing w:line="360" w:lineRule="auto"/>
        <w:ind w:firstLineChars="200" w:firstLine="482"/>
        <w:rPr>
          <w:b/>
          <w:bCs/>
          <w:sz w:val="24"/>
          <w:szCs w:val="24"/>
        </w:rPr>
      </w:pPr>
      <w:r>
        <w:rPr>
          <w:rFonts w:hAnsi="宋体"/>
          <w:b/>
          <w:bCs/>
          <w:sz w:val="24"/>
          <w:szCs w:val="24"/>
        </w:rPr>
        <w:t>（一）定期支付的时间</w:t>
      </w:r>
    </w:p>
    <w:p w:rsidR="00783788" w:rsidRDefault="002C6E18">
      <w:pPr>
        <w:adjustRightInd w:val="0"/>
        <w:snapToGrid w:val="0"/>
        <w:spacing w:line="360" w:lineRule="auto"/>
        <w:ind w:firstLineChars="200" w:firstLine="480"/>
        <w:rPr>
          <w:bCs/>
          <w:sz w:val="24"/>
          <w:szCs w:val="24"/>
        </w:rPr>
      </w:pPr>
      <w:r>
        <w:rPr>
          <w:rFonts w:hAnsi="宋体"/>
          <w:bCs/>
          <w:sz w:val="24"/>
          <w:szCs w:val="24"/>
        </w:rPr>
        <w:t>基金每月对投资人进行</w:t>
      </w:r>
      <w:r>
        <w:rPr>
          <w:bCs/>
          <w:sz w:val="24"/>
          <w:szCs w:val="24"/>
        </w:rPr>
        <w:t>1</w:t>
      </w:r>
      <w:r>
        <w:rPr>
          <w:rFonts w:hAnsi="宋体"/>
          <w:bCs/>
          <w:sz w:val="24"/>
          <w:szCs w:val="24"/>
        </w:rPr>
        <w:t>次定期支付，若基金合同生效不满</w:t>
      </w:r>
      <w:r>
        <w:rPr>
          <w:bCs/>
          <w:sz w:val="24"/>
          <w:szCs w:val="24"/>
        </w:rPr>
        <w:t>3</w:t>
      </w:r>
      <w:r>
        <w:rPr>
          <w:rFonts w:hAnsi="宋体"/>
          <w:bCs/>
          <w:sz w:val="24"/>
          <w:szCs w:val="24"/>
        </w:rPr>
        <w:t>个月可不进行支付</w:t>
      </w:r>
      <w:r>
        <w:rPr>
          <w:rFonts w:hAnsi="宋体"/>
          <w:sz w:val="24"/>
          <w:szCs w:val="24"/>
        </w:rPr>
        <w:t>。</w:t>
      </w:r>
      <w:r>
        <w:rPr>
          <w:rFonts w:hAnsi="宋体"/>
          <w:bCs/>
          <w:sz w:val="24"/>
          <w:szCs w:val="24"/>
        </w:rPr>
        <w:t>发生下列情形时，基金管理人可暂停当月的定期支付：</w:t>
      </w:r>
    </w:p>
    <w:p w:rsidR="00783788" w:rsidRDefault="002C6E18">
      <w:pPr>
        <w:adjustRightInd w:val="0"/>
        <w:snapToGrid w:val="0"/>
        <w:spacing w:line="360" w:lineRule="auto"/>
        <w:ind w:firstLineChars="200" w:firstLine="480"/>
        <w:rPr>
          <w:bCs/>
          <w:sz w:val="24"/>
          <w:szCs w:val="24"/>
        </w:rPr>
      </w:pPr>
      <w:r>
        <w:rPr>
          <w:bCs/>
          <w:sz w:val="24"/>
          <w:szCs w:val="24"/>
        </w:rPr>
        <w:t>1</w:t>
      </w:r>
      <w:r>
        <w:rPr>
          <w:rFonts w:hAnsi="宋体"/>
          <w:bCs/>
          <w:sz w:val="24"/>
          <w:szCs w:val="24"/>
        </w:rPr>
        <w:t>、因不可抗力导致基金管理人不能支付定期支付的款项。</w:t>
      </w:r>
    </w:p>
    <w:p w:rsidR="00783788" w:rsidRDefault="002C6E18">
      <w:pPr>
        <w:adjustRightInd w:val="0"/>
        <w:snapToGrid w:val="0"/>
        <w:spacing w:line="360" w:lineRule="auto"/>
        <w:ind w:firstLineChars="200" w:firstLine="480"/>
        <w:rPr>
          <w:bCs/>
          <w:sz w:val="24"/>
          <w:szCs w:val="24"/>
        </w:rPr>
      </w:pPr>
      <w:r>
        <w:rPr>
          <w:bCs/>
          <w:sz w:val="24"/>
          <w:szCs w:val="24"/>
        </w:rPr>
        <w:t>2</w:t>
      </w:r>
      <w:r>
        <w:rPr>
          <w:rFonts w:hAnsi="宋体"/>
          <w:bCs/>
          <w:sz w:val="24"/>
          <w:szCs w:val="24"/>
        </w:rPr>
        <w:t>、定期支付基准日发生基金合同规定的暂停基金资产估值情况。</w:t>
      </w:r>
    </w:p>
    <w:p w:rsidR="00783788" w:rsidRDefault="002C6E18">
      <w:pPr>
        <w:adjustRightInd w:val="0"/>
        <w:snapToGrid w:val="0"/>
        <w:spacing w:line="360" w:lineRule="auto"/>
        <w:ind w:firstLineChars="200" w:firstLine="480"/>
        <w:rPr>
          <w:bCs/>
          <w:sz w:val="24"/>
          <w:szCs w:val="24"/>
        </w:rPr>
      </w:pPr>
      <w:r>
        <w:rPr>
          <w:bCs/>
          <w:sz w:val="24"/>
          <w:szCs w:val="24"/>
        </w:rPr>
        <w:t>3</w:t>
      </w:r>
      <w:r>
        <w:rPr>
          <w:rFonts w:hAnsi="宋体"/>
          <w:bCs/>
          <w:sz w:val="24"/>
          <w:szCs w:val="24"/>
        </w:rPr>
        <w:t>、定期支付基准日证券交易所交易时间临时停市，导致基金管理人无法计算当日基金资产净值。</w:t>
      </w:r>
    </w:p>
    <w:p w:rsidR="00783788" w:rsidRDefault="002C6E18">
      <w:pPr>
        <w:adjustRightInd w:val="0"/>
        <w:snapToGrid w:val="0"/>
        <w:spacing w:line="360" w:lineRule="auto"/>
        <w:ind w:firstLineChars="200" w:firstLine="480"/>
        <w:rPr>
          <w:bCs/>
          <w:sz w:val="24"/>
          <w:szCs w:val="24"/>
        </w:rPr>
      </w:pPr>
      <w:r>
        <w:rPr>
          <w:bCs/>
          <w:sz w:val="24"/>
          <w:szCs w:val="24"/>
        </w:rPr>
        <w:t>4</w:t>
      </w:r>
      <w:r>
        <w:rPr>
          <w:rFonts w:hAnsi="宋体"/>
          <w:bCs/>
          <w:sz w:val="24"/>
          <w:szCs w:val="24"/>
        </w:rPr>
        <w:t>、定期支付基准日发生基金合同第六部分约定的暂停赎回或者延缓支付赎回款项的情形且基金管理人决定暂停接受投资人的赎回申请或者延缓支付赎回款项。</w:t>
      </w:r>
    </w:p>
    <w:p w:rsidR="00783788" w:rsidRDefault="002C6E18">
      <w:pPr>
        <w:adjustRightInd w:val="0"/>
        <w:snapToGrid w:val="0"/>
        <w:spacing w:line="360" w:lineRule="auto"/>
        <w:ind w:firstLineChars="200" w:firstLine="480"/>
        <w:rPr>
          <w:bCs/>
          <w:sz w:val="24"/>
          <w:szCs w:val="24"/>
        </w:rPr>
      </w:pPr>
      <w:r>
        <w:rPr>
          <w:rFonts w:hAnsi="宋体"/>
          <w:bCs/>
          <w:sz w:val="24"/>
          <w:szCs w:val="24"/>
        </w:rPr>
        <w:t>发生上述情形之一且基金管理人决定暂停当月的定期支付时，基金管理人应当根据有关规定在指定媒体上刊登暂停定期支付业务公告并报中国证监会备案。</w:t>
      </w:r>
    </w:p>
    <w:p w:rsidR="00783788" w:rsidRDefault="002C6E18">
      <w:pPr>
        <w:adjustRightInd w:val="0"/>
        <w:snapToGrid w:val="0"/>
        <w:spacing w:line="360" w:lineRule="auto"/>
        <w:ind w:firstLineChars="200" w:firstLine="482"/>
        <w:rPr>
          <w:b/>
          <w:bCs/>
          <w:sz w:val="24"/>
          <w:szCs w:val="24"/>
        </w:rPr>
      </w:pPr>
      <w:r>
        <w:rPr>
          <w:rFonts w:hAnsi="宋体"/>
          <w:b/>
          <w:sz w:val="24"/>
          <w:szCs w:val="24"/>
        </w:rPr>
        <w:t>（二）定期支付的支付基准日、权益登记日及款</w:t>
      </w:r>
      <w:r>
        <w:rPr>
          <w:rFonts w:hAnsi="宋体"/>
          <w:b/>
          <w:bCs/>
          <w:sz w:val="24"/>
          <w:szCs w:val="24"/>
        </w:rPr>
        <w:t>项支付</w:t>
      </w:r>
    </w:p>
    <w:p w:rsidR="00783788" w:rsidRDefault="002C6E18">
      <w:pPr>
        <w:adjustRightInd w:val="0"/>
        <w:snapToGrid w:val="0"/>
        <w:spacing w:line="360" w:lineRule="auto"/>
        <w:ind w:firstLineChars="200" w:firstLine="480"/>
        <w:rPr>
          <w:bCs/>
          <w:sz w:val="24"/>
          <w:szCs w:val="24"/>
        </w:rPr>
      </w:pPr>
      <w:r>
        <w:rPr>
          <w:rFonts w:hAnsi="宋体"/>
          <w:bCs/>
          <w:sz w:val="24"/>
          <w:szCs w:val="24"/>
        </w:rPr>
        <w:t>基金进行定期支付的，当月的第一个工作日（</w:t>
      </w:r>
      <w:r>
        <w:rPr>
          <w:bCs/>
          <w:sz w:val="24"/>
          <w:szCs w:val="24"/>
        </w:rPr>
        <w:t>T</w:t>
      </w:r>
      <w:r>
        <w:rPr>
          <w:rFonts w:hAnsi="宋体"/>
          <w:bCs/>
          <w:sz w:val="24"/>
          <w:szCs w:val="24"/>
        </w:rPr>
        <w:t>日）为本基金的定期支付基准日，该月的现金支付金额以该日的基金资产净值为基础计算得出。当月的第一个工作日（</w:t>
      </w:r>
      <w:r>
        <w:rPr>
          <w:bCs/>
          <w:sz w:val="24"/>
          <w:szCs w:val="24"/>
        </w:rPr>
        <w:t>T</w:t>
      </w:r>
      <w:r>
        <w:rPr>
          <w:rFonts w:hAnsi="宋体"/>
          <w:bCs/>
          <w:sz w:val="24"/>
          <w:szCs w:val="24"/>
        </w:rPr>
        <w:t>日）也是该月定期支付的权益登记日，即该日登记在册的基金份额持有人为该月定期支付的对象。对于</w:t>
      </w:r>
      <w:r>
        <w:rPr>
          <w:bCs/>
          <w:sz w:val="24"/>
          <w:szCs w:val="24"/>
        </w:rPr>
        <w:t>T</w:t>
      </w:r>
      <w:r>
        <w:rPr>
          <w:rFonts w:hAnsi="宋体"/>
          <w:bCs/>
          <w:sz w:val="24"/>
          <w:szCs w:val="24"/>
        </w:rPr>
        <w:t>日登记在册的基金份额持有人，登记机构在</w:t>
      </w:r>
      <w:r>
        <w:rPr>
          <w:bCs/>
          <w:sz w:val="24"/>
          <w:szCs w:val="24"/>
        </w:rPr>
        <w:t>T</w:t>
      </w:r>
      <w:r>
        <w:rPr>
          <w:rFonts w:hAnsi="宋体"/>
          <w:bCs/>
          <w:sz w:val="24"/>
          <w:szCs w:val="24"/>
        </w:rPr>
        <w:t>＋</w:t>
      </w:r>
      <w:r>
        <w:rPr>
          <w:bCs/>
          <w:sz w:val="24"/>
          <w:szCs w:val="24"/>
        </w:rPr>
        <w:t>1</w:t>
      </w:r>
      <w:r>
        <w:rPr>
          <w:rFonts w:hAnsi="宋体"/>
          <w:bCs/>
          <w:sz w:val="24"/>
          <w:szCs w:val="24"/>
        </w:rPr>
        <w:t>日确定自动赎回用于现金支付的基金份额数并</w:t>
      </w:r>
      <w:r>
        <w:rPr>
          <w:rFonts w:hAnsi="宋体"/>
          <w:sz w:val="24"/>
          <w:szCs w:val="24"/>
        </w:rPr>
        <w:t>将上述用于现金支付的基金份额从基金份额持有人账户中进行扣减</w:t>
      </w:r>
      <w:r>
        <w:rPr>
          <w:rFonts w:hAnsi="宋体"/>
          <w:bCs/>
          <w:sz w:val="24"/>
          <w:szCs w:val="24"/>
        </w:rPr>
        <w:t>。</w:t>
      </w:r>
      <w:r>
        <w:rPr>
          <w:rFonts w:hAnsi="宋体"/>
          <w:sz w:val="24"/>
          <w:szCs w:val="24"/>
        </w:rPr>
        <w:t>基金管理人将通过登记机构及其相关销售机构</w:t>
      </w:r>
      <w:r>
        <w:rPr>
          <w:rFonts w:hAnsi="宋体"/>
          <w:bCs/>
          <w:sz w:val="24"/>
          <w:szCs w:val="24"/>
        </w:rPr>
        <w:t>在</w:t>
      </w:r>
      <w:r>
        <w:rPr>
          <w:bCs/>
          <w:sz w:val="24"/>
          <w:szCs w:val="24"/>
        </w:rPr>
        <w:t>T</w:t>
      </w:r>
      <w:r>
        <w:rPr>
          <w:rFonts w:hAnsi="宋体"/>
          <w:bCs/>
          <w:sz w:val="24"/>
          <w:szCs w:val="24"/>
        </w:rPr>
        <w:t>＋</w:t>
      </w:r>
      <w:r>
        <w:rPr>
          <w:bCs/>
          <w:sz w:val="24"/>
          <w:szCs w:val="24"/>
        </w:rPr>
        <w:t>7</w:t>
      </w:r>
      <w:r>
        <w:rPr>
          <w:rFonts w:hAnsi="宋体"/>
          <w:bCs/>
          <w:sz w:val="24"/>
          <w:szCs w:val="24"/>
        </w:rPr>
        <w:t>日（包括该日）内将支付款项划往基金份额持有人账户。</w:t>
      </w:r>
    </w:p>
    <w:p w:rsidR="00783788" w:rsidRDefault="002C6E18">
      <w:pPr>
        <w:adjustRightInd w:val="0"/>
        <w:snapToGrid w:val="0"/>
        <w:spacing w:line="360" w:lineRule="auto"/>
        <w:ind w:firstLineChars="200" w:firstLine="480"/>
        <w:rPr>
          <w:bCs/>
          <w:sz w:val="24"/>
          <w:szCs w:val="24"/>
        </w:rPr>
      </w:pPr>
      <w:r>
        <w:rPr>
          <w:rFonts w:hAnsi="宋体"/>
          <w:sz w:val="24"/>
          <w:szCs w:val="24"/>
        </w:rPr>
        <w:t>基金管理人可在法律法规允许的范围内，依法对上述定期支付的时间安排进行调整，并必须在调整实施日前按照《信息披露办法》的有关规定在指定媒体上公告并报中国证监会备案。</w:t>
      </w:r>
    </w:p>
    <w:p w:rsidR="00783788" w:rsidRDefault="002C6E18">
      <w:pPr>
        <w:adjustRightInd w:val="0"/>
        <w:snapToGrid w:val="0"/>
        <w:spacing w:line="360" w:lineRule="auto"/>
        <w:ind w:firstLineChars="200" w:firstLine="482"/>
        <w:rPr>
          <w:b/>
          <w:bCs/>
          <w:sz w:val="24"/>
          <w:szCs w:val="24"/>
        </w:rPr>
      </w:pPr>
      <w:r>
        <w:rPr>
          <w:rFonts w:hAnsi="宋体"/>
          <w:b/>
          <w:bCs/>
          <w:sz w:val="24"/>
          <w:szCs w:val="24"/>
        </w:rPr>
        <w:t>（三）定期支付金额的计算</w:t>
      </w:r>
    </w:p>
    <w:p w:rsidR="00783788" w:rsidRDefault="002C6E18">
      <w:pPr>
        <w:adjustRightInd w:val="0"/>
        <w:snapToGrid w:val="0"/>
        <w:spacing w:line="360" w:lineRule="auto"/>
        <w:ind w:firstLineChars="200" w:firstLine="480"/>
        <w:rPr>
          <w:sz w:val="24"/>
          <w:szCs w:val="24"/>
        </w:rPr>
      </w:pPr>
      <w:r>
        <w:rPr>
          <w:rFonts w:hAnsi="宋体"/>
          <w:bCs/>
          <w:sz w:val="24"/>
          <w:szCs w:val="24"/>
        </w:rPr>
        <w:t>本基金</w:t>
      </w:r>
      <w:r>
        <w:rPr>
          <w:rFonts w:hAnsi="宋体"/>
          <w:sz w:val="24"/>
          <w:szCs w:val="24"/>
        </w:rPr>
        <w:t>每次定期支付按照年化现金支付比率计算现金支付金额并自动赎回对应金额的基金</w:t>
      </w:r>
      <w:r>
        <w:rPr>
          <w:rFonts w:hAnsi="宋体"/>
          <w:bCs/>
          <w:sz w:val="24"/>
          <w:szCs w:val="24"/>
        </w:rPr>
        <w:t>份额数以用于向基金份额持有人进行现金支付</w:t>
      </w:r>
      <w:r>
        <w:rPr>
          <w:rFonts w:hAnsi="宋体"/>
          <w:sz w:val="24"/>
          <w:szCs w:val="24"/>
        </w:rPr>
        <w:t>，现金支付金额和自动赎回用于现金支付的基金份额按照单个基金交易账户进行计算，具体计算公式如下：</w:t>
      </w:r>
    </w:p>
    <w:p w:rsidR="00783788" w:rsidRDefault="003E6104">
      <w:pPr>
        <w:adjustRightInd w:val="0"/>
        <w:snapToGrid w:val="0"/>
        <w:spacing w:line="360" w:lineRule="auto"/>
        <w:ind w:firstLineChars="200" w:firstLine="480"/>
        <w:rPr>
          <w:spacing w:val="8"/>
          <w:sz w:val="24"/>
          <w:szCs w:val="24"/>
        </w:rPr>
      </w:pPr>
      <w:r>
        <w:rPr>
          <w:sz w:val="24"/>
          <w:szCs w:val="24"/>
        </w:rPr>
        <w:pict>
          <v:shape id="图片 2" o:spid="_x0000_i1026" type="#_x0000_t75" style="width:105pt;height:39.75pt">
            <v:imagedata r:id="rId13" o:title="" chromakey="white"/>
          </v:shape>
        </w:pict>
      </w:r>
    </w:p>
    <w:p w:rsidR="00783788" w:rsidRDefault="003E6104">
      <w:pPr>
        <w:adjustRightInd w:val="0"/>
        <w:snapToGrid w:val="0"/>
        <w:spacing w:line="360" w:lineRule="auto"/>
        <w:ind w:firstLineChars="200" w:firstLine="480"/>
        <w:rPr>
          <w:spacing w:val="8"/>
          <w:sz w:val="24"/>
          <w:szCs w:val="24"/>
        </w:rPr>
      </w:pPr>
      <w:r>
        <w:rPr>
          <w:sz w:val="24"/>
          <w:szCs w:val="24"/>
        </w:rPr>
        <w:pict>
          <v:shape id="图片 3" o:spid="_x0000_i1027" type="#_x0000_t75" style="width:78pt;height:14.25pt">
            <v:imagedata r:id="rId14" o:title="" chromakey="white"/>
          </v:shape>
        </w:pict>
      </w:r>
    </w:p>
    <w:p w:rsidR="00783788" w:rsidRDefault="003E6104">
      <w:pPr>
        <w:adjustRightInd w:val="0"/>
        <w:snapToGrid w:val="0"/>
        <w:spacing w:line="360" w:lineRule="auto"/>
        <w:ind w:firstLineChars="200" w:firstLine="480"/>
        <w:rPr>
          <w:spacing w:val="8"/>
          <w:sz w:val="24"/>
          <w:szCs w:val="24"/>
        </w:rPr>
      </w:pPr>
      <w:r>
        <w:rPr>
          <w:sz w:val="24"/>
          <w:szCs w:val="24"/>
        </w:rPr>
        <w:pict>
          <v:shape id="图片 4" o:spid="_x0000_i1028" type="#_x0000_t75" style="width:57.75pt;height:14.25pt">
            <v:imagedata r:id="rId15" o:title="" chromakey="white"/>
          </v:shape>
        </w:pict>
      </w:r>
    </w:p>
    <w:p w:rsidR="00783788" w:rsidRDefault="002C6E18">
      <w:pPr>
        <w:adjustRightInd w:val="0"/>
        <w:snapToGrid w:val="0"/>
        <w:spacing w:line="360" w:lineRule="auto"/>
        <w:ind w:firstLineChars="200" w:firstLine="480"/>
        <w:rPr>
          <w:sz w:val="24"/>
          <w:szCs w:val="24"/>
        </w:rPr>
      </w:pPr>
      <w:r>
        <w:rPr>
          <w:rFonts w:hAnsi="宋体"/>
          <w:sz w:val="24"/>
          <w:szCs w:val="24"/>
        </w:rPr>
        <w:t>其中：</w:t>
      </w:r>
    </w:p>
    <w:p w:rsidR="00783788" w:rsidRDefault="002C6E18">
      <w:pPr>
        <w:adjustRightInd w:val="0"/>
        <w:snapToGrid w:val="0"/>
        <w:spacing w:line="360" w:lineRule="auto"/>
        <w:ind w:firstLineChars="200" w:firstLine="480"/>
        <w:rPr>
          <w:sz w:val="24"/>
          <w:szCs w:val="24"/>
        </w:rPr>
      </w:pPr>
      <w:r>
        <w:rPr>
          <w:sz w:val="24"/>
          <w:szCs w:val="24"/>
        </w:rPr>
        <w:t>D</w:t>
      </w:r>
      <w:r>
        <w:rPr>
          <w:sz w:val="24"/>
          <w:szCs w:val="24"/>
          <w:vertAlign w:val="subscript"/>
        </w:rPr>
        <w:t>i</w:t>
      </w:r>
      <w:r>
        <w:rPr>
          <w:rFonts w:hAnsi="宋体"/>
          <w:sz w:val="24"/>
          <w:szCs w:val="24"/>
        </w:rPr>
        <w:t>为第</w:t>
      </w:r>
      <w:r>
        <w:rPr>
          <w:sz w:val="24"/>
          <w:szCs w:val="24"/>
        </w:rPr>
        <w:t>i</w:t>
      </w:r>
      <w:r>
        <w:rPr>
          <w:rFonts w:hAnsi="宋体"/>
          <w:sz w:val="24"/>
          <w:szCs w:val="24"/>
        </w:rPr>
        <w:t>次定期支付权益登记日</w:t>
      </w:r>
      <w:r>
        <w:rPr>
          <w:rFonts w:hAnsi="宋体"/>
          <w:bCs/>
          <w:sz w:val="24"/>
          <w:szCs w:val="24"/>
        </w:rPr>
        <w:t>登记在册的</w:t>
      </w:r>
      <w:r>
        <w:rPr>
          <w:rFonts w:hAnsi="宋体"/>
          <w:sz w:val="24"/>
          <w:szCs w:val="24"/>
        </w:rPr>
        <w:t>每份基金份额对应的现金支付金额；</w:t>
      </w:r>
    </w:p>
    <w:p w:rsidR="00783788" w:rsidRDefault="002C6E18">
      <w:pPr>
        <w:adjustRightInd w:val="0"/>
        <w:snapToGrid w:val="0"/>
        <w:spacing w:line="360" w:lineRule="auto"/>
        <w:ind w:firstLineChars="200" w:firstLine="480"/>
        <w:rPr>
          <w:sz w:val="24"/>
          <w:szCs w:val="24"/>
        </w:rPr>
      </w:pPr>
      <w:r>
        <w:rPr>
          <w:sz w:val="24"/>
          <w:szCs w:val="24"/>
        </w:rPr>
        <w:t>n</w:t>
      </w:r>
      <w:r>
        <w:rPr>
          <w:sz w:val="24"/>
          <w:szCs w:val="24"/>
          <w:vertAlign w:val="subscript"/>
        </w:rPr>
        <w:t>i</w:t>
      </w:r>
      <w:r>
        <w:rPr>
          <w:rFonts w:hAnsi="宋体"/>
          <w:sz w:val="24"/>
          <w:szCs w:val="24"/>
        </w:rPr>
        <w:t>为第</w:t>
      </w:r>
      <w:r>
        <w:rPr>
          <w:sz w:val="24"/>
          <w:szCs w:val="24"/>
        </w:rPr>
        <w:t>i</w:t>
      </w:r>
      <w:r>
        <w:rPr>
          <w:rFonts w:hAnsi="宋体"/>
          <w:sz w:val="24"/>
          <w:szCs w:val="24"/>
        </w:rPr>
        <w:t>次定期支付该基金交易账户对应的自动赎回用于现金支付的份额数，计算结果四舍五入保留到小数点后两位；</w:t>
      </w:r>
    </w:p>
    <w:p w:rsidR="00783788" w:rsidRDefault="002C6E18">
      <w:pPr>
        <w:adjustRightInd w:val="0"/>
        <w:snapToGrid w:val="0"/>
        <w:spacing w:line="360" w:lineRule="auto"/>
        <w:ind w:firstLineChars="200" w:firstLine="480"/>
        <w:rPr>
          <w:sz w:val="24"/>
          <w:szCs w:val="24"/>
        </w:rPr>
      </w:pPr>
      <w:r>
        <w:rPr>
          <w:sz w:val="24"/>
          <w:szCs w:val="24"/>
        </w:rPr>
        <w:t>C</w:t>
      </w:r>
      <w:r>
        <w:rPr>
          <w:sz w:val="24"/>
          <w:szCs w:val="24"/>
          <w:vertAlign w:val="subscript"/>
        </w:rPr>
        <w:t>i</w:t>
      </w:r>
      <w:r>
        <w:rPr>
          <w:rFonts w:hAnsi="宋体"/>
          <w:sz w:val="24"/>
          <w:szCs w:val="24"/>
        </w:rPr>
        <w:t>为第</w:t>
      </w:r>
      <w:r>
        <w:rPr>
          <w:sz w:val="24"/>
          <w:szCs w:val="24"/>
        </w:rPr>
        <w:t>i</w:t>
      </w:r>
      <w:r>
        <w:rPr>
          <w:rFonts w:hAnsi="宋体"/>
          <w:sz w:val="24"/>
          <w:szCs w:val="24"/>
        </w:rPr>
        <w:t>次定期支付该基金交易账户实际可获得的现金支付金额，计算结果四舍五入保留到小数点后两位；</w:t>
      </w:r>
    </w:p>
    <w:p w:rsidR="00783788" w:rsidRDefault="002C6E18">
      <w:pPr>
        <w:adjustRightInd w:val="0"/>
        <w:snapToGrid w:val="0"/>
        <w:spacing w:line="360" w:lineRule="auto"/>
        <w:ind w:firstLineChars="200" w:firstLine="480"/>
        <w:rPr>
          <w:sz w:val="24"/>
          <w:szCs w:val="24"/>
        </w:rPr>
      </w:pPr>
      <w:r>
        <w:rPr>
          <w:sz w:val="24"/>
          <w:szCs w:val="24"/>
        </w:rPr>
        <w:t>P</w:t>
      </w:r>
      <w:r>
        <w:rPr>
          <w:sz w:val="24"/>
          <w:szCs w:val="24"/>
          <w:vertAlign w:val="subscript"/>
        </w:rPr>
        <w:t>i</w:t>
      </w:r>
      <w:r>
        <w:rPr>
          <w:rFonts w:hAnsi="宋体"/>
          <w:sz w:val="24"/>
          <w:szCs w:val="24"/>
        </w:rPr>
        <w:t>为第</w:t>
      </w:r>
      <w:r>
        <w:rPr>
          <w:sz w:val="24"/>
          <w:szCs w:val="24"/>
        </w:rPr>
        <w:t>i</w:t>
      </w:r>
      <w:r>
        <w:rPr>
          <w:rFonts w:hAnsi="宋体"/>
          <w:sz w:val="24"/>
          <w:szCs w:val="24"/>
        </w:rPr>
        <w:t>次定期支付权益登记日的基金份额净值；</w:t>
      </w:r>
    </w:p>
    <w:p w:rsidR="00783788" w:rsidRDefault="002C6E18">
      <w:pPr>
        <w:adjustRightInd w:val="0"/>
        <w:snapToGrid w:val="0"/>
        <w:spacing w:line="360" w:lineRule="auto"/>
        <w:ind w:firstLineChars="200" w:firstLine="480"/>
        <w:rPr>
          <w:sz w:val="24"/>
          <w:szCs w:val="24"/>
        </w:rPr>
      </w:pPr>
      <w:r>
        <w:rPr>
          <w:sz w:val="24"/>
          <w:szCs w:val="24"/>
        </w:rPr>
        <w:t>R</w:t>
      </w:r>
      <w:r>
        <w:rPr>
          <w:rFonts w:hAnsi="宋体"/>
          <w:sz w:val="24"/>
          <w:szCs w:val="24"/>
        </w:rPr>
        <w:t>为年化现金支付比率；</w:t>
      </w:r>
    </w:p>
    <w:p w:rsidR="00783788" w:rsidRDefault="002C6E18">
      <w:pPr>
        <w:adjustRightInd w:val="0"/>
        <w:snapToGrid w:val="0"/>
        <w:spacing w:line="360" w:lineRule="auto"/>
        <w:ind w:firstLineChars="200" w:firstLine="480"/>
        <w:rPr>
          <w:sz w:val="24"/>
          <w:szCs w:val="24"/>
        </w:rPr>
      </w:pPr>
      <w:r>
        <w:rPr>
          <w:sz w:val="24"/>
          <w:szCs w:val="24"/>
        </w:rPr>
        <w:t>t</w:t>
      </w:r>
      <w:r>
        <w:rPr>
          <w:sz w:val="24"/>
          <w:szCs w:val="24"/>
          <w:vertAlign w:val="subscript"/>
        </w:rPr>
        <w:t>i</w:t>
      </w:r>
      <w:r>
        <w:rPr>
          <w:rFonts w:hAnsi="宋体"/>
          <w:sz w:val="24"/>
          <w:szCs w:val="24"/>
        </w:rPr>
        <w:t>（</w:t>
      </w:r>
      <w:r>
        <w:rPr>
          <w:sz w:val="24"/>
          <w:szCs w:val="24"/>
        </w:rPr>
        <w:t>i&gt;1</w:t>
      </w:r>
      <w:r>
        <w:rPr>
          <w:rFonts w:hAnsi="宋体"/>
          <w:sz w:val="24"/>
          <w:szCs w:val="24"/>
        </w:rPr>
        <w:t>）为第</w:t>
      </w:r>
      <w:r>
        <w:rPr>
          <w:sz w:val="24"/>
          <w:szCs w:val="24"/>
        </w:rPr>
        <w:t>i-1</w:t>
      </w:r>
      <w:r>
        <w:rPr>
          <w:rFonts w:hAnsi="宋体"/>
          <w:sz w:val="24"/>
          <w:szCs w:val="24"/>
        </w:rPr>
        <w:t>次定期支付权益登记日（不含该日）至第</w:t>
      </w:r>
      <w:r>
        <w:rPr>
          <w:sz w:val="24"/>
          <w:szCs w:val="24"/>
        </w:rPr>
        <w:t>i</w:t>
      </w:r>
      <w:r>
        <w:rPr>
          <w:rFonts w:hAnsi="宋体"/>
          <w:sz w:val="24"/>
          <w:szCs w:val="24"/>
        </w:rPr>
        <w:t>次定期支付权益登记日（含该日）之间的天数，</w:t>
      </w:r>
      <w:r>
        <w:rPr>
          <w:sz w:val="24"/>
          <w:szCs w:val="24"/>
        </w:rPr>
        <w:t>t</w:t>
      </w:r>
      <w:r>
        <w:rPr>
          <w:sz w:val="24"/>
          <w:szCs w:val="24"/>
          <w:vertAlign w:val="subscript"/>
        </w:rPr>
        <w:t>1</w:t>
      </w:r>
      <w:r>
        <w:rPr>
          <w:rFonts w:hAnsi="宋体"/>
          <w:sz w:val="24"/>
          <w:szCs w:val="24"/>
        </w:rPr>
        <w:t>为基金合同生效日（含该日）至第</w:t>
      </w:r>
      <w:r>
        <w:rPr>
          <w:sz w:val="24"/>
          <w:szCs w:val="24"/>
        </w:rPr>
        <w:t>1</w:t>
      </w:r>
      <w:r>
        <w:rPr>
          <w:rFonts w:hAnsi="宋体"/>
          <w:sz w:val="24"/>
          <w:szCs w:val="24"/>
        </w:rPr>
        <w:t>次定期支付权益登记日（含该日）之间的天数；</w:t>
      </w:r>
    </w:p>
    <w:p w:rsidR="00783788" w:rsidRDefault="002C6E18">
      <w:pPr>
        <w:adjustRightInd w:val="0"/>
        <w:snapToGrid w:val="0"/>
        <w:spacing w:line="360" w:lineRule="auto"/>
        <w:ind w:firstLineChars="200" w:firstLine="480"/>
        <w:rPr>
          <w:sz w:val="24"/>
          <w:szCs w:val="24"/>
        </w:rPr>
      </w:pPr>
      <w:r>
        <w:rPr>
          <w:sz w:val="24"/>
          <w:szCs w:val="24"/>
        </w:rPr>
        <w:t>T</w:t>
      </w:r>
      <w:r>
        <w:rPr>
          <w:rFonts w:hAnsi="宋体"/>
          <w:sz w:val="24"/>
          <w:szCs w:val="24"/>
        </w:rPr>
        <w:t>为</w:t>
      </w:r>
      <w:r>
        <w:rPr>
          <w:sz w:val="24"/>
          <w:szCs w:val="24"/>
        </w:rPr>
        <w:t>365</w:t>
      </w:r>
      <w:r>
        <w:rPr>
          <w:rFonts w:hAnsi="宋体"/>
          <w:sz w:val="24"/>
          <w:szCs w:val="24"/>
        </w:rPr>
        <w:t>天；</w:t>
      </w:r>
    </w:p>
    <w:p w:rsidR="00783788" w:rsidRDefault="002C6E18">
      <w:pPr>
        <w:adjustRightInd w:val="0"/>
        <w:snapToGrid w:val="0"/>
        <w:spacing w:line="360" w:lineRule="auto"/>
        <w:ind w:firstLineChars="200" w:firstLine="480"/>
        <w:rPr>
          <w:sz w:val="24"/>
          <w:szCs w:val="24"/>
        </w:rPr>
      </w:pPr>
      <w:r>
        <w:rPr>
          <w:sz w:val="24"/>
          <w:szCs w:val="24"/>
        </w:rPr>
        <w:t>M</w:t>
      </w:r>
      <w:r>
        <w:rPr>
          <w:sz w:val="24"/>
          <w:szCs w:val="24"/>
          <w:vertAlign w:val="subscript"/>
        </w:rPr>
        <w:t>i</w:t>
      </w:r>
      <w:r>
        <w:rPr>
          <w:rFonts w:hAnsi="宋体"/>
          <w:sz w:val="24"/>
          <w:szCs w:val="24"/>
        </w:rPr>
        <w:t>为第</w:t>
      </w:r>
      <w:r>
        <w:rPr>
          <w:sz w:val="24"/>
          <w:szCs w:val="24"/>
        </w:rPr>
        <w:t>i</w:t>
      </w:r>
      <w:r>
        <w:rPr>
          <w:rFonts w:hAnsi="宋体"/>
          <w:sz w:val="24"/>
          <w:szCs w:val="24"/>
        </w:rPr>
        <w:t>次定期支付权益登记日基金份额持有人在该基金交易账户确认持有的份额数。</w:t>
      </w:r>
    </w:p>
    <w:p w:rsidR="00783788" w:rsidRDefault="002C6E18">
      <w:pPr>
        <w:adjustRightInd w:val="0"/>
        <w:snapToGrid w:val="0"/>
        <w:spacing w:line="360" w:lineRule="auto"/>
        <w:ind w:firstLineChars="200" w:firstLine="480"/>
        <w:rPr>
          <w:bCs/>
          <w:sz w:val="24"/>
          <w:szCs w:val="24"/>
        </w:rPr>
      </w:pPr>
      <w:r>
        <w:rPr>
          <w:rFonts w:hAnsi="宋体"/>
          <w:sz w:val="24"/>
          <w:szCs w:val="24"/>
        </w:rPr>
        <w:t>由于计算过程尾差的处理，投资人实际可获得的现金支付金额（即</w:t>
      </w:r>
      <w:r>
        <w:rPr>
          <w:sz w:val="24"/>
          <w:szCs w:val="24"/>
        </w:rPr>
        <w:t>C</w:t>
      </w:r>
      <w:r>
        <w:rPr>
          <w:sz w:val="24"/>
          <w:szCs w:val="24"/>
          <w:vertAlign w:val="subscript"/>
        </w:rPr>
        <w:t>i</w:t>
      </w:r>
      <w:r>
        <w:rPr>
          <w:rFonts w:hAnsi="宋体"/>
          <w:sz w:val="24"/>
          <w:szCs w:val="24"/>
        </w:rPr>
        <w:t>），与按照每份基金份额对应的现金支付金额乘以其权益登记日持有的份额数（即</w:t>
      </w:r>
      <w:r>
        <w:rPr>
          <w:sz w:val="24"/>
          <w:szCs w:val="24"/>
        </w:rPr>
        <w:t>D</w:t>
      </w:r>
      <w:r>
        <w:rPr>
          <w:sz w:val="24"/>
          <w:szCs w:val="24"/>
          <w:vertAlign w:val="subscript"/>
        </w:rPr>
        <w:t>i</w:t>
      </w:r>
      <w:r>
        <w:rPr>
          <w:bCs/>
          <w:sz w:val="24"/>
          <w:szCs w:val="24"/>
        </w:rPr>
        <w:sym w:font="Symbol" w:char="F0B4"/>
      </w:r>
      <w:r>
        <w:rPr>
          <w:sz w:val="24"/>
          <w:szCs w:val="24"/>
        </w:rPr>
        <w:t>M</w:t>
      </w:r>
      <w:r>
        <w:rPr>
          <w:sz w:val="24"/>
          <w:szCs w:val="24"/>
          <w:vertAlign w:val="subscript"/>
        </w:rPr>
        <w:t>i</w:t>
      </w:r>
      <w:r>
        <w:rPr>
          <w:rFonts w:hAnsi="宋体"/>
          <w:sz w:val="24"/>
          <w:szCs w:val="24"/>
        </w:rPr>
        <w:t>）计算得到的结果可能存在一定尾差。</w:t>
      </w:r>
    </w:p>
    <w:p w:rsidR="00783788" w:rsidRDefault="002C6E18">
      <w:pPr>
        <w:adjustRightInd w:val="0"/>
        <w:snapToGrid w:val="0"/>
        <w:spacing w:line="360" w:lineRule="auto"/>
        <w:ind w:firstLineChars="200" w:firstLine="480"/>
        <w:rPr>
          <w:bCs/>
          <w:sz w:val="24"/>
          <w:szCs w:val="24"/>
        </w:rPr>
      </w:pPr>
      <w:r>
        <w:rPr>
          <w:rFonts w:hAnsi="宋体"/>
          <w:bCs/>
          <w:sz w:val="24"/>
          <w:szCs w:val="24"/>
        </w:rPr>
        <w:t>本基金当前的年化现金支付比率为</w:t>
      </w:r>
      <w:r>
        <w:rPr>
          <w:bCs/>
          <w:sz w:val="24"/>
          <w:szCs w:val="24"/>
        </w:rPr>
        <w:t>6%</w:t>
      </w:r>
      <w:r>
        <w:rPr>
          <w:rFonts w:hAnsi="宋体"/>
          <w:bCs/>
          <w:sz w:val="24"/>
          <w:szCs w:val="24"/>
        </w:rPr>
        <w:t>，基金管理人可以根据基金实际运作情况和市场环境的变化，在履行适当程序后对上述约定的年化现金支付比率进行调整，并至少在调整前一个月公告，上述调整不须召开份额持有人大会。</w:t>
      </w:r>
    </w:p>
    <w:p w:rsidR="00783788" w:rsidRDefault="002C6E18">
      <w:pPr>
        <w:adjustRightInd w:val="0"/>
        <w:snapToGrid w:val="0"/>
        <w:spacing w:line="360" w:lineRule="auto"/>
        <w:ind w:firstLineChars="200" w:firstLine="480"/>
        <w:rPr>
          <w:sz w:val="24"/>
          <w:szCs w:val="24"/>
        </w:rPr>
      </w:pPr>
      <w:r>
        <w:rPr>
          <w:rFonts w:hAnsi="宋体"/>
          <w:bCs/>
          <w:sz w:val="24"/>
          <w:szCs w:val="24"/>
        </w:rPr>
        <w:t>例四：假设本基金合同生效日为</w:t>
      </w:r>
      <w:r>
        <w:rPr>
          <w:bCs/>
          <w:sz w:val="24"/>
          <w:szCs w:val="24"/>
        </w:rPr>
        <w:t>2013</w:t>
      </w:r>
      <w:r>
        <w:rPr>
          <w:rFonts w:hAnsi="宋体"/>
          <w:bCs/>
          <w:sz w:val="24"/>
          <w:szCs w:val="24"/>
        </w:rPr>
        <w:t>年</w:t>
      </w:r>
      <w:r>
        <w:rPr>
          <w:bCs/>
          <w:sz w:val="24"/>
          <w:szCs w:val="24"/>
        </w:rPr>
        <w:t>1</w:t>
      </w:r>
      <w:r>
        <w:rPr>
          <w:rFonts w:hAnsi="宋体"/>
          <w:bCs/>
          <w:sz w:val="24"/>
          <w:szCs w:val="24"/>
        </w:rPr>
        <w:t>月</w:t>
      </w:r>
      <w:r>
        <w:rPr>
          <w:bCs/>
          <w:sz w:val="24"/>
          <w:szCs w:val="24"/>
        </w:rPr>
        <w:t>8</w:t>
      </w:r>
      <w:r>
        <w:rPr>
          <w:rFonts w:hAnsi="宋体"/>
          <w:bCs/>
          <w:sz w:val="24"/>
          <w:szCs w:val="24"/>
        </w:rPr>
        <w:t>日，于</w:t>
      </w:r>
      <w:r>
        <w:rPr>
          <w:bCs/>
          <w:sz w:val="24"/>
          <w:szCs w:val="24"/>
        </w:rPr>
        <w:t>2013</w:t>
      </w:r>
      <w:r>
        <w:rPr>
          <w:rFonts w:hAnsi="宋体"/>
          <w:bCs/>
          <w:sz w:val="24"/>
          <w:szCs w:val="24"/>
        </w:rPr>
        <w:t>年</w:t>
      </w:r>
      <w:r>
        <w:rPr>
          <w:bCs/>
          <w:sz w:val="24"/>
          <w:szCs w:val="24"/>
        </w:rPr>
        <w:t>3</w:t>
      </w:r>
      <w:r>
        <w:rPr>
          <w:rFonts w:hAnsi="宋体"/>
          <w:bCs/>
          <w:sz w:val="24"/>
          <w:szCs w:val="24"/>
        </w:rPr>
        <w:t>月进行了第一次定期支付，</w:t>
      </w:r>
      <w:r>
        <w:rPr>
          <w:bCs/>
          <w:sz w:val="24"/>
          <w:szCs w:val="24"/>
        </w:rPr>
        <w:t>2013</w:t>
      </w:r>
      <w:r>
        <w:rPr>
          <w:rFonts w:hAnsi="宋体"/>
          <w:bCs/>
          <w:sz w:val="24"/>
          <w:szCs w:val="24"/>
        </w:rPr>
        <w:t>年</w:t>
      </w:r>
      <w:r>
        <w:rPr>
          <w:bCs/>
          <w:sz w:val="24"/>
          <w:szCs w:val="24"/>
        </w:rPr>
        <w:t>3</w:t>
      </w:r>
      <w:r>
        <w:rPr>
          <w:rFonts w:hAnsi="宋体"/>
          <w:bCs/>
          <w:sz w:val="24"/>
          <w:szCs w:val="24"/>
        </w:rPr>
        <w:t>月</w:t>
      </w:r>
      <w:r>
        <w:rPr>
          <w:bCs/>
          <w:sz w:val="24"/>
          <w:szCs w:val="24"/>
        </w:rPr>
        <w:t>1</w:t>
      </w:r>
      <w:r>
        <w:rPr>
          <w:rFonts w:hAnsi="宋体"/>
          <w:bCs/>
          <w:sz w:val="24"/>
          <w:szCs w:val="24"/>
        </w:rPr>
        <w:t>日为当月定期支付基准日和权益登记日，假设该日的基金份额净值为</w:t>
      </w:r>
      <w:r>
        <w:rPr>
          <w:bCs/>
          <w:sz w:val="24"/>
          <w:szCs w:val="24"/>
        </w:rPr>
        <w:t>1.010</w:t>
      </w:r>
      <w:r>
        <w:rPr>
          <w:rFonts w:hAnsi="宋体"/>
          <w:bCs/>
          <w:sz w:val="24"/>
          <w:szCs w:val="24"/>
        </w:rPr>
        <w:t>元，</w:t>
      </w:r>
      <w:r>
        <w:rPr>
          <w:bCs/>
          <w:sz w:val="24"/>
          <w:szCs w:val="24"/>
        </w:rPr>
        <w:t>2013</w:t>
      </w:r>
      <w:r>
        <w:rPr>
          <w:rFonts w:hAnsi="宋体"/>
          <w:bCs/>
          <w:sz w:val="24"/>
          <w:szCs w:val="24"/>
        </w:rPr>
        <w:t>年</w:t>
      </w:r>
      <w:r>
        <w:rPr>
          <w:bCs/>
          <w:sz w:val="24"/>
          <w:szCs w:val="24"/>
        </w:rPr>
        <w:t>1</w:t>
      </w:r>
      <w:r>
        <w:rPr>
          <w:rFonts w:hAnsi="宋体"/>
          <w:bCs/>
          <w:sz w:val="24"/>
          <w:szCs w:val="24"/>
        </w:rPr>
        <w:t>月</w:t>
      </w:r>
      <w:r>
        <w:rPr>
          <w:bCs/>
          <w:sz w:val="24"/>
          <w:szCs w:val="24"/>
        </w:rPr>
        <w:t>8</w:t>
      </w:r>
      <w:r>
        <w:rPr>
          <w:rFonts w:hint="eastAsia"/>
          <w:bCs/>
          <w:sz w:val="24"/>
          <w:szCs w:val="24"/>
        </w:rPr>
        <w:t>（含</w:t>
      </w:r>
      <w:r>
        <w:rPr>
          <w:rFonts w:hAnsi="宋体" w:hint="eastAsia"/>
          <w:bCs/>
          <w:sz w:val="24"/>
          <w:szCs w:val="24"/>
        </w:rPr>
        <w:t>）至</w:t>
      </w:r>
      <w:r>
        <w:rPr>
          <w:rFonts w:hAnsi="宋体" w:hint="eastAsia"/>
          <w:bCs/>
          <w:sz w:val="24"/>
          <w:szCs w:val="24"/>
        </w:rPr>
        <w:t>2013</w:t>
      </w:r>
      <w:r>
        <w:rPr>
          <w:rFonts w:hAnsi="宋体" w:hint="eastAsia"/>
          <w:bCs/>
          <w:sz w:val="24"/>
          <w:szCs w:val="24"/>
        </w:rPr>
        <w:t>年</w:t>
      </w:r>
      <w:r>
        <w:rPr>
          <w:rFonts w:hAnsi="宋体" w:hint="eastAsia"/>
          <w:bCs/>
          <w:sz w:val="24"/>
          <w:szCs w:val="24"/>
        </w:rPr>
        <w:t>3</w:t>
      </w:r>
      <w:r>
        <w:rPr>
          <w:rFonts w:hAnsi="宋体" w:hint="eastAsia"/>
          <w:bCs/>
          <w:sz w:val="24"/>
          <w:szCs w:val="24"/>
        </w:rPr>
        <w:t>月</w:t>
      </w:r>
      <w:r>
        <w:rPr>
          <w:rFonts w:hAnsi="宋体" w:hint="eastAsia"/>
          <w:bCs/>
          <w:sz w:val="24"/>
          <w:szCs w:val="24"/>
        </w:rPr>
        <w:t>1</w:t>
      </w:r>
      <w:r>
        <w:rPr>
          <w:rFonts w:hAnsi="宋体" w:hint="eastAsia"/>
          <w:bCs/>
          <w:sz w:val="24"/>
          <w:szCs w:val="24"/>
        </w:rPr>
        <w:t>日（含）之间的天数为</w:t>
      </w:r>
      <w:r>
        <w:rPr>
          <w:rFonts w:hAnsi="宋体" w:hint="eastAsia"/>
          <w:bCs/>
          <w:sz w:val="24"/>
          <w:szCs w:val="24"/>
        </w:rPr>
        <w:t>53</w:t>
      </w:r>
      <w:r>
        <w:rPr>
          <w:rFonts w:hAnsi="宋体" w:hint="eastAsia"/>
          <w:bCs/>
          <w:sz w:val="24"/>
          <w:szCs w:val="24"/>
        </w:rPr>
        <w:t>天，</w:t>
      </w:r>
      <w:r>
        <w:rPr>
          <w:rFonts w:hAnsi="宋体"/>
          <w:bCs/>
          <w:sz w:val="24"/>
          <w:szCs w:val="24"/>
        </w:rPr>
        <w:t>则该次定期支付</w:t>
      </w:r>
      <w:r>
        <w:rPr>
          <w:rFonts w:hAnsi="宋体"/>
          <w:sz w:val="24"/>
          <w:szCs w:val="24"/>
        </w:rPr>
        <w:t>每份基金份额对应的现金支付金额为：</w:t>
      </w:r>
    </w:p>
    <w:p w:rsidR="00783788" w:rsidRDefault="002C6E18">
      <w:pPr>
        <w:adjustRightInd w:val="0"/>
        <w:snapToGrid w:val="0"/>
        <w:spacing w:line="360" w:lineRule="auto"/>
        <w:ind w:firstLineChars="200" w:firstLine="480"/>
        <w:rPr>
          <w:bCs/>
          <w:sz w:val="24"/>
          <w:szCs w:val="24"/>
        </w:rPr>
      </w:pPr>
      <w:r>
        <w:rPr>
          <w:bCs/>
          <w:sz w:val="24"/>
          <w:szCs w:val="24"/>
        </w:rPr>
        <w:t>D</w:t>
      </w:r>
      <w:r>
        <w:rPr>
          <w:bCs/>
          <w:sz w:val="24"/>
          <w:szCs w:val="24"/>
          <w:vertAlign w:val="subscript"/>
        </w:rPr>
        <w:t>1</w:t>
      </w:r>
      <w:r>
        <w:rPr>
          <w:bCs/>
          <w:sz w:val="24"/>
          <w:szCs w:val="24"/>
        </w:rPr>
        <w:t>= 1.010</w:t>
      </w:r>
      <w:r>
        <w:rPr>
          <w:bCs/>
          <w:sz w:val="24"/>
          <w:szCs w:val="24"/>
        </w:rPr>
        <w:sym w:font="Symbol" w:char="F0B4"/>
      </w:r>
      <w:r>
        <w:rPr>
          <w:bCs/>
          <w:sz w:val="24"/>
          <w:szCs w:val="24"/>
        </w:rPr>
        <w:t>(6%</w:t>
      </w:r>
      <w:r>
        <w:rPr>
          <w:bCs/>
          <w:sz w:val="24"/>
          <w:szCs w:val="24"/>
        </w:rPr>
        <w:sym w:font="Symbol" w:char="F0B4"/>
      </w:r>
      <w:r>
        <w:rPr>
          <w:bCs/>
          <w:sz w:val="24"/>
          <w:szCs w:val="24"/>
        </w:rPr>
        <w:t>53/365)=0.008799</w:t>
      </w:r>
      <w:r>
        <w:rPr>
          <w:rFonts w:hAnsi="宋体"/>
          <w:bCs/>
          <w:sz w:val="24"/>
          <w:szCs w:val="24"/>
        </w:rPr>
        <w:t>元</w:t>
      </w:r>
    </w:p>
    <w:p w:rsidR="00783788" w:rsidRDefault="002C6E18">
      <w:pPr>
        <w:adjustRightInd w:val="0"/>
        <w:snapToGrid w:val="0"/>
        <w:spacing w:line="360" w:lineRule="auto"/>
        <w:ind w:firstLineChars="200" w:firstLine="480"/>
        <w:rPr>
          <w:bCs/>
          <w:sz w:val="24"/>
          <w:szCs w:val="24"/>
        </w:rPr>
      </w:pPr>
      <w:r>
        <w:rPr>
          <w:rFonts w:hAnsi="宋体"/>
          <w:bCs/>
          <w:sz w:val="24"/>
          <w:szCs w:val="24"/>
        </w:rPr>
        <w:t>若某基金份额持有人的基金交易账户在</w:t>
      </w:r>
      <w:r>
        <w:rPr>
          <w:bCs/>
          <w:sz w:val="24"/>
          <w:szCs w:val="24"/>
        </w:rPr>
        <w:t>2013</w:t>
      </w:r>
      <w:r>
        <w:rPr>
          <w:rFonts w:hAnsi="宋体"/>
          <w:bCs/>
          <w:sz w:val="24"/>
          <w:szCs w:val="24"/>
        </w:rPr>
        <w:t>年</w:t>
      </w:r>
      <w:r>
        <w:rPr>
          <w:bCs/>
          <w:sz w:val="24"/>
          <w:szCs w:val="24"/>
        </w:rPr>
        <w:t>3</w:t>
      </w:r>
      <w:r>
        <w:rPr>
          <w:rFonts w:hAnsi="宋体"/>
          <w:bCs/>
          <w:sz w:val="24"/>
          <w:szCs w:val="24"/>
        </w:rPr>
        <w:t>月</w:t>
      </w:r>
      <w:r>
        <w:rPr>
          <w:bCs/>
          <w:sz w:val="24"/>
          <w:szCs w:val="24"/>
        </w:rPr>
        <w:t>1</w:t>
      </w:r>
      <w:r>
        <w:rPr>
          <w:rFonts w:hAnsi="宋体"/>
          <w:bCs/>
          <w:sz w:val="24"/>
          <w:szCs w:val="24"/>
        </w:rPr>
        <w:t>日确认持有的份额数为</w:t>
      </w:r>
      <w:r>
        <w:rPr>
          <w:bCs/>
          <w:sz w:val="24"/>
          <w:szCs w:val="24"/>
        </w:rPr>
        <w:t>1,000</w:t>
      </w:r>
      <w:r>
        <w:rPr>
          <w:rFonts w:hAnsi="宋体"/>
          <w:bCs/>
          <w:sz w:val="24"/>
          <w:szCs w:val="24"/>
        </w:rPr>
        <w:t>份</w:t>
      </w:r>
      <w:r>
        <w:rPr>
          <w:bCs/>
          <w:sz w:val="24"/>
          <w:szCs w:val="24"/>
        </w:rPr>
        <w:t>,</w:t>
      </w:r>
      <w:r>
        <w:rPr>
          <w:rFonts w:hAnsi="宋体"/>
          <w:bCs/>
          <w:sz w:val="24"/>
          <w:szCs w:val="24"/>
        </w:rPr>
        <w:t>则第一次定期支付该基金交易账户对应的自动赎回用于现金支付的份额数为：</w:t>
      </w:r>
    </w:p>
    <w:p w:rsidR="00783788" w:rsidRDefault="002C6E18">
      <w:pPr>
        <w:adjustRightInd w:val="0"/>
        <w:snapToGrid w:val="0"/>
        <w:spacing w:line="360" w:lineRule="auto"/>
        <w:ind w:firstLineChars="200" w:firstLine="480"/>
        <w:rPr>
          <w:bCs/>
          <w:sz w:val="24"/>
          <w:szCs w:val="24"/>
        </w:rPr>
      </w:pPr>
      <w:r>
        <w:rPr>
          <w:bCs/>
          <w:sz w:val="24"/>
          <w:szCs w:val="24"/>
        </w:rPr>
        <w:t>n</w:t>
      </w:r>
      <w:r>
        <w:rPr>
          <w:bCs/>
          <w:sz w:val="24"/>
          <w:szCs w:val="24"/>
          <w:vertAlign w:val="subscript"/>
        </w:rPr>
        <w:t>1</w:t>
      </w:r>
      <w:r>
        <w:rPr>
          <w:bCs/>
          <w:sz w:val="24"/>
          <w:szCs w:val="24"/>
        </w:rPr>
        <w:t>=1,000</w:t>
      </w:r>
      <w:r>
        <w:rPr>
          <w:bCs/>
          <w:sz w:val="24"/>
          <w:szCs w:val="24"/>
        </w:rPr>
        <w:sym w:font="Symbol" w:char="F0B4"/>
      </w:r>
      <w:r>
        <w:rPr>
          <w:bCs/>
          <w:sz w:val="24"/>
          <w:szCs w:val="24"/>
        </w:rPr>
        <w:t>1.010</w:t>
      </w:r>
      <w:r>
        <w:rPr>
          <w:bCs/>
          <w:sz w:val="24"/>
          <w:szCs w:val="24"/>
        </w:rPr>
        <w:sym w:font="Symbol" w:char="F0B4"/>
      </w:r>
      <w:r>
        <w:rPr>
          <w:bCs/>
          <w:sz w:val="24"/>
          <w:szCs w:val="24"/>
        </w:rPr>
        <w:t xml:space="preserve"> (6%</w:t>
      </w:r>
      <w:r>
        <w:rPr>
          <w:bCs/>
          <w:sz w:val="24"/>
          <w:szCs w:val="24"/>
        </w:rPr>
        <w:sym w:font="Symbol" w:char="F0B4"/>
      </w:r>
      <w:r>
        <w:rPr>
          <w:bCs/>
          <w:sz w:val="24"/>
          <w:szCs w:val="24"/>
        </w:rPr>
        <w:t>53/365)/ 1.010=8.71</w:t>
      </w:r>
      <w:r>
        <w:rPr>
          <w:rFonts w:hAnsi="宋体"/>
          <w:bCs/>
          <w:sz w:val="24"/>
          <w:szCs w:val="24"/>
        </w:rPr>
        <w:t>份</w:t>
      </w:r>
    </w:p>
    <w:p w:rsidR="00783788" w:rsidRDefault="002C6E18">
      <w:pPr>
        <w:adjustRightInd w:val="0"/>
        <w:snapToGrid w:val="0"/>
        <w:spacing w:line="360" w:lineRule="auto"/>
        <w:ind w:firstLineChars="200" w:firstLine="480"/>
        <w:rPr>
          <w:bCs/>
          <w:sz w:val="24"/>
          <w:szCs w:val="24"/>
        </w:rPr>
      </w:pPr>
      <w:r>
        <w:rPr>
          <w:rFonts w:hAnsi="宋体"/>
          <w:bCs/>
          <w:sz w:val="24"/>
          <w:szCs w:val="24"/>
        </w:rPr>
        <w:t>第一次定期支付该基金交易账户实际可获得的现金支付金额为：</w:t>
      </w:r>
    </w:p>
    <w:p w:rsidR="00783788" w:rsidRDefault="002C6E18">
      <w:pPr>
        <w:adjustRightInd w:val="0"/>
        <w:snapToGrid w:val="0"/>
        <w:spacing w:line="360" w:lineRule="auto"/>
        <w:ind w:firstLineChars="200" w:firstLine="480"/>
        <w:rPr>
          <w:bCs/>
          <w:sz w:val="24"/>
          <w:szCs w:val="24"/>
        </w:rPr>
      </w:pPr>
      <w:r>
        <w:rPr>
          <w:bCs/>
          <w:sz w:val="24"/>
          <w:szCs w:val="24"/>
        </w:rPr>
        <w:t>C</w:t>
      </w:r>
      <w:r>
        <w:rPr>
          <w:bCs/>
          <w:sz w:val="24"/>
          <w:szCs w:val="24"/>
          <w:vertAlign w:val="subscript"/>
        </w:rPr>
        <w:t>1</w:t>
      </w:r>
      <w:r>
        <w:rPr>
          <w:bCs/>
          <w:sz w:val="24"/>
          <w:szCs w:val="24"/>
        </w:rPr>
        <w:t>=8.71</w:t>
      </w:r>
      <w:r>
        <w:rPr>
          <w:bCs/>
          <w:sz w:val="24"/>
          <w:szCs w:val="24"/>
        </w:rPr>
        <w:sym w:font="Symbol" w:char="F0B4"/>
      </w:r>
      <w:r>
        <w:rPr>
          <w:bCs/>
          <w:sz w:val="24"/>
          <w:szCs w:val="24"/>
        </w:rPr>
        <w:t>1.010=8.80</w:t>
      </w:r>
      <w:r>
        <w:rPr>
          <w:rFonts w:hAnsi="宋体"/>
          <w:bCs/>
          <w:sz w:val="24"/>
          <w:szCs w:val="24"/>
        </w:rPr>
        <w:t>元</w:t>
      </w:r>
    </w:p>
    <w:p w:rsidR="00783788" w:rsidRDefault="002C6E18">
      <w:pPr>
        <w:adjustRightInd w:val="0"/>
        <w:snapToGrid w:val="0"/>
        <w:spacing w:line="360" w:lineRule="auto"/>
        <w:ind w:firstLineChars="200" w:firstLine="480"/>
        <w:rPr>
          <w:bCs/>
          <w:sz w:val="24"/>
          <w:szCs w:val="24"/>
        </w:rPr>
      </w:pPr>
      <w:r>
        <w:rPr>
          <w:rFonts w:hAnsi="宋体"/>
          <w:bCs/>
          <w:sz w:val="24"/>
          <w:szCs w:val="24"/>
        </w:rPr>
        <w:t>例五：延续例四的假设条件，假设本基金于</w:t>
      </w:r>
      <w:r>
        <w:rPr>
          <w:bCs/>
          <w:sz w:val="24"/>
          <w:szCs w:val="24"/>
        </w:rPr>
        <w:t>2013</w:t>
      </w:r>
      <w:r>
        <w:rPr>
          <w:rFonts w:hAnsi="宋体"/>
          <w:bCs/>
          <w:sz w:val="24"/>
          <w:szCs w:val="24"/>
        </w:rPr>
        <w:t>年</w:t>
      </w:r>
      <w:r>
        <w:rPr>
          <w:bCs/>
          <w:sz w:val="24"/>
          <w:szCs w:val="24"/>
        </w:rPr>
        <w:t>4</w:t>
      </w:r>
      <w:r>
        <w:rPr>
          <w:rFonts w:hAnsi="宋体"/>
          <w:bCs/>
          <w:sz w:val="24"/>
          <w:szCs w:val="24"/>
        </w:rPr>
        <w:t>月进行了第二次定期支付，</w:t>
      </w:r>
      <w:r>
        <w:rPr>
          <w:bCs/>
          <w:sz w:val="24"/>
          <w:szCs w:val="24"/>
        </w:rPr>
        <w:t xml:space="preserve"> 2013</w:t>
      </w:r>
      <w:r>
        <w:rPr>
          <w:rFonts w:hAnsi="宋体"/>
          <w:bCs/>
          <w:sz w:val="24"/>
          <w:szCs w:val="24"/>
        </w:rPr>
        <w:t>年</w:t>
      </w:r>
      <w:r>
        <w:rPr>
          <w:bCs/>
          <w:sz w:val="24"/>
          <w:szCs w:val="24"/>
        </w:rPr>
        <w:t>5</w:t>
      </w:r>
      <w:r>
        <w:rPr>
          <w:rFonts w:hAnsi="宋体"/>
          <w:bCs/>
          <w:sz w:val="24"/>
          <w:szCs w:val="24"/>
        </w:rPr>
        <w:t>月因为发生了基金合同约定暂停定期支付的情形且基金管理人决定暂停了当月的定期支付</w:t>
      </w:r>
      <w:r>
        <w:rPr>
          <w:rFonts w:hint="eastAsia"/>
          <w:bCs/>
          <w:sz w:val="24"/>
          <w:szCs w:val="24"/>
        </w:rPr>
        <w:t>，</w:t>
      </w:r>
      <w:r>
        <w:rPr>
          <w:rFonts w:hAnsi="宋体"/>
          <w:bCs/>
          <w:sz w:val="24"/>
          <w:szCs w:val="24"/>
        </w:rPr>
        <w:t>本基金又于</w:t>
      </w:r>
      <w:r>
        <w:rPr>
          <w:bCs/>
          <w:sz w:val="24"/>
          <w:szCs w:val="24"/>
        </w:rPr>
        <w:t>2013</w:t>
      </w:r>
      <w:r>
        <w:rPr>
          <w:rFonts w:hAnsi="宋体"/>
          <w:bCs/>
          <w:sz w:val="24"/>
          <w:szCs w:val="24"/>
        </w:rPr>
        <w:t>年</w:t>
      </w:r>
      <w:r>
        <w:rPr>
          <w:bCs/>
          <w:sz w:val="24"/>
          <w:szCs w:val="24"/>
        </w:rPr>
        <w:t>6</w:t>
      </w:r>
      <w:r>
        <w:rPr>
          <w:rFonts w:hAnsi="宋体"/>
          <w:bCs/>
          <w:sz w:val="24"/>
          <w:szCs w:val="24"/>
        </w:rPr>
        <w:t>月进行第三次定期支付。</w:t>
      </w:r>
      <w:r>
        <w:rPr>
          <w:bCs/>
          <w:sz w:val="24"/>
          <w:szCs w:val="24"/>
        </w:rPr>
        <w:t>2013</w:t>
      </w:r>
      <w:r>
        <w:rPr>
          <w:rFonts w:hAnsi="宋体"/>
          <w:bCs/>
          <w:sz w:val="24"/>
          <w:szCs w:val="24"/>
        </w:rPr>
        <w:t>年</w:t>
      </w:r>
      <w:r>
        <w:rPr>
          <w:bCs/>
          <w:sz w:val="24"/>
          <w:szCs w:val="24"/>
        </w:rPr>
        <w:t>4</w:t>
      </w:r>
      <w:r>
        <w:rPr>
          <w:rFonts w:hAnsi="宋体"/>
          <w:bCs/>
          <w:sz w:val="24"/>
          <w:szCs w:val="24"/>
        </w:rPr>
        <w:t>月</w:t>
      </w:r>
      <w:r>
        <w:rPr>
          <w:bCs/>
          <w:sz w:val="24"/>
          <w:szCs w:val="24"/>
        </w:rPr>
        <w:t>1</w:t>
      </w:r>
      <w:r>
        <w:rPr>
          <w:rFonts w:hAnsi="宋体"/>
          <w:bCs/>
          <w:sz w:val="24"/>
          <w:szCs w:val="24"/>
        </w:rPr>
        <w:t>日和</w:t>
      </w:r>
      <w:r>
        <w:rPr>
          <w:bCs/>
          <w:sz w:val="24"/>
          <w:szCs w:val="24"/>
        </w:rPr>
        <w:t>6</w:t>
      </w:r>
      <w:r>
        <w:rPr>
          <w:rFonts w:hAnsi="宋体"/>
          <w:bCs/>
          <w:sz w:val="24"/>
          <w:szCs w:val="24"/>
        </w:rPr>
        <w:t>月</w:t>
      </w:r>
      <w:r>
        <w:rPr>
          <w:bCs/>
          <w:sz w:val="24"/>
          <w:szCs w:val="24"/>
        </w:rPr>
        <w:t>3</w:t>
      </w:r>
      <w:r>
        <w:rPr>
          <w:rFonts w:hAnsi="宋体"/>
          <w:bCs/>
          <w:sz w:val="24"/>
          <w:szCs w:val="24"/>
        </w:rPr>
        <w:t>日分别为第二次和第三次定期支付的基准日和权益登记日，假设</w:t>
      </w:r>
      <w:r>
        <w:rPr>
          <w:bCs/>
          <w:sz w:val="24"/>
          <w:szCs w:val="24"/>
        </w:rPr>
        <w:t>2013</w:t>
      </w:r>
      <w:r>
        <w:rPr>
          <w:rFonts w:hAnsi="宋体"/>
          <w:bCs/>
          <w:sz w:val="24"/>
          <w:szCs w:val="24"/>
        </w:rPr>
        <w:t>年</w:t>
      </w:r>
      <w:r>
        <w:rPr>
          <w:bCs/>
          <w:sz w:val="24"/>
          <w:szCs w:val="24"/>
        </w:rPr>
        <w:t>4</w:t>
      </w:r>
      <w:r>
        <w:rPr>
          <w:rFonts w:hAnsi="宋体"/>
          <w:bCs/>
          <w:sz w:val="24"/>
          <w:szCs w:val="24"/>
        </w:rPr>
        <w:t>月</w:t>
      </w:r>
      <w:r>
        <w:rPr>
          <w:bCs/>
          <w:sz w:val="24"/>
          <w:szCs w:val="24"/>
        </w:rPr>
        <w:t>1</w:t>
      </w:r>
      <w:r>
        <w:rPr>
          <w:rFonts w:hAnsi="宋体"/>
          <w:bCs/>
          <w:sz w:val="24"/>
          <w:szCs w:val="24"/>
        </w:rPr>
        <w:t>日的基金份额净值为</w:t>
      </w:r>
      <w:r>
        <w:rPr>
          <w:bCs/>
          <w:sz w:val="24"/>
          <w:szCs w:val="24"/>
        </w:rPr>
        <w:t>0.996</w:t>
      </w:r>
      <w:r>
        <w:rPr>
          <w:rFonts w:hAnsi="宋体"/>
          <w:bCs/>
          <w:sz w:val="24"/>
          <w:szCs w:val="24"/>
        </w:rPr>
        <w:t>元</w:t>
      </w:r>
      <w:r>
        <w:rPr>
          <w:bCs/>
          <w:sz w:val="24"/>
          <w:szCs w:val="24"/>
        </w:rPr>
        <w:t>, 2013</w:t>
      </w:r>
      <w:r>
        <w:rPr>
          <w:rFonts w:hAnsi="宋体"/>
          <w:bCs/>
          <w:sz w:val="24"/>
          <w:szCs w:val="24"/>
        </w:rPr>
        <w:t>年</w:t>
      </w:r>
      <w:r>
        <w:rPr>
          <w:bCs/>
          <w:sz w:val="24"/>
          <w:szCs w:val="24"/>
        </w:rPr>
        <w:t>6</w:t>
      </w:r>
      <w:r>
        <w:rPr>
          <w:rFonts w:hAnsi="宋体"/>
          <w:bCs/>
          <w:sz w:val="24"/>
          <w:szCs w:val="24"/>
        </w:rPr>
        <w:t>月</w:t>
      </w:r>
      <w:r>
        <w:rPr>
          <w:bCs/>
          <w:sz w:val="24"/>
          <w:szCs w:val="24"/>
        </w:rPr>
        <w:t>3</w:t>
      </w:r>
      <w:r>
        <w:rPr>
          <w:rFonts w:hAnsi="宋体"/>
          <w:bCs/>
          <w:sz w:val="24"/>
          <w:szCs w:val="24"/>
        </w:rPr>
        <w:t>日的基金份额净值为</w:t>
      </w:r>
      <w:r>
        <w:rPr>
          <w:bCs/>
          <w:sz w:val="24"/>
          <w:szCs w:val="24"/>
        </w:rPr>
        <w:t>1.018</w:t>
      </w:r>
      <w:r>
        <w:rPr>
          <w:rFonts w:hAnsi="宋体"/>
          <w:bCs/>
          <w:sz w:val="24"/>
          <w:szCs w:val="24"/>
        </w:rPr>
        <w:t>元</w:t>
      </w:r>
      <w:r>
        <w:rPr>
          <w:rFonts w:hint="eastAsia"/>
          <w:bCs/>
          <w:sz w:val="24"/>
          <w:szCs w:val="24"/>
        </w:rPr>
        <w:t>，</w:t>
      </w:r>
      <w:r>
        <w:rPr>
          <w:bCs/>
          <w:sz w:val="24"/>
          <w:szCs w:val="24"/>
        </w:rPr>
        <w:t xml:space="preserve"> 2013</w:t>
      </w:r>
      <w:r>
        <w:rPr>
          <w:rFonts w:hAnsi="宋体"/>
          <w:bCs/>
          <w:sz w:val="24"/>
          <w:szCs w:val="24"/>
        </w:rPr>
        <w:t>年</w:t>
      </w:r>
      <w:r>
        <w:rPr>
          <w:rFonts w:hint="eastAsia"/>
          <w:bCs/>
          <w:sz w:val="24"/>
          <w:szCs w:val="24"/>
        </w:rPr>
        <w:t>3</w:t>
      </w:r>
      <w:r>
        <w:rPr>
          <w:rFonts w:hAnsi="宋体"/>
          <w:bCs/>
          <w:sz w:val="24"/>
          <w:szCs w:val="24"/>
        </w:rPr>
        <w:t>月</w:t>
      </w:r>
      <w:r>
        <w:rPr>
          <w:rFonts w:hint="eastAsia"/>
          <w:bCs/>
          <w:sz w:val="24"/>
          <w:szCs w:val="24"/>
        </w:rPr>
        <w:t>1</w:t>
      </w:r>
      <w:r>
        <w:rPr>
          <w:rFonts w:hint="eastAsia"/>
          <w:bCs/>
          <w:sz w:val="24"/>
          <w:szCs w:val="24"/>
        </w:rPr>
        <w:t>（不含</w:t>
      </w:r>
      <w:r>
        <w:rPr>
          <w:rFonts w:hAnsi="宋体" w:hint="eastAsia"/>
          <w:bCs/>
          <w:sz w:val="24"/>
          <w:szCs w:val="24"/>
        </w:rPr>
        <w:t>）至</w:t>
      </w:r>
      <w:r>
        <w:rPr>
          <w:rFonts w:hAnsi="宋体" w:hint="eastAsia"/>
          <w:bCs/>
          <w:sz w:val="24"/>
          <w:szCs w:val="24"/>
        </w:rPr>
        <w:t>2013</w:t>
      </w:r>
      <w:r>
        <w:rPr>
          <w:rFonts w:hAnsi="宋体" w:hint="eastAsia"/>
          <w:bCs/>
          <w:sz w:val="24"/>
          <w:szCs w:val="24"/>
        </w:rPr>
        <w:t>年</w:t>
      </w:r>
      <w:r>
        <w:rPr>
          <w:rFonts w:hAnsi="宋体" w:hint="eastAsia"/>
          <w:bCs/>
          <w:sz w:val="24"/>
          <w:szCs w:val="24"/>
        </w:rPr>
        <w:t>4</w:t>
      </w:r>
      <w:r>
        <w:rPr>
          <w:rFonts w:hAnsi="宋体" w:hint="eastAsia"/>
          <w:bCs/>
          <w:sz w:val="24"/>
          <w:szCs w:val="24"/>
        </w:rPr>
        <w:t>月</w:t>
      </w:r>
      <w:r>
        <w:rPr>
          <w:rFonts w:hAnsi="宋体" w:hint="eastAsia"/>
          <w:bCs/>
          <w:sz w:val="24"/>
          <w:szCs w:val="24"/>
        </w:rPr>
        <w:t>1</w:t>
      </w:r>
      <w:r>
        <w:rPr>
          <w:rFonts w:hAnsi="宋体" w:hint="eastAsia"/>
          <w:bCs/>
          <w:sz w:val="24"/>
          <w:szCs w:val="24"/>
        </w:rPr>
        <w:t>日（含）之间的天数为</w:t>
      </w:r>
      <w:r>
        <w:rPr>
          <w:rFonts w:hAnsi="宋体" w:hint="eastAsia"/>
          <w:bCs/>
          <w:sz w:val="24"/>
          <w:szCs w:val="24"/>
        </w:rPr>
        <w:t>31</w:t>
      </w:r>
      <w:r>
        <w:rPr>
          <w:rFonts w:hAnsi="宋体" w:hint="eastAsia"/>
          <w:bCs/>
          <w:sz w:val="24"/>
          <w:szCs w:val="24"/>
        </w:rPr>
        <w:t>天，</w:t>
      </w:r>
      <w:r>
        <w:rPr>
          <w:bCs/>
          <w:sz w:val="24"/>
          <w:szCs w:val="24"/>
        </w:rPr>
        <w:t>2013</w:t>
      </w:r>
      <w:r>
        <w:rPr>
          <w:rFonts w:hAnsi="宋体"/>
          <w:bCs/>
          <w:sz w:val="24"/>
          <w:szCs w:val="24"/>
        </w:rPr>
        <w:t>年</w:t>
      </w:r>
      <w:r>
        <w:rPr>
          <w:rFonts w:hint="eastAsia"/>
          <w:bCs/>
          <w:sz w:val="24"/>
          <w:szCs w:val="24"/>
        </w:rPr>
        <w:t>4</w:t>
      </w:r>
      <w:r>
        <w:rPr>
          <w:rFonts w:hAnsi="宋体"/>
          <w:bCs/>
          <w:sz w:val="24"/>
          <w:szCs w:val="24"/>
        </w:rPr>
        <w:t>月</w:t>
      </w:r>
      <w:r>
        <w:rPr>
          <w:rFonts w:hint="eastAsia"/>
          <w:bCs/>
          <w:sz w:val="24"/>
          <w:szCs w:val="24"/>
        </w:rPr>
        <w:t>1</w:t>
      </w:r>
      <w:r>
        <w:rPr>
          <w:rFonts w:hint="eastAsia"/>
          <w:bCs/>
          <w:sz w:val="24"/>
          <w:szCs w:val="24"/>
        </w:rPr>
        <w:t>（不含</w:t>
      </w:r>
      <w:r>
        <w:rPr>
          <w:rFonts w:hAnsi="宋体" w:hint="eastAsia"/>
          <w:bCs/>
          <w:sz w:val="24"/>
          <w:szCs w:val="24"/>
        </w:rPr>
        <w:t>）至</w:t>
      </w:r>
      <w:r>
        <w:rPr>
          <w:rFonts w:hAnsi="宋体" w:hint="eastAsia"/>
          <w:bCs/>
          <w:sz w:val="24"/>
          <w:szCs w:val="24"/>
        </w:rPr>
        <w:t>2013</w:t>
      </w:r>
      <w:r>
        <w:rPr>
          <w:rFonts w:hAnsi="宋体" w:hint="eastAsia"/>
          <w:bCs/>
          <w:sz w:val="24"/>
          <w:szCs w:val="24"/>
        </w:rPr>
        <w:t>年</w:t>
      </w:r>
      <w:r>
        <w:rPr>
          <w:rFonts w:hAnsi="宋体" w:hint="eastAsia"/>
          <w:bCs/>
          <w:sz w:val="24"/>
          <w:szCs w:val="24"/>
        </w:rPr>
        <w:t>6</w:t>
      </w:r>
      <w:r>
        <w:rPr>
          <w:rFonts w:hAnsi="宋体" w:hint="eastAsia"/>
          <w:bCs/>
          <w:sz w:val="24"/>
          <w:szCs w:val="24"/>
        </w:rPr>
        <w:t>月</w:t>
      </w:r>
      <w:r>
        <w:rPr>
          <w:rFonts w:hAnsi="宋体" w:hint="eastAsia"/>
          <w:bCs/>
          <w:sz w:val="24"/>
          <w:szCs w:val="24"/>
        </w:rPr>
        <w:t>3</w:t>
      </w:r>
      <w:r>
        <w:rPr>
          <w:rFonts w:hAnsi="宋体" w:hint="eastAsia"/>
          <w:bCs/>
          <w:sz w:val="24"/>
          <w:szCs w:val="24"/>
        </w:rPr>
        <w:t>日（含）之间的天数为</w:t>
      </w:r>
      <w:r>
        <w:rPr>
          <w:rFonts w:hAnsi="宋体" w:hint="eastAsia"/>
          <w:bCs/>
          <w:sz w:val="24"/>
          <w:szCs w:val="24"/>
        </w:rPr>
        <w:t>63</w:t>
      </w:r>
      <w:r>
        <w:rPr>
          <w:rFonts w:hAnsi="宋体" w:hint="eastAsia"/>
          <w:bCs/>
          <w:sz w:val="24"/>
          <w:szCs w:val="24"/>
        </w:rPr>
        <w:t>天，</w:t>
      </w:r>
      <w:r>
        <w:rPr>
          <w:rFonts w:hAnsi="宋体"/>
          <w:bCs/>
          <w:sz w:val="24"/>
          <w:szCs w:val="24"/>
        </w:rPr>
        <w:t>则第二次和第三次定期支付每份基金份额对应的现金支付金额分别为：</w:t>
      </w:r>
    </w:p>
    <w:p w:rsidR="00783788" w:rsidRDefault="002C6E18">
      <w:pPr>
        <w:adjustRightInd w:val="0"/>
        <w:snapToGrid w:val="0"/>
        <w:spacing w:line="360" w:lineRule="auto"/>
        <w:ind w:firstLineChars="200" w:firstLine="480"/>
        <w:rPr>
          <w:bCs/>
          <w:sz w:val="24"/>
          <w:szCs w:val="24"/>
        </w:rPr>
      </w:pPr>
      <w:r>
        <w:rPr>
          <w:bCs/>
          <w:sz w:val="24"/>
          <w:szCs w:val="24"/>
        </w:rPr>
        <w:t>D</w:t>
      </w:r>
      <w:r>
        <w:rPr>
          <w:bCs/>
          <w:sz w:val="24"/>
          <w:szCs w:val="24"/>
          <w:vertAlign w:val="subscript"/>
        </w:rPr>
        <w:t>2</w:t>
      </w:r>
      <w:r>
        <w:rPr>
          <w:bCs/>
          <w:sz w:val="24"/>
          <w:szCs w:val="24"/>
        </w:rPr>
        <w:t>=0.996</w:t>
      </w:r>
      <w:r>
        <w:rPr>
          <w:bCs/>
          <w:sz w:val="24"/>
          <w:szCs w:val="24"/>
        </w:rPr>
        <w:sym w:font="Symbol" w:char="F0B4"/>
      </w:r>
      <w:r>
        <w:rPr>
          <w:bCs/>
          <w:sz w:val="24"/>
          <w:szCs w:val="24"/>
        </w:rPr>
        <w:t>(6%</w:t>
      </w:r>
      <w:r>
        <w:rPr>
          <w:bCs/>
          <w:sz w:val="24"/>
          <w:szCs w:val="24"/>
        </w:rPr>
        <w:sym w:font="Symbol" w:char="F0B4"/>
      </w:r>
      <w:r>
        <w:rPr>
          <w:bCs/>
          <w:sz w:val="24"/>
          <w:szCs w:val="24"/>
        </w:rPr>
        <w:t>31/365)=0.005076</w:t>
      </w:r>
      <w:r>
        <w:rPr>
          <w:rFonts w:hAnsi="宋体"/>
          <w:bCs/>
          <w:sz w:val="24"/>
          <w:szCs w:val="24"/>
        </w:rPr>
        <w:t>元</w:t>
      </w:r>
    </w:p>
    <w:p w:rsidR="00783788" w:rsidRDefault="002C6E18">
      <w:pPr>
        <w:adjustRightInd w:val="0"/>
        <w:snapToGrid w:val="0"/>
        <w:spacing w:line="360" w:lineRule="auto"/>
        <w:ind w:firstLineChars="200" w:firstLine="480"/>
        <w:rPr>
          <w:bCs/>
          <w:sz w:val="24"/>
          <w:szCs w:val="24"/>
        </w:rPr>
      </w:pPr>
      <w:r>
        <w:rPr>
          <w:bCs/>
          <w:sz w:val="24"/>
          <w:szCs w:val="24"/>
        </w:rPr>
        <w:t>D</w:t>
      </w:r>
      <w:r>
        <w:rPr>
          <w:bCs/>
          <w:sz w:val="24"/>
          <w:szCs w:val="24"/>
          <w:vertAlign w:val="subscript"/>
        </w:rPr>
        <w:t>3</w:t>
      </w:r>
      <w:r>
        <w:rPr>
          <w:bCs/>
          <w:sz w:val="24"/>
          <w:szCs w:val="24"/>
        </w:rPr>
        <w:t>=1.018</w:t>
      </w:r>
      <w:r>
        <w:rPr>
          <w:bCs/>
          <w:sz w:val="24"/>
          <w:szCs w:val="24"/>
        </w:rPr>
        <w:sym w:font="Symbol" w:char="F0B4"/>
      </w:r>
      <w:r>
        <w:rPr>
          <w:bCs/>
          <w:sz w:val="24"/>
          <w:szCs w:val="24"/>
        </w:rPr>
        <w:t>(6%</w:t>
      </w:r>
      <w:r>
        <w:rPr>
          <w:bCs/>
          <w:sz w:val="24"/>
          <w:szCs w:val="24"/>
        </w:rPr>
        <w:sym w:font="Symbol" w:char="F0B4"/>
      </w:r>
      <w:r>
        <w:rPr>
          <w:bCs/>
          <w:sz w:val="24"/>
          <w:szCs w:val="24"/>
        </w:rPr>
        <w:t>63/365)=0.010543</w:t>
      </w:r>
      <w:r>
        <w:rPr>
          <w:rFonts w:hAnsi="宋体"/>
          <w:bCs/>
          <w:sz w:val="24"/>
          <w:szCs w:val="24"/>
        </w:rPr>
        <w:t>元</w:t>
      </w:r>
    </w:p>
    <w:p w:rsidR="00783788" w:rsidRDefault="002C6E18">
      <w:pPr>
        <w:adjustRightInd w:val="0"/>
        <w:snapToGrid w:val="0"/>
        <w:spacing w:line="360" w:lineRule="auto"/>
        <w:ind w:firstLineChars="200" w:firstLine="480"/>
        <w:rPr>
          <w:bCs/>
          <w:sz w:val="24"/>
          <w:szCs w:val="24"/>
        </w:rPr>
      </w:pPr>
      <w:r>
        <w:rPr>
          <w:rFonts w:hAnsi="宋体"/>
          <w:bCs/>
          <w:sz w:val="24"/>
          <w:szCs w:val="24"/>
        </w:rPr>
        <w:t>若某基金份额持有人的基金交易账户在</w:t>
      </w:r>
      <w:r>
        <w:rPr>
          <w:bCs/>
          <w:sz w:val="24"/>
          <w:szCs w:val="24"/>
        </w:rPr>
        <w:t>2013</w:t>
      </w:r>
      <w:r>
        <w:rPr>
          <w:rFonts w:hAnsi="宋体"/>
          <w:bCs/>
          <w:sz w:val="24"/>
          <w:szCs w:val="24"/>
        </w:rPr>
        <w:t>年</w:t>
      </w:r>
      <w:r>
        <w:rPr>
          <w:bCs/>
          <w:sz w:val="24"/>
          <w:szCs w:val="24"/>
        </w:rPr>
        <w:t>4</w:t>
      </w:r>
      <w:r>
        <w:rPr>
          <w:rFonts w:hAnsi="宋体"/>
          <w:bCs/>
          <w:sz w:val="24"/>
          <w:szCs w:val="24"/>
        </w:rPr>
        <w:t>月</w:t>
      </w:r>
      <w:r>
        <w:rPr>
          <w:bCs/>
          <w:sz w:val="24"/>
          <w:szCs w:val="24"/>
        </w:rPr>
        <w:t>1</w:t>
      </w:r>
      <w:r>
        <w:rPr>
          <w:rFonts w:hAnsi="宋体"/>
          <w:bCs/>
          <w:sz w:val="24"/>
          <w:szCs w:val="24"/>
        </w:rPr>
        <w:t>日和</w:t>
      </w:r>
      <w:r>
        <w:rPr>
          <w:bCs/>
          <w:sz w:val="24"/>
          <w:szCs w:val="24"/>
        </w:rPr>
        <w:t>6</w:t>
      </w:r>
      <w:r>
        <w:rPr>
          <w:rFonts w:hAnsi="宋体"/>
          <w:bCs/>
          <w:sz w:val="24"/>
          <w:szCs w:val="24"/>
        </w:rPr>
        <w:t>月</w:t>
      </w:r>
      <w:r>
        <w:rPr>
          <w:bCs/>
          <w:sz w:val="24"/>
          <w:szCs w:val="24"/>
        </w:rPr>
        <w:t>3</w:t>
      </w:r>
      <w:r>
        <w:rPr>
          <w:rFonts w:hAnsi="宋体"/>
          <w:bCs/>
          <w:sz w:val="24"/>
          <w:szCs w:val="24"/>
        </w:rPr>
        <w:t>日确认持有的份额数仍为</w:t>
      </w:r>
      <w:r>
        <w:rPr>
          <w:bCs/>
          <w:sz w:val="24"/>
          <w:szCs w:val="24"/>
        </w:rPr>
        <w:t>1,000</w:t>
      </w:r>
      <w:r>
        <w:rPr>
          <w:rFonts w:hAnsi="宋体"/>
          <w:bCs/>
          <w:sz w:val="24"/>
          <w:szCs w:val="24"/>
        </w:rPr>
        <w:t>份</w:t>
      </w:r>
      <w:r>
        <w:rPr>
          <w:rFonts w:hint="eastAsia"/>
          <w:bCs/>
          <w:sz w:val="24"/>
          <w:szCs w:val="24"/>
        </w:rPr>
        <w:t>，</w:t>
      </w:r>
      <w:r>
        <w:rPr>
          <w:rFonts w:hAnsi="宋体"/>
          <w:bCs/>
          <w:sz w:val="24"/>
          <w:szCs w:val="24"/>
        </w:rPr>
        <w:t>则第二次和第三次定期支付该基金交易账户对应的自动赎回用于现金支付的份额数分别为：</w:t>
      </w:r>
    </w:p>
    <w:p w:rsidR="00783788" w:rsidRDefault="002C6E18">
      <w:pPr>
        <w:adjustRightInd w:val="0"/>
        <w:snapToGrid w:val="0"/>
        <w:spacing w:line="360" w:lineRule="auto"/>
        <w:ind w:firstLineChars="200" w:firstLine="480"/>
        <w:rPr>
          <w:bCs/>
          <w:sz w:val="24"/>
          <w:szCs w:val="24"/>
        </w:rPr>
      </w:pPr>
      <w:r>
        <w:rPr>
          <w:bCs/>
          <w:sz w:val="24"/>
          <w:szCs w:val="24"/>
        </w:rPr>
        <w:t>n</w:t>
      </w:r>
      <w:r>
        <w:rPr>
          <w:bCs/>
          <w:sz w:val="24"/>
          <w:szCs w:val="24"/>
          <w:vertAlign w:val="subscript"/>
        </w:rPr>
        <w:t>2</w:t>
      </w:r>
      <w:r>
        <w:rPr>
          <w:bCs/>
          <w:sz w:val="24"/>
          <w:szCs w:val="24"/>
        </w:rPr>
        <w:t>=1000</w:t>
      </w:r>
      <w:r>
        <w:rPr>
          <w:bCs/>
          <w:sz w:val="24"/>
          <w:szCs w:val="24"/>
        </w:rPr>
        <w:sym w:font="Symbol" w:char="F0B4"/>
      </w:r>
      <w:r>
        <w:rPr>
          <w:bCs/>
          <w:sz w:val="24"/>
          <w:szCs w:val="24"/>
        </w:rPr>
        <w:t>0.996</w:t>
      </w:r>
      <w:r>
        <w:rPr>
          <w:bCs/>
          <w:sz w:val="24"/>
          <w:szCs w:val="24"/>
        </w:rPr>
        <w:sym w:font="Symbol" w:char="F0B4"/>
      </w:r>
      <w:r>
        <w:rPr>
          <w:bCs/>
          <w:sz w:val="24"/>
          <w:szCs w:val="24"/>
        </w:rPr>
        <w:t>(6%</w:t>
      </w:r>
      <w:r>
        <w:rPr>
          <w:bCs/>
          <w:sz w:val="24"/>
          <w:szCs w:val="24"/>
        </w:rPr>
        <w:sym w:font="Symbol" w:char="F0B4"/>
      </w:r>
      <w:r>
        <w:rPr>
          <w:bCs/>
          <w:sz w:val="24"/>
          <w:szCs w:val="24"/>
        </w:rPr>
        <w:t>31/365)/0.996=5.10</w:t>
      </w:r>
      <w:r>
        <w:rPr>
          <w:rFonts w:hAnsi="宋体"/>
          <w:bCs/>
          <w:sz w:val="24"/>
          <w:szCs w:val="24"/>
        </w:rPr>
        <w:t>份</w:t>
      </w:r>
    </w:p>
    <w:p w:rsidR="00783788" w:rsidRDefault="002C6E18">
      <w:pPr>
        <w:adjustRightInd w:val="0"/>
        <w:snapToGrid w:val="0"/>
        <w:spacing w:line="360" w:lineRule="auto"/>
        <w:ind w:firstLineChars="200" w:firstLine="480"/>
        <w:rPr>
          <w:bCs/>
          <w:sz w:val="24"/>
          <w:szCs w:val="24"/>
        </w:rPr>
      </w:pPr>
      <w:r>
        <w:rPr>
          <w:bCs/>
          <w:sz w:val="24"/>
          <w:szCs w:val="24"/>
        </w:rPr>
        <w:t>n</w:t>
      </w:r>
      <w:r>
        <w:rPr>
          <w:bCs/>
          <w:sz w:val="24"/>
          <w:szCs w:val="24"/>
          <w:vertAlign w:val="subscript"/>
        </w:rPr>
        <w:t>3</w:t>
      </w:r>
      <w:r>
        <w:rPr>
          <w:bCs/>
          <w:sz w:val="24"/>
          <w:szCs w:val="24"/>
        </w:rPr>
        <w:t>=1000</w:t>
      </w:r>
      <w:r>
        <w:rPr>
          <w:bCs/>
          <w:sz w:val="24"/>
          <w:szCs w:val="24"/>
        </w:rPr>
        <w:sym w:font="Symbol" w:char="F0B4"/>
      </w:r>
      <w:r>
        <w:rPr>
          <w:bCs/>
          <w:sz w:val="24"/>
          <w:szCs w:val="24"/>
        </w:rPr>
        <w:t>1.018</w:t>
      </w:r>
      <w:r>
        <w:rPr>
          <w:bCs/>
          <w:sz w:val="24"/>
          <w:szCs w:val="24"/>
        </w:rPr>
        <w:sym w:font="Symbol" w:char="F0B4"/>
      </w:r>
      <w:r>
        <w:rPr>
          <w:bCs/>
          <w:sz w:val="24"/>
          <w:szCs w:val="24"/>
        </w:rPr>
        <w:t>(6%</w:t>
      </w:r>
      <w:r>
        <w:rPr>
          <w:bCs/>
          <w:sz w:val="24"/>
          <w:szCs w:val="24"/>
        </w:rPr>
        <w:sym w:font="Symbol" w:char="F0B4"/>
      </w:r>
      <w:r>
        <w:rPr>
          <w:bCs/>
          <w:sz w:val="24"/>
          <w:szCs w:val="24"/>
        </w:rPr>
        <w:t>63/365)/1.018=10.36</w:t>
      </w:r>
      <w:r>
        <w:rPr>
          <w:rFonts w:hAnsi="宋体"/>
          <w:bCs/>
          <w:sz w:val="24"/>
          <w:szCs w:val="24"/>
        </w:rPr>
        <w:t>份</w:t>
      </w:r>
    </w:p>
    <w:p w:rsidR="00783788" w:rsidRDefault="002C6E18">
      <w:pPr>
        <w:adjustRightInd w:val="0"/>
        <w:snapToGrid w:val="0"/>
        <w:spacing w:line="360" w:lineRule="auto"/>
        <w:ind w:firstLineChars="200" w:firstLine="480"/>
        <w:rPr>
          <w:bCs/>
          <w:sz w:val="24"/>
          <w:szCs w:val="24"/>
        </w:rPr>
      </w:pPr>
      <w:r>
        <w:rPr>
          <w:rFonts w:hAnsi="宋体"/>
          <w:bCs/>
          <w:sz w:val="24"/>
          <w:szCs w:val="24"/>
        </w:rPr>
        <w:t>第二次和第三次定期支付该基金交易账户实际可获得的现金支付金额分别为：</w:t>
      </w:r>
    </w:p>
    <w:p w:rsidR="00783788" w:rsidRDefault="002C6E18">
      <w:pPr>
        <w:adjustRightInd w:val="0"/>
        <w:snapToGrid w:val="0"/>
        <w:spacing w:line="360" w:lineRule="auto"/>
        <w:ind w:firstLineChars="200" w:firstLine="480"/>
        <w:rPr>
          <w:bCs/>
          <w:sz w:val="24"/>
          <w:szCs w:val="24"/>
        </w:rPr>
      </w:pPr>
      <w:r>
        <w:rPr>
          <w:bCs/>
          <w:sz w:val="24"/>
          <w:szCs w:val="24"/>
        </w:rPr>
        <w:t>C</w:t>
      </w:r>
      <w:r>
        <w:rPr>
          <w:bCs/>
          <w:sz w:val="24"/>
          <w:szCs w:val="24"/>
          <w:vertAlign w:val="subscript"/>
        </w:rPr>
        <w:t>2</w:t>
      </w:r>
      <w:r>
        <w:rPr>
          <w:bCs/>
          <w:sz w:val="24"/>
          <w:szCs w:val="24"/>
        </w:rPr>
        <w:t>=5.10</w:t>
      </w:r>
      <w:r>
        <w:rPr>
          <w:bCs/>
          <w:sz w:val="24"/>
          <w:szCs w:val="24"/>
        </w:rPr>
        <w:sym w:font="Symbol" w:char="F0B4"/>
      </w:r>
      <w:r>
        <w:rPr>
          <w:bCs/>
          <w:sz w:val="24"/>
          <w:szCs w:val="24"/>
        </w:rPr>
        <w:t>0.996=5.08</w:t>
      </w:r>
      <w:r>
        <w:rPr>
          <w:rFonts w:hAnsi="宋体"/>
          <w:bCs/>
          <w:sz w:val="24"/>
          <w:szCs w:val="24"/>
        </w:rPr>
        <w:t>元</w:t>
      </w:r>
    </w:p>
    <w:p w:rsidR="00783788" w:rsidRDefault="002C6E18">
      <w:pPr>
        <w:adjustRightInd w:val="0"/>
        <w:snapToGrid w:val="0"/>
        <w:spacing w:line="360" w:lineRule="auto"/>
        <w:ind w:firstLineChars="200" w:firstLine="480"/>
        <w:rPr>
          <w:bCs/>
          <w:sz w:val="24"/>
          <w:szCs w:val="24"/>
        </w:rPr>
      </w:pPr>
      <w:r>
        <w:rPr>
          <w:bCs/>
          <w:sz w:val="24"/>
          <w:szCs w:val="24"/>
        </w:rPr>
        <w:t>C</w:t>
      </w:r>
      <w:r>
        <w:rPr>
          <w:bCs/>
          <w:sz w:val="24"/>
          <w:szCs w:val="24"/>
          <w:vertAlign w:val="subscript"/>
        </w:rPr>
        <w:t>3</w:t>
      </w:r>
      <w:r>
        <w:rPr>
          <w:bCs/>
          <w:sz w:val="24"/>
          <w:szCs w:val="24"/>
        </w:rPr>
        <w:t>=10.36</w:t>
      </w:r>
      <w:r>
        <w:rPr>
          <w:bCs/>
          <w:sz w:val="24"/>
          <w:szCs w:val="24"/>
        </w:rPr>
        <w:sym w:font="Symbol" w:char="F0B4"/>
      </w:r>
      <w:r>
        <w:rPr>
          <w:bCs/>
          <w:sz w:val="24"/>
          <w:szCs w:val="24"/>
        </w:rPr>
        <w:t>1.018=10.55</w:t>
      </w:r>
      <w:r>
        <w:rPr>
          <w:rFonts w:hAnsi="宋体"/>
          <w:bCs/>
          <w:sz w:val="24"/>
          <w:szCs w:val="24"/>
        </w:rPr>
        <w:t>元</w:t>
      </w:r>
    </w:p>
    <w:p w:rsidR="00783788" w:rsidRDefault="002C6E18">
      <w:pPr>
        <w:adjustRightInd w:val="0"/>
        <w:snapToGrid w:val="0"/>
        <w:spacing w:line="360" w:lineRule="auto"/>
        <w:ind w:firstLineChars="200" w:firstLine="482"/>
        <w:rPr>
          <w:b/>
          <w:bCs/>
          <w:sz w:val="24"/>
          <w:szCs w:val="24"/>
        </w:rPr>
      </w:pPr>
      <w:r>
        <w:rPr>
          <w:rFonts w:hAnsi="宋体"/>
          <w:b/>
          <w:bCs/>
          <w:sz w:val="24"/>
          <w:szCs w:val="24"/>
        </w:rPr>
        <w:t>（四）定期支付的确认原则</w:t>
      </w:r>
    </w:p>
    <w:p w:rsidR="00783788" w:rsidRDefault="002C6E18">
      <w:pPr>
        <w:adjustRightInd w:val="0"/>
        <w:snapToGrid w:val="0"/>
        <w:spacing w:line="360" w:lineRule="auto"/>
        <w:ind w:firstLineChars="200" w:firstLine="480"/>
        <w:rPr>
          <w:bCs/>
          <w:sz w:val="24"/>
          <w:szCs w:val="24"/>
        </w:rPr>
      </w:pPr>
      <w:r>
        <w:rPr>
          <w:bCs/>
          <w:sz w:val="24"/>
          <w:szCs w:val="24"/>
        </w:rPr>
        <w:t>1</w:t>
      </w:r>
      <w:r>
        <w:rPr>
          <w:rFonts w:hAnsi="宋体"/>
          <w:bCs/>
          <w:sz w:val="24"/>
          <w:szCs w:val="24"/>
        </w:rPr>
        <w:t>、定期支付每期自动赎回用以现金支付的基金份额时，按</w:t>
      </w:r>
      <w:r>
        <w:rPr>
          <w:rFonts w:hint="eastAsia"/>
          <w:bCs/>
          <w:sz w:val="24"/>
          <w:szCs w:val="24"/>
        </w:rPr>
        <w:t>“</w:t>
      </w:r>
      <w:r>
        <w:rPr>
          <w:rFonts w:hAnsi="宋体"/>
          <w:bCs/>
          <w:sz w:val="24"/>
          <w:szCs w:val="24"/>
        </w:rPr>
        <w:t>先进先出</w:t>
      </w:r>
      <w:r>
        <w:rPr>
          <w:rFonts w:hint="eastAsia"/>
          <w:bCs/>
          <w:sz w:val="24"/>
          <w:szCs w:val="24"/>
        </w:rPr>
        <w:t>”</w:t>
      </w:r>
      <w:r>
        <w:rPr>
          <w:rFonts w:hAnsi="宋体"/>
          <w:bCs/>
          <w:sz w:val="24"/>
          <w:szCs w:val="24"/>
        </w:rPr>
        <w:t>的原则进行处理，即先自动赎回登记确认日期在先的基金份额；</w:t>
      </w:r>
    </w:p>
    <w:p w:rsidR="00783788" w:rsidRDefault="002C6E18">
      <w:pPr>
        <w:adjustRightInd w:val="0"/>
        <w:snapToGrid w:val="0"/>
        <w:spacing w:line="360" w:lineRule="auto"/>
        <w:ind w:firstLineChars="200" w:firstLine="480"/>
        <w:rPr>
          <w:bCs/>
          <w:sz w:val="24"/>
          <w:szCs w:val="24"/>
        </w:rPr>
      </w:pPr>
      <w:r>
        <w:rPr>
          <w:bCs/>
          <w:sz w:val="24"/>
          <w:szCs w:val="24"/>
        </w:rPr>
        <w:t>2</w:t>
      </w:r>
      <w:r>
        <w:rPr>
          <w:rFonts w:hAnsi="宋体"/>
          <w:bCs/>
          <w:sz w:val="24"/>
          <w:szCs w:val="24"/>
        </w:rPr>
        <w:t>、登记机构办理登记业务时，基金份额持有人主动发起的份额减少业务（包括赎回、转换出及转托管出）或者登记机构发起的其他非定期支付份额减少业务的确认原则上优先于定期支付业务的确认；每期自动赎回用以定期支付的基金份额时，</w:t>
      </w:r>
      <w:r>
        <w:rPr>
          <w:rFonts w:hAnsi="宋体"/>
          <w:sz w:val="24"/>
          <w:szCs w:val="24"/>
        </w:rPr>
        <w:t>若因当日该账户同时有</w:t>
      </w:r>
      <w:r>
        <w:rPr>
          <w:rFonts w:hAnsi="宋体"/>
          <w:bCs/>
          <w:sz w:val="24"/>
          <w:szCs w:val="24"/>
        </w:rPr>
        <w:t>其他的份额减少业务被确认而导致基金份额余额不足时，当期的定期支付业务将被确认失败，即该账户当期不进行现金支付。</w:t>
      </w:r>
    </w:p>
    <w:p w:rsidR="00783788" w:rsidRDefault="002C6E18">
      <w:pPr>
        <w:pStyle w:val="a6"/>
        <w:adjustRightInd w:val="0"/>
        <w:snapToGrid w:val="0"/>
        <w:spacing w:after="0" w:line="360" w:lineRule="auto"/>
        <w:ind w:firstLineChars="200" w:firstLine="480"/>
        <w:rPr>
          <w:bCs/>
          <w:sz w:val="24"/>
          <w:szCs w:val="24"/>
        </w:rPr>
      </w:pPr>
      <w:r>
        <w:rPr>
          <w:rFonts w:hAnsi="宋体"/>
          <w:bCs/>
          <w:sz w:val="24"/>
          <w:szCs w:val="24"/>
        </w:rPr>
        <w:t>基金管理人可在法律法规允许的情况下，对上述原则进行调整。基金管理人必须在新规则开始实施前依照《信息披露办法》的有关规定在指定媒体上公告</w:t>
      </w:r>
      <w:r>
        <w:rPr>
          <w:rFonts w:hAnsi="宋体"/>
          <w:sz w:val="24"/>
          <w:szCs w:val="24"/>
        </w:rPr>
        <w:t>并报中国证监会备案</w:t>
      </w:r>
      <w:r>
        <w:rPr>
          <w:rFonts w:hAnsi="宋体"/>
          <w:bCs/>
          <w:sz w:val="24"/>
          <w:szCs w:val="24"/>
        </w:rPr>
        <w:t>。</w:t>
      </w:r>
    </w:p>
    <w:p w:rsidR="00783788" w:rsidRDefault="002C6E18">
      <w:pPr>
        <w:pStyle w:val="a6"/>
        <w:adjustRightInd w:val="0"/>
        <w:snapToGrid w:val="0"/>
        <w:spacing w:after="0" w:line="360" w:lineRule="auto"/>
        <w:ind w:firstLineChars="200" w:firstLine="480"/>
        <w:rPr>
          <w:bCs/>
          <w:sz w:val="24"/>
          <w:szCs w:val="24"/>
        </w:rPr>
      </w:pPr>
      <w:r>
        <w:rPr>
          <w:rFonts w:hAnsi="宋体"/>
          <w:bCs/>
          <w:sz w:val="24"/>
          <w:szCs w:val="24"/>
        </w:rPr>
        <w:t>例六：假设本基金于</w:t>
      </w:r>
      <w:r>
        <w:rPr>
          <w:bCs/>
          <w:sz w:val="24"/>
          <w:szCs w:val="24"/>
        </w:rPr>
        <w:t>2013</w:t>
      </w:r>
      <w:r>
        <w:rPr>
          <w:rFonts w:hAnsi="宋体"/>
          <w:bCs/>
          <w:sz w:val="24"/>
          <w:szCs w:val="24"/>
        </w:rPr>
        <w:t>年</w:t>
      </w:r>
      <w:r>
        <w:rPr>
          <w:rFonts w:hint="eastAsia"/>
          <w:bCs/>
          <w:sz w:val="24"/>
          <w:szCs w:val="24"/>
        </w:rPr>
        <w:t>7</w:t>
      </w:r>
      <w:r>
        <w:rPr>
          <w:rFonts w:hAnsi="宋体"/>
          <w:bCs/>
          <w:sz w:val="24"/>
          <w:szCs w:val="24"/>
        </w:rPr>
        <w:t>月进行了定期支付，</w:t>
      </w:r>
      <w:r>
        <w:rPr>
          <w:bCs/>
          <w:sz w:val="24"/>
          <w:szCs w:val="24"/>
        </w:rPr>
        <w:t>2013</w:t>
      </w:r>
      <w:r>
        <w:rPr>
          <w:rFonts w:hAnsi="宋体"/>
          <w:bCs/>
          <w:sz w:val="24"/>
          <w:szCs w:val="24"/>
        </w:rPr>
        <w:t>年</w:t>
      </w:r>
      <w:r>
        <w:rPr>
          <w:rFonts w:hint="eastAsia"/>
          <w:bCs/>
          <w:sz w:val="24"/>
          <w:szCs w:val="24"/>
        </w:rPr>
        <w:t>7</w:t>
      </w:r>
      <w:r>
        <w:rPr>
          <w:rFonts w:hAnsi="宋体"/>
          <w:bCs/>
          <w:sz w:val="24"/>
          <w:szCs w:val="24"/>
        </w:rPr>
        <w:t>月</w:t>
      </w:r>
      <w:r>
        <w:rPr>
          <w:rFonts w:hint="eastAsia"/>
          <w:bCs/>
          <w:sz w:val="24"/>
          <w:szCs w:val="24"/>
        </w:rPr>
        <w:t>1</w:t>
      </w:r>
      <w:r>
        <w:rPr>
          <w:rFonts w:hAnsi="宋体"/>
          <w:bCs/>
          <w:sz w:val="24"/>
          <w:szCs w:val="24"/>
        </w:rPr>
        <w:t>日为当月定期支付的基准日和权益登记日。假设某基金份额持有人的基金交易账户在</w:t>
      </w:r>
      <w:r>
        <w:rPr>
          <w:bCs/>
          <w:sz w:val="24"/>
          <w:szCs w:val="24"/>
        </w:rPr>
        <w:t>2013</w:t>
      </w:r>
      <w:r>
        <w:rPr>
          <w:rFonts w:hAnsi="宋体"/>
          <w:bCs/>
          <w:sz w:val="24"/>
          <w:szCs w:val="24"/>
        </w:rPr>
        <w:t>年</w:t>
      </w:r>
      <w:r>
        <w:rPr>
          <w:rFonts w:hint="eastAsia"/>
          <w:bCs/>
          <w:sz w:val="24"/>
          <w:szCs w:val="24"/>
        </w:rPr>
        <w:t>7</w:t>
      </w:r>
      <w:r>
        <w:rPr>
          <w:rFonts w:hAnsi="宋体"/>
          <w:bCs/>
          <w:sz w:val="24"/>
          <w:szCs w:val="24"/>
        </w:rPr>
        <w:t>月</w:t>
      </w:r>
      <w:r>
        <w:rPr>
          <w:rFonts w:hint="eastAsia"/>
          <w:bCs/>
          <w:sz w:val="24"/>
          <w:szCs w:val="24"/>
        </w:rPr>
        <w:t>1</w:t>
      </w:r>
      <w:r>
        <w:rPr>
          <w:rFonts w:hAnsi="宋体"/>
          <w:bCs/>
          <w:sz w:val="24"/>
          <w:szCs w:val="24"/>
        </w:rPr>
        <w:t>日确认持有的份额数为</w:t>
      </w:r>
      <w:r>
        <w:rPr>
          <w:bCs/>
          <w:sz w:val="24"/>
          <w:szCs w:val="24"/>
        </w:rPr>
        <w:t>10,000</w:t>
      </w:r>
      <w:r>
        <w:rPr>
          <w:rFonts w:hAnsi="宋体"/>
          <w:bCs/>
          <w:sz w:val="24"/>
          <w:szCs w:val="24"/>
        </w:rPr>
        <w:t>份，根据计算公式计算当月该基金交易账户对应的自动赎回用于现金支付的份额数为</w:t>
      </w:r>
      <w:r>
        <w:rPr>
          <w:bCs/>
          <w:sz w:val="24"/>
          <w:szCs w:val="24"/>
        </w:rPr>
        <w:t>65</w:t>
      </w:r>
      <w:r>
        <w:rPr>
          <w:rFonts w:hAnsi="宋体"/>
          <w:bCs/>
          <w:sz w:val="24"/>
          <w:szCs w:val="24"/>
        </w:rPr>
        <w:t>份。</w:t>
      </w:r>
    </w:p>
    <w:p w:rsidR="00783788" w:rsidRDefault="002C6E18">
      <w:pPr>
        <w:pStyle w:val="a6"/>
        <w:adjustRightInd w:val="0"/>
        <w:snapToGrid w:val="0"/>
        <w:spacing w:after="0" w:line="360" w:lineRule="auto"/>
        <w:ind w:firstLineChars="200" w:firstLine="480"/>
        <w:rPr>
          <w:bCs/>
          <w:sz w:val="24"/>
          <w:szCs w:val="24"/>
        </w:rPr>
      </w:pPr>
      <w:r>
        <w:rPr>
          <w:rFonts w:hAnsi="宋体"/>
          <w:bCs/>
          <w:sz w:val="24"/>
          <w:szCs w:val="24"/>
        </w:rPr>
        <w:t>若该基金份额持有人于</w:t>
      </w:r>
      <w:r>
        <w:rPr>
          <w:bCs/>
          <w:sz w:val="24"/>
          <w:szCs w:val="24"/>
        </w:rPr>
        <w:t>2013</w:t>
      </w:r>
      <w:r>
        <w:rPr>
          <w:rFonts w:hAnsi="宋体"/>
          <w:bCs/>
          <w:sz w:val="24"/>
          <w:szCs w:val="24"/>
        </w:rPr>
        <w:t>年</w:t>
      </w:r>
      <w:r>
        <w:rPr>
          <w:rFonts w:hint="eastAsia"/>
          <w:bCs/>
          <w:sz w:val="24"/>
          <w:szCs w:val="24"/>
        </w:rPr>
        <w:t>7</w:t>
      </w:r>
      <w:r>
        <w:rPr>
          <w:rFonts w:hAnsi="宋体"/>
          <w:bCs/>
          <w:sz w:val="24"/>
          <w:szCs w:val="24"/>
        </w:rPr>
        <w:t>月</w:t>
      </w:r>
      <w:r>
        <w:rPr>
          <w:rFonts w:hint="eastAsia"/>
          <w:bCs/>
          <w:sz w:val="24"/>
          <w:szCs w:val="24"/>
        </w:rPr>
        <w:t>1</w:t>
      </w:r>
      <w:r>
        <w:rPr>
          <w:rFonts w:hAnsi="宋体"/>
          <w:bCs/>
          <w:sz w:val="24"/>
          <w:szCs w:val="24"/>
        </w:rPr>
        <w:t>日提交申请赎回份额</w:t>
      </w:r>
      <w:r>
        <w:rPr>
          <w:bCs/>
          <w:sz w:val="24"/>
          <w:szCs w:val="24"/>
        </w:rPr>
        <w:t>9,500</w:t>
      </w:r>
      <w:r>
        <w:rPr>
          <w:rFonts w:hAnsi="宋体"/>
          <w:bCs/>
          <w:sz w:val="24"/>
          <w:szCs w:val="24"/>
        </w:rPr>
        <w:t>份，该赎回申请将优先于定期支付自动赎回业务被确认，确认后该基金账户的剩余份额为</w:t>
      </w:r>
      <w:r>
        <w:rPr>
          <w:bCs/>
          <w:sz w:val="24"/>
          <w:szCs w:val="24"/>
        </w:rPr>
        <w:t>500</w:t>
      </w:r>
      <w:r>
        <w:rPr>
          <w:rFonts w:hAnsi="宋体"/>
          <w:bCs/>
          <w:sz w:val="24"/>
          <w:szCs w:val="24"/>
        </w:rPr>
        <w:t>份，高于定期支付自动赎回的份额，则该次定期支付业务</w:t>
      </w:r>
      <w:r>
        <w:rPr>
          <w:rFonts w:hAnsi="宋体" w:hint="eastAsia"/>
          <w:bCs/>
          <w:sz w:val="24"/>
          <w:szCs w:val="24"/>
        </w:rPr>
        <w:t>也</w:t>
      </w:r>
      <w:r>
        <w:rPr>
          <w:rFonts w:hAnsi="宋体"/>
          <w:bCs/>
          <w:sz w:val="24"/>
          <w:szCs w:val="24"/>
        </w:rPr>
        <w:t>被确认成功，</w:t>
      </w:r>
      <w:r>
        <w:rPr>
          <w:rFonts w:hAnsi="宋体" w:hint="eastAsia"/>
          <w:bCs/>
          <w:sz w:val="24"/>
          <w:szCs w:val="24"/>
        </w:rPr>
        <w:t>即</w:t>
      </w:r>
      <w:r>
        <w:rPr>
          <w:rFonts w:hAnsi="宋体"/>
          <w:bCs/>
          <w:sz w:val="24"/>
          <w:szCs w:val="24"/>
        </w:rPr>
        <w:t>该份额持有人除获得申请赎回份额的赎回款，还将获得该次定期支付的现金支付金额。</w:t>
      </w:r>
    </w:p>
    <w:p w:rsidR="00783788" w:rsidRDefault="002C6E18">
      <w:pPr>
        <w:pStyle w:val="a6"/>
        <w:adjustRightInd w:val="0"/>
        <w:snapToGrid w:val="0"/>
        <w:spacing w:after="0" w:line="360" w:lineRule="auto"/>
        <w:ind w:firstLineChars="200" w:firstLine="480"/>
        <w:rPr>
          <w:bCs/>
          <w:sz w:val="24"/>
          <w:szCs w:val="24"/>
        </w:rPr>
      </w:pPr>
      <w:r>
        <w:rPr>
          <w:rFonts w:hAnsi="宋体"/>
          <w:bCs/>
          <w:sz w:val="24"/>
          <w:szCs w:val="24"/>
        </w:rPr>
        <w:t>若该基金份额持有人于</w:t>
      </w:r>
      <w:r>
        <w:rPr>
          <w:bCs/>
          <w:sz w:val="24"/>
          <w:szCs w:val="24"/>
        </w:rPr>
        <w:t>2013</w:t>
      </w:r>
      <w:r>
        <w:rPr>
          <w:rFonts w:hAnsi="宋体"/>
          <w:bCs/>
          <w:sz w:val="24"/>
          <w:szCs w:val="24"/>
        </w:rPr>
        <w:t>年</w:t>
      </w:r>
      <w:r>
        <w:rPr>
          <w:rFonts w:hint="eastAsia"/>
          <w:bCs/>
          <w:sz w:val="24"/>
          <w:szCs w:val="24"/>
        </w:rPr>
        <w:t>7</w:t>
      </w:r>
      <w:r>
        <w:rPr>
          <w:rFonts w:hAnsi="宋体"/>
          <w:bCs/>
          <w:sz w:val="24"/>
          <w:szCs w:val="24"/>
        </w:rPr>
        <w:t>月</w:t>
      </w:r>
      <w:r>
        <w:rPr>
          <w:rFonts w:hint="eastAsia"/>
          <w:bCs/>
          <w:sz w:val="24"/>
          <w:szCs w:val="24"/>
        </w:rPr>
        <w:t>1</w:t>
      </w:r>
      <w:r>
        <w:rPr>
          <w:rFonts w:hAnsi="宋体"/>
          <w:bCs/>
          <w:sz w:val="24"/>
          <w:szCs w:val="24"/>
        </w:rPr>
        <w:t>日提交申请赎回份额</w:t>
      </w:r>
      <w:r>
        <w:rPr>
          <w:bCs/>
          <w:sz w:val="24"/>
          <w:szCs w:val="24"/>
        </w:rPr>
        <w:t>9,940</w:t>
      </w:r>
      <w:r>
        <w:rPr>
          <w:rFonts w:hAnsi="宋体"/>
          <w:bCs/>
          <w:sz w:val="24"/>
          <w:szCs w:val="24"/>
        </w:rPr>
        <w:t>份，该赎回申请将优先于定期支付自动赎回业务被确认，确认后该基金账户的剩余份额为</w:t>
      </w:r>
      <w:r>
        <w:rPr>
          <w:bCs/>
          <w:sz w:val="24"/>
          <w:szCs w:val="24"/>
        </w:rPr>
        <w:t>60</w:t>
      </w:r>
      <w:r>
        <w:rPr>
          <w:rFonts w:hAnsi="宋体"/>
          <w:bCs/>
          <w:sz w:val="24"/>
          <w:szCs w:val="24"/>
        </w:rPr>
        <w:t>份，低于定期支付自动赎回的份额，则该次定期支付业务</w:t>
      </w:r>
      <w:r>
        <w:rPr>
          <w:rFonts w:hAnsi="宋体" w:hint="eastAsia"/>
          <w:bCs/>
          <w:sz w:val="24"/>
          <w:szCs w:val="24"/>
        </w:rPr>
        <w:t>将</w:t>
      </w:r>
      <w:r>
        <w:rPr>
          <w:rFonts w:hAnsi="宋体"/>
          <w:bCs/>
          <w:sz w:val="24"/>
          <w:szCs w:val="24"/>
        </w:rPr>
        <w:t>被确认失败，</w:t>
      </w:r>
      <w:r>
        <w:rPr>
          <w:rFonts w:hAnsi="宋体" w:hint="eastAsia"/>
          <w:bCs/>
          <w:sz w:val="24"/>
          <w:szCs w:val="24"/>
        </w:rPr>
        <w:t>即</w:t>
      </w:r>
      <w:r>
        <w:rPr>
          <w:rFonts w:hAnsi="宋体"/>
          <w:bCs/>
          <w:sz w:val="24"/>
          <w:szCs w:val="24"/>
        </w:rPr>
        <w:t>该账户当月不再进行现金支付，该份额持有人只获得申请赎回份额的赎回款。</w:t>
      </w:r>
    </w:p>
    <w:p w:rsidR="00783788" w:rsidRDefault="00783788">
      <w:pPr>
        <w:adjustRightInd w:val="0"/>
        <w:snapToGrid w:val="0"/>
        <w:spacing w:line="360" w:lineRule="auto"/>
        <w:ind w:firstLineChars="200" w:firstLine="480"/>
        <w:rPr>
          <w:sz w:val="24"/>
          <w:szCs w:val="24"/>
        </w:rPr>
      </w:pPr>
      <w:bookmarkStart w:id="58" w:name="_Toc109059024"/>
      <w:bookmarkStart w:id="59" w:name="_Toc66720082"/>
      <w:bookmarkStart w:id="60" w:name="_Toc66719557"/>
    </w:p>
    <w:p w:rsidR="00783788" w:rsidRDefault="002C6E18">
      <w:pPr>
        <w:widowControl/>
        <w:adjustRightInd w:val="0"/>
        <w:snapToGrid w:val="0"/>
        <w:spacing w:beforeLines="100" w:before="240" w:afterLines="50" w:after="120" w:line="360" w:lineRule="auto"/>
        <w:jc w:val="center"/>
        <w:outlineLvl w:val="0"/>
        <w:rPr>
          <w:rFonts w:ascii="宋体" w:hAnsi="宋体"/>
          <w:b/>
          <w:kern w:val="0"/>
          <w:sz w:val="30"/>
        </w:rPr>
      </w:pPr>
      <w:bookmarkStart w:id="61" w:name="_Toc382321322"/>
      <w:r>
        <w:rPr>
          <w:rFonts w:ascii="宋体" w:hAnsi="宋体" w:hint="eastAsia"/>
          <w:b/>
          <w:kern w:val="0"/>
          <w:sz w:val="30"/>
        </w:rPr>
        <w:t>十一、基金的投资</w:t>
      </w:r>
      <w:bookmarkEnd w:id="61"/>
    </w:p>
    <w:p w:rsidR="00783788" w:rsidRDefault="002C6E18">
      <w:pPr>
        <w:adjustRightInd w:val="0"/>
        <w:snapToGrid w:val="0"/>
        <w:spacing w:line="360" w:lineRule="auto"/>
        <w:ind w:firstLineChars="200" w:firstLine="482"/>
        <w:rPr>
          <w:b/>
          <w:bCs/>
          <w:sz w:val="24"/>
          <w:szCs w:val="24"/>
        </w:rPr>
      </w:pPr>
      <w:r>
        <w:rPr>
          <w:rFonts w:hAnsi="宋体"/>
          <w:b/>
          <w:bCs/>
          <w:sz w:val="24"/>
          <w:szCs w:val="24"/>
        </w:rPr>
        <w:t>（一）投资目标</w:t>
      </w:r>
    </w:p>
    <w:p w:rsidR="00783788" w:rsidRDefault="002C6E18">
      <w:pPr>
        <w:adjustRightInd w:val="0"/>
        <w:snapToGrid w:val="0"/>
        <w:spacing w:line="360" w:lineRule="auto"/>
        <w:ind w:firstLineChars="200" w:firstLine="480"/>
        <w:rPr>
          <w:bCs/>
          <w:sz w:val="24"/>
          <w:szCs w:val="24"/>
        </w:rPr>
      </w:pPr>
      <w:r>
        <w:rPr>
          <w:rFonts w:hAnsi="宋体"/>
          <w:bCs/>
          <w:sz w:val="24"/>
          <w:szCs w:val="24"/>
        </w:rPr>
        <w:t>本基金精选具有长期增长潜力和较好分红能力的股票，以及具有较高息票率的债券，力争实现基金资产的长期增值。</w:t>
      </w:r>
      <w:r>
        <w:rPr>
          <w:bCs/>
          <w:sz w:val="24"/>
          <w:szCs w:val="24"/>
        </w:rPr>
        <w:t xml:space="preserve">                          </w:t>
      </w:r>
    </w:p>
    <w:p w:rsidR="00783788" w:rsidRDefault="002C6E18">
      <w:pPr>
        <w:adjustRightInd w:val="0"/>
        <w:snapToGrid w:val="0"/>
        <w:spacing w:line="360" w:lineRule="auto"/>
        <w:ind w:firstLineChars="200" w:firstLine="482"/>
        <w:rPr>
          <w:b/>
          <w:bCs/>
          <w:sz w:val="24"/>
          <w:szCs w:val="24"/>
        </w:rPr>
      </w:pPr>
      <w:r>
        <w:rPr>
          <w:rFonts w:hAnsi="宋体"/>
          <w:b/>
          <w:bCs/>
          <w:sz w:val="24"/>
          <w:szCs w:val="24"/>
        </w:rPr>
        <w:t>（二）投资范围</w:t>
      </w:r>
    </w:p>
    <w:p w:rsidR="00783788" w:rsidRDefault="002C6E18">
      <w:pPr>
        <w:adjustRightInd w:val="0"/>
        <w:snapToGrid w:val="0"/>
        <w:spacing w:line="360" w:lineRule="auto"/>
        <w:ind w:firstLineChars="200" w:firstLine="480"/>
        <w:rPr>
          <w:bCs/>
          <w:sz w:val="24"/>
          <w:szCs w:val="24"/>
        </w:rPr>
      </w:pPr>
      <w:r>
        <w:rPr>
          <w:rFonts w:hAnsi="宋体"/>
          <w:bCs/>
          <w:sz w:val="24"/>
          <w:szCs w:val="24"/>
        </w:rPr>
        <w:t>本基金的投资范围为具有良好流动性的金融工具，包括国内依法上市的股票（含中小板、创业板及其他中国证监会允许基金投资的股票）、债券、货币市场工具、权证以及法律法规或中国证监会允许基金投资的其它金融工具（但须符合中国证监会的相关规定）。</w:t>
      </w:r>
    </w:p>
    <w:p w:rsidR="00783788" w:rsidRDefault="002C6E18">
      <w:pPr>
        <w:adjustRightInd w:val="0"/>
        <w:snapToGrid w:val="0"/>
        <w:spacing w:line="360" w:lineRule="auto"/>
        <w:ind w:firstLineChars="200" w:firstLine="480"/>
        <w:rPr>
          <w:bCs/>
          <w:sz w:val="24"/>
          <w:szCs w:val="24"/>
        </w:rPr>
      </w:pPr>
      <w:r>
        <w:rPr>
          <w:rFonts w:hAnsi="宋体"/>
          <w:bCs/>
          <w:sz w:val="24"/>
          <w:szCs w:val="24"/>
        </w:rPr>
        <w:t>本基金的投资组合比例为：股票、权证等权益类资产占基金资产净值的</w:t>
      </w:r>
      <w:r>
        <w:rPr>
          <w:bCs/>
          <w:sz w:val="24"/>
          <w:szCs w:val="24"/>
        </w:rPr>
        <w:t>30%-70%</w:t>
      </w:r>
      <w:r>
        <w:rPr>
          <w:rFonts w:hAnsi="宋体"/>
          <w:bCs/>
          <w:sz w:val="24"/>
          <w:szCs w:val="24"/>
        </w:rPr>
        <w:t>，其中权证的投资比例不超过基金资产净值的</w:t>
      </w:r>
      <w:r>
        <w:rPr>
          <w:bCs/>
          <w:sz w:val="24"/>
          <w:szCs w:val="24"/>
        </w:rPr>
        <w:t>3%</w:t>
      </w:r>
      <w:r>
        <w:rPr>
          <w:rFonts w:hAnsi="宋体"/>
          <w:bCs/>
          <w:sz w:val="24"/>
          <w:szCs w:val="24"/>
        </w:rPr>
        <w:t>；</w:t>
      </w:r>
      <w:r>
        <w:rPr>
          <w:rFonts w:hAnsi="宋体"/>
          <w:sz w:val="24"/>
          <w:szCs w:val="24"/>
        </w:rPr>
        <w:t>债券、资产支持证券、货币市场工具、银行存款等</w:t>
      </w:r>
      <w:r>
        <w:rPr>
          <w:rFonts w:hAnsi="宋体"/>
          <w:bCs/>
          <w:sz w:val="24"/>
          <w:szCs w:val="24"/>
        </w:rPr>
        <w:t>固定收益类资产和现金不低于基金资产净值的</w:t>
      </w:r>
      <w:r>
        <w:rPr>
          <w:bCs/>
          <w:sz w:val="24"/>
          <w:szCs w:val="24"/>
        </w:rPr>
        <w:t>30%</w:t>
      </w:r>
      <w:r>
        <w:rPr>
          <w:rFonts w:hAnsi="宋体"/>
          <w:bCs/>
          <w:sz w:val="24"/>
          <w:szCs w:val="24"/>
        </w:rPr>
        <w:t>，其中现金或到期日在一年以内的政府债券投资比例不低于基金资产净值的</w:t>
      </w:r>
      <w:r>
        <w:rPr>
          <w:bCs/>
          <w:sz w:val="24"/>
          <w:szCs w:val="24"/>
        </w:rPr>
        <w:t>5%</w:t>
      </w:r>
      <w:r>
        <w:rPr>
          <w:rFonts w:hAnsi="宋体"/>
          <w:bCs/>
          <w:sz w:val="24"/>
          <w:szCs w:val="24"/>
        </w:rPr>
        <w:t>。</w:t>
      </w:r>
    </w:p>
    <w:p w:rsidR="00783788" w:rsidRDefault="002C6E18">
      <w:pPr>
        <w:adjustRightInd w:val="0"/>
        <w:snapToGrid w:val="0"/>
        <w:spacing w:line="360" w:lineRule="auto"/>
        <w:ind w:firstLineChars="200" w:firstLine="480"/>
        <w:rPr>
          <w:bCs/>
          <w:sz w:val="24"/>
          <w:szCs w:val="24"/>
        </w:rPr>
      </w:pPr>
      <w:r>
        <w:rPr>
          <w:rFonts w:hAnsi="宋体"/>
          <w:bCs/>
          <w:sz w:val="24"/>
          <w:szCs w:val="24"/>
        </w:rPr>
        <w:t>如法律法规或监管机构以后允许基金投资其他品种，基金管理人在履行适当程序后，可以将其纳入投资范围，并可依据届时有效的法律法规适时合理地调整投资范围。</w:t>
      </w:r>
    </w:p>
    <w:p w:rsidR="00783788" w:rsidRDefault="002C6E18">
      <w:pPr>
        <w:adjustRightInd w:val="0"/>
        <w:snapToGrid w:val="0"/>
        <w:spacing w:line="360" w:lineRule="auto"/>
        <w:ind w:firstLineChars="200" w:firstLine="482"/>
        <w:rPr>
          <w:b/>
          <w:bCs/>
          <w:sz w:val="24"/>
          <w:szCs w:val="24"/>
        </w:rPr>
      </w:pPr>
      <w:r>
        <w:rPr>
          <w:rFonts w:hAnsi="宋体"/>
          <w:b/>
          <w:bCs/>
          <w:sz w:val="24"/>
          <w:szCs w:val="24"/>
        </w:rPr>
        <w:t>（三）投资策略</w:t>
      </w:r>
    </w:p>
    <w:p w:rsidR="00783788" w:rsidRDefault="002C6E18">
      <w:pPr>
        <w:adjustRightInd w:val="0"/>
        <w:snapToGrid w:val="0"/>
        <w:spacing w:line="360" w:lineRule="auto"/>
        <w:ind w:firstLineChars="200" w:firstLine="480"/>
        <w:rPr>
          <w:sz w:val="24"/>
          <w:szCs w:val="24"/>
        </w:rPr>
      </w:pPr>
      <w:r>
        <w:rPr>
          <w:rFonts w:hAnsi="宋体"/>
          <w:sz w:val="24"/>
          <w:szCs w:val="24"/>
        </w:rPr>
        <w:t>本基金精选具有较好现金分红能力、长期增长潜力且估值水平合理的上市公司以及具有较高息票率的债券，通过在股票和债券等不同类别资产中的平衡配置，追求基金资产在风险可控前提下的持续增值，充分享受股票分红和债券利息的双重收益。</w:t>
      </w:r>
    </w:p>
    <w:p w:rsidR="00783788" w:rsidRDefault="002C6E18">
      <w:pPr>
        <w:adjustRightInd w:val="0"/>
        <w:snapToGrid w:val="0"/>
        <w:spacing w:line="360" w:lineRule="auto"/>
        <w:ind w:firstLineChars="200" w:firstLine="480"/>
        <w:rPr>
          <w:sz w:val="24"/>
          <w:szCs w:val="24"/>
        </w:rPr>
      </w:pPr>
      <w:r>
        <w:rPr>
          <w:sz w:val="24"/>
          <w:szCs w:val="24"/>
        </w:rPr>
        <w:t>1</w:t>
      </w:r>
      <w:r>
        <w:rPr>
          <w:rFonts w:hAnsi="宋体"/>
          <w:sz w:val="24"/>
          <w:szCs w:val="24"/>
        </w:rPr>
        <w:t>、资产配置策略</w:t>
      </w:r>
    </w:p>
    <w:p w:rsidR="00783788" w:rsidRDefault="002C6E18">
      <w:pPr>
        <w:adjustRightInd w:val="0"/>
        <w:snapToGrid w:val="0"/>
        <w:spacing w:line="360" w:lineRule="auto"/>
        <w:ind w:firstLineChars="200" w:firstLine="480"/>
        <w:rPr>
          <w:sz w:val="24"/>
          <w:szCs w:val="24"/>
        </w:rPr>
      </w:pPr>
      <w:r>
        <w:rPr>
          <w:rFonts w:hAnsi="宋体"/>
          <w:sz w:val="24"/>
          <w:szCs w:val="24"/>
        </w:rPr>
        <w:t>本基金的大类资产配置采取在股票和债券等不同类别资产进行平衡配置的策略，并在基金合同约定的资产配置范围内以投资时钟理论为指导，通过对经济周期所处的发展阶段及其趋势的分析和判断以及不同资产类别的预期表现，对基金资产配置进行动态调整。</w:t>
      </w:r>
    </w:p>
    <w:p w:rsidR="00783788" w:rsidRDefault="002C6E18">
      <w:pPr>
        <w:adjustRightInd w:val="0"/>
        <w:snapToGrid w:val="0"/>
        <w:spacing w:line="360" w:lineRule="auto"/>
        <w:ind w:firstLineChars="200" w:firstLine="480"/>
        <w:rPr>
          <w:sz w:val="24"/>
          <w:szCs w:val="24"/>
        </w:rPr>
      </w:pPr>
      <w:r>
        <w:rPr>
          <w:rFonts w:hAnsi="宋体"/>
          <w:sz w:val="24"/>
          <w:szCs w:val="24"/>
        </w:rPr>
        <w:t>在资产配置过程中，本基金对于经济周期的判断主要通过分析经济增长与通货膨胀的方向性变化实施。对于中长期的经济波动，本基金重点考察社会需求结构变化进而带动产业或行业结构变迁条件下经济增长与通货膨胀之间的演绎关系。如分析居民收入与财富增长的结构性变化、新兴技术的出现、出口结构的变化、政府政策鼓励等；在中短期内，产业或行业发展相对稳定，经济周期调整更多地体现为实体经济运行中需求与成本的阶段性波动，此时，本基金将重点考察经济领域各宏观经济指标的变动及其趋势。通过经济运行周期以及不同阶段内经济运行特征的分析判断，本基金将结合证券市场投资价值综合评估的结果，确定一定阶段内的类别资产配置比例及其调整方向。</w:t>
      </w:r>
    </w:p>
    <w:p w:rsidR="00783788" w:rsidRDefault="002C6E18">
      <w:pPr>
        <w:adjustRightInd w:val="0"/>
        <w:snapToGrid w:val="0"/>
        <w:spacing w:line="360" w:lineRule="auto"/>
        <w:ind w:firstLineChars="200" w:firstLine="480"/>
        <w:rPr>
          <w:sz w:val="24"/>
          <w:szCs w:val="24"/>
        </w:rPr>
      </w:pPr>
      <w:r>
        <w:rPr>
          <w:sz w:val="24"/>
          <w:szCs w:val="24"/>
        </w:rPr>
        <w:t>2</w:t>
      </w:r>
      <w:r>
        <w:rPr>
          <w:rFonts w:hAnsi="宋体"/>
          <w:sz w:val="24"/>
          <w:szCs w:val="24"/>
        </w:rPr>
        <w:t>、股票投资策略</w:t>
      </w:r>
    </w:p>
    <w:p w:rsidR="00783788" w:rsidRDefault="002C6E18">
      <w:pPr>
        <w:adjustRightInd w:val="0"/>
        <w:snapToGrid w:val="0"/>
        <w:spacing w:line="360" w:lineRule="auto"/>
        <w:ind w:firstLineChars="200" w:firstLine="480"/>
        <w:rPr>
          <w:sz w:val="24"/>
          <w:szCs w:val="24"/>
        </w:rPr>
      </w:pPr>
      <w:r>
        <w:rPr>
          <w:rFonts w:hAnsi="宋体"/>
          <w:sz w:val="24"/>
          <w:szCs w:val="24"/>
        </w:rPr>
        <w:t>本基金的股票资产主要投资于具有较好现金分红能力、长期增长潜力且估值水平合理的上市公司的股票。本基金采取定性和定量相结合的方法，对上市公司分红能力，分红意愿和分红预期等因素进行综合考察和筛选，并辅以投资价值评价，通过深入的调查研究，挖掘上市公司的价值，合理降低投资风险，实现基金资产的长期、稳定增值。</w:t>
      </w:r>
    </w:p>
    <w:p w:rsidR="00783788" w:rsidRDefault="002C6E18">
      <w:pPr>
        <w:adjustRightInd w:val="0"/>
        <w:snapToGrid w:val="0"/>
        <w:spacing w:line="360" w:lineRule="auto"/>
        <w:ind w:firstLineChars="200" w:firstLine="480"/>
        <w:rPr>
          <w:sz w:val="24"/>
          <w:szCs w:val="24"/>
        </w:rPr>
      </w:pPr>
      <w:r>
        <w:rPr>
          <w:rFonts w:hAnsi="宋体"/>
          <w:sz w:val="24"/>
          <w:szCs w:val="24"/>
        </w:rPr>
        <w:t>（</w:t>
      </w:r>
      <w:r>
        <w:rPr>
          <w:sz w:val="24"/>
          <w:szCs w:val="24"/>
        </w:rPr>
        <w:t>1</w:t>
      </w:r>
      <w:r>
        <w:rPr>
          <w:rFonts w:hAnsi="宋体"/>
          <w:sz w:val="24"/>
          <w:szCs w:val="24"/>
        </w:rPr>
        <w:t>）品质筛选</w:t>
      </w:r>
    </w:p>
    <w:p w:rsidR="00783788" w:rsidRDefault="002C6E18">
      <w:pPr>
        <w:adjustRightInd w:val="0"/>
        <w:snapToGrid w:val="0"/>
        <w:spacing w:line="360" w:lineRule="auto"/>
        <w:ind w:firstLineChars="200" w:firstLine="480"/>
        <w:rPr>
          <w:sz w:val="24"/>
          <w:szCs w:val="24"/>
        </w:rPr>
      </w:pPr>
      <w:r>
        <w:rPr>
          <w:rFonts w:hAnsi="宋体"/>
          <w:sz w:val="24"/>
          <w:szCs w:val="24"/>
        </w:rPr>
        <w:t>筛选出在公司治理、财务及管理品质上符合基本品质要求的上市公司，构建备选股票池，主要筛选指标包括：盈利能力指标、经营效率指标和财务状况指标。</w:t>
      </w:r>
    </w:p>
    <w:p w:rsidR="00783788" w:rsidRDefault="002C6E18">
      <w:pPr>
        <w:adjustRightInd w:val="0"/>
        <w:snapToGrid w:val="0"/>
        <w:spacing w:line="360" w:lineRule="auto"/>
        <w:ind w:firstLineChars="200" w:firstLine="480"/>
        <w:rPr>
          <w:sz w:val="24"/>
          <w:szCs w:val="24"/>
        </w:rPr>
      </w:pPr>
      <w:r>
        <w:rPr>
          <w:rFonts w:hAnsi="宋体"/>
          <w:sz w:val="24"/>
          <w:szCs w:val="24"/>
        </w:rPr>
        <w:t>（</w:t>
      </w:r>
      <w:r>
        <w:rPr>
          <w:sz w:val="24"/>
          <w:szCs w:val="24"/>
        </w:rPr>
        <w:t>2</w:t>
      </w:r>
      <w:r>
        <w:rPr>
          <w:rFonts w:hAnsi="宋体"/>
          <w:sz w:val="24"/>
          <w:szCs w:val="24"/>
        </w:rPr>
        <w:t>）现金分红能力和估值水平评估</w:t>
      </w:r>
    </w:p>
    <w:p w:rsidR="00783788" w:rsidRDefault="002C6E18">
      <w:pPr>
        <w:adjustRightInd w:val="0"/>
        <w:snapToGrid w:val="0"/>
        <w:spacing w:line="360" w:lineRule="auto"/>
        <w:ind w:firstLineChars="200" w:firstLine="480"/>
        <w:rPr>
          <w:sz w:val="24"/>
          <w:szCs w:val="24"/>
        </w:rPr>
      </w:pPr>
      <w:r>
        <w:rPr>
          <w:rFonts w:hAnsi="宋体"/>
          <w:sz w:val="24"/>
          <w:szCs w:val="24"/>
        </w:rPr>
        <w:t>在上述品质筛选的基础上，本基金采取定性和定量的方法对备选股票进行综合分析，通过综合分析上市公司分红历史和分红预期等因素对上市公司的现金分红能力进行评估，在优选红利股票的同时</w:t>
      </w:r>
      <w:r>
        <w:rPr>
          <w:sz w:val="24"/>
          <w:szCs w:val="24"/>
        </w:rPr>
        <w:t>,</w:t>
      </w:r>
      <w:r>
        <w:rPr>
          <w:rFonts w:hAnsi="宋体"/>
          <w:sz w:val="24"/>
          <w:szCs w:val="24"/>
        </w:rPr>
        <w:t>本基金将注重考查具有</w:t>
      </w:r>
      <w:r>
        <w:rPr>
          <w:rFonts w:hAnsi="宋体"/>
          <w:bCs/>
          <w:sz w:val="24"/>
          <w:szCs w:val="24"/>
        </w:rPr>
        <w:t>长期增长潜力</w:t>
      </w:r>
      <w:r>
        <w:rPr>
          <w:rFonts w:hAnsi="宋体"/>
          <w:sz w:val="24"/>
          <w:szCs w:val="24"/>
        </w:rPr>
        <w:t>的公司：</w:t>
      </w:r>
      <w:r>
        <w:rPr>
          <w:sz w:val="24"/>
          <w:szCs w:val="24"/>
        </w:rPr>
        <w:t xml:space="preserve"> </w:t>
      </w:r>
    </w:p>
    <w:p w:rsidR="00783788" w:rsidRDefault="002C6E18">
      <w:pPr>
        <w:adjustRightInd w:val="0"/>
        <w:snapToGrid w:val="0"/>
        <w:spacing w:line="360" w:lineRule="auto"/>
        <w:ind w:firstLineChars="200" w:firstLine="480"/>
        <w:rPr>
          <w:sz w:val="24"/>
          <w:szCs w:val="24"/>
        </w:rPr>
      </w:pPr>
      <w:r>
        <w:rPr>
          <w:sz w:val="24"/>
          <w:szCs w:val="24"/>
        </w:rPr>
        <w:t>1</w:t>
      </w:r>
      <w:r>
        <w:rPr>
          <w:rFonts w:hAnsi="宋体"/>
          <w:sz w:val="24"/>
          <w:szCs w:val="24"/>
        </w:rPr>
        <w:t>）定量分析指标主要包括分红能力指标、分红意愿指标、估值水平指标等。</w:t>
      </w:r>
    </w:p>
    <w:p w:rsidR="00783788" w:rsidRDefault="002C6E18">
      <w:pPr>
        <w:adjustRightInd w:val="0"/>
        <w:snapToGrid w:val="0"/>
        <w:spacing w:line="360" w:lineRule="auto"/>
        <w:ind w:firstLineChars="200" w:firstLine="480"/>
        <w:rPr>
          <w:sz w:val="24"/>
          <w:szCs w:val="24"/>
        </w:rPr>
      </w:pPr>
      <w:r>
        <w:rPr>
          <w:rFonts w:hAnsi="宋体"/>
          <w:sz w:val="24"/>
          <w:szCs w:val="24"/>
        </w:rPr>
        <w:t>分红能力指标包括盈利性指标（如</w:t>
      </w:r>
      <w:r>
        <w:rPr>
          <w:sz w:val="24"/>
          <w:szCs w:val="24"/>
        </w:rPr>
        <w:t>ROE</w:t>
      </w:r>
      <w:r>
        <w:rPr>
          <w:rFonts w:hAnsi="宋体"/>
          <w:sz w:val="24"/>
          <w:szCs w:val="24"/>
        </w:rPr>
        <w:t>，</w:t>
      </w:r>
      <w:r>
        <w:rPr>
          <w:sz w:val="24"/>
          <w:szCs w:val="24"/>
        </w:rPr>
        <w:t>ROA</w:t>
      </w:r>
      <w:r>
        <w:rPr>
          <w:rFonts w:hAnsi="宋体"/>
          <w:sz w:val="24"/>
          <w:szCs w:val="24"/>
        </w:rPr>
        <w:t>等）和现金流指标（如经营性现金支出</w:t>
      </w:r>
      <w:r>
        <w:rPr>
          <w:sz w:val="24"/>
          <w:szCs w:val="24"/>
        </w:rPr>
        <w:t>/</w:t>
      </w:r>
      <w:r>
        <w:rPr>
          <w:rFonts w:hAnsi="宋体"/>
          <w:sz w:val="24"/>
          <w:szCs w:val="24"/>
        </w:rPr>
        <w:t>折旧、自由现金流</w:t>
      </w:r>
      <w:r>
        <w:rPr>
          <w:sz w:val="24"/>
          <w:szCs w:val="24"/>
        </w:rPr>
        <w:t>/</w:t>
      </w:r>
      <w:r>
        <w:rPr>
          <w:rFonts w:hAnsi="宋体"/>
          <w:sz w:val="24"/>
          <w:szCs w:val="24"/>
        </w:rPr>
        <w:t>销售等）。</w:t>
      </w:r>
    </w:p>
    <w:p w:rsidR="00783788" w:rsidRDefault="002C6E18">
      <w:pPr>
        <w:adjustRightInd w:val="0"/>
        <w:snapToGrid w:val="0"/>
        <w:spacing w:line="360" w:lineRule="auto"/>
        <w:ind w:firstLineChars="200" w:firstLine="480"/>
        <w:rPr>
          <w:sz w:val="24"/>
          <w:szCs w:val="24"/>
        </w:rPr>
      </w:pPr>
      <w:r>
        <w:rPr>
          <w:rFonts w:hAnsi="宋体"/>
          <w:sz w:val="24"/>
          <w:szCs w:val="24"/>
        </w:rPr>
        <w:t>分红意愿指标包括股息支付比例、股利分配率等。</w:t>
      </w:r>
    </w:p>
    <w:p w:rsidR="00783788" w:rsidRDefault="002C6E18">
      <w:pPr>
        <w:adjustRightInd w:val="0"/>
        <w:snapToGrid w:val="0"/>
        <w:spacing w:line="360" w:lineRule="auto"/>
        <w:ind w:firstLineChars="200" w:firstLine="480"/>
        <w:rPr>
          <w:sz w:val="24"/>
          <w:szCs w:val="24"/>
        </w:rPr>
      </w:pPr>
      <w:r>
        <w:rPr>
          <w:rFonts w:hAnsi="宋体"/>
          <w:sz w:val="24"/>
          <w:szCs w:val="24"/>
        </w:rPr>
        <w:t>估值水平指标包括市盈率（</w:t>
      </w:r>
      <w:r>
        <w:rPr>
          <w:sz w:val="24"/>
          <w:szCs w:val="24"/>
        </w:rPr>
        <w:t>P/E</w:t>
      </w:r>
      <w:r>
        <w:rPr>
          <w:rFonts w:hAnsi="宋体"/>
          <w:sz w:val="24"/>
          <w:szCs w:val="24"/>
        </w:rPr>
        <w:t>）、市净率</w:t>
      </w:r>
      <w:r>
        <w:rPr>
          <w:sz w:val="24"/>
          <w:szCs w:val="24"/>
        </w:rPr>
        <w:t>(P/B)</w:t>
      </w:r>
      <w:r>
        <w:rPr>
          <w:rFonts w:hAnsi="宋体"/>
          <w:sz w:val="24"/>
          <w:szCs w:val="24"/>
        </w:rPr>
        <w:t>、市价现金流比率（</w:t>
      </w:r>
      <w:r>
        <w:rPr>
          <w:sz w:val="24"/>
          <w:szCs w:val="24"/>
        </w:rPr>
        <w:t>P/CF</w:t>
      </w:r>
      <w:r>
        <w:rPr>
          <w:rFonts w:hAnsi="宋体"/>
          <w:sz w:val="24"/>
          <w:szCs w:val="24"/>
        </w:rPr>
        <w:t>）等。</w:t>
      </w:r>
    </w:p>
    <w:p w:rsidR="00783788" w:rsidRDefault="002C6E18">
      <w:pPr>
        <w:adjustRightInd w:val="0"/>
        <w:snapToGrid w:val="0"/>
        <w:spacing w:line="360" w:lineRule="auto"/>
        <w:ind w:firstLineChars="200" w:firstLine="480"/>
        <w:rPr>
          <w:sz w:val="24"/>
          <w:szCs w:val="24"/>
        </w:rPr>
      </w:pPr>
      <w:r>
        <w:rPr>
          <w:sz w:val="24"/>
          <w:szCs w:val="24"/>
        </w:rPr>
        <w:t>2</w:t>
      </w:r>
      <w:r>
        <w:rPr>
          <w:rFonts w:hAnsi="宋体"/>
          <w:sz w:val="24"/>
          <w:szCs w:val="24"/>
        </w:rPr>
        <w:t>）定性分析主要集中于对公司基本面因素，本基金将重点考察上市公司的治理结构、盈利持续性和财务稳定性等因素</w:t>
      </w:r>
      <w:r>
        <w:rPr>
          <w:sz w:val="24"/>
          <w:szCs w:val="24"/>
        </w:rPr>
        <w:t>,</w:t>
      </w:r>
      <w:r>
        <w:rPr>
          <w:rFonts w:hAnsi="宋体"/>
          <w:sz w:val="24"/>
          <w:szCs w:val="24"/>
        </w:rPr>
        <w:t>深入挖掘上市公司的潜在价值。定性分析时重点关注具有以下特征的优质公司：</w:t>
      </w:r>
    </w:p>
    <w:p w:rsidR="00783788" w:rsidRDefault="002C6E18">
      <w:pPr>
        <w:adjustRightInd w:val="0"/>
        <w:snapToGrid w:val="0"/>
        <w:spacing w:line="360" w:lineRule="auto"/>
        <w:ind w:firstLineChars="200" w:firstLine="480"/>
        <w:rPr>
          <w:sz w:val="24"/>
          <w:szCs w:val="24"/>
        </w:rPr>
      </w:pPr>
      <w:r>
        <w:rPr>
          <w:rFonts w:hAnsi="宋体"/>
          <w:sz w:val="24"/>
          <w:szCs w:val="24"/>
        </w:rPr>
        <w:t>①所处行业具有良好的行业发展空间；</w:t>
      </w:r>
    </w:p>
    <w:p w:rsidR="00783788" w:rsidRDefault="002C6E18">
      <w:pPr>
        <w:adjustRightInd w:val="0"/>
        <w:snapToGrid w:val="0"/>
        <w:spacing w:line="360" w:lineRule="auto"/>
        <w:ind w:firstLineChars="200" w:firstLine="480"/>
        <w:rPr>
          <w:sz w:val="24"/>
          <w:szCs w:val="24"/>
        </w:rPr>
      </w:pPr>
      <w:r>
        <w:rPr>
          <w:rFonts w:hAnsi="宋体"/>
          <w:sz w:val="24"/>
          <w:szCs w:val="24"/>
        </w:rPr>
        <w:t>②具有良好公司治理结构，公司注重股东回报，管理层能力较强，内部运作机制顺畅；</w:t>
      </w:r>
    </w:p>
    <w:p w:rsidR="00783788" w:rsidRDefault="002C6E18">
      <w:pPr>
        <w:adjustRightInd w:val="0"/>
        <w:snapToGrid w:val="0"/>
        <w:spacing w:line="360" w:lineRule="auto"/>
        <w:ind w:firstLineChars="200" w:firstLine="480"/>
        <w:rPr>
          <w:sz w:val="24"/>
          <w:szCs w:val="24"/>
        </w:rPr>
      </w:pPr>
      <w:r>
        <w:rPr>
          <w:rFonts w:hAnsi="宋体"/>
          <w:sz w:val="24"/>
          <w:szCs w:val="24"/>
        </w:rPr>
        <w:t>③已建立起市场化经营机制、决策效率高、对市场变化反应灵敏；</w:t>
      </w:r>
    </w:p>
    <w:p w:rsidR="00783788" w:rsidRDefault="002C6E18">
      <w:pPr>
        <w:adjustRightInd w:val="0"/>
        <w:snapToGrid w:val="0"/>
        <w:spacing w:line="360" w:lineRule="auto"/>
        <w:ind w:firstLineChars="200" w:firstLine="480"/>
        <w:rPr>
          <w:sz w:val="24"/>
          <w:szCs w:val="24"/>
        </w:rPr>
      </w:pPr>
      <w:r>
        <w:rPr>
          <w:rFonts w:hAnsi="宋体"/>
          <w:sz w:val="24"/>
          <w:szCs w:val="24"/>
        </w:rPr>
        <w:t>④行业地位突出，具有较强的核心竞争力，并具有与行业竞争结构相适应的、清晰的竞争战略；</w:t>
      </w:r>
    </w:p>
    <w:p w:rsidR="00783788" w:rsidRDefault="002C6E18">
      <w:pPr>
        <w:adjustRightInd w:val="0"/>
        <w:snapToGrid w:val="0"/>
        <w:spacing w:line="360" w:lineRule="auto"/>
        <w:ind w:firstLineChars="200" w:firstLine="480"/>
        <w:rPr>
          <w:sz w:val="24"/>
          <w:szCs w:val="24"/>
        </w:rPr>
      </w:pPr>
      <w:r>
        <w:rPr>
          <w:rFonts w:hAnsi="宋体"/>
          <w:sz w:val="24"/>
          <w:szCs w:val="24"/>
        </w:rPr>
        <w:t>⑤在行业内拥有成本优势、规模优势、品牌优势、技术优势或其它特定优势，公司主要业务或产品市场份额处于行业前列；</w:t>
      </w:r>
    </w:p>
    <w:p w:rsidR="00783788" w:rsidRDefault="002C6E18">
      <w:pPr>
        <w:adjustRightInd w:val="0"/>
        <w:snapToGrid w:val="0"/>
        <w:spacing w:line="360" w:lineRule="auto"/>
        <w:ind w:firstLineChars="200" w:firstLine="480"/>
        <w:rPr>
          <w:sz w:val="24"/>
          <w:szCs w:val="24"/>
        </w:rPr>
      </w:pPr>
      <w:r>
        <w:rPr>
          <w:rFonts w:hAnsi="宋体"/>
          <w:sz w:val="24"/>
          <w:szCs w:val="24"/>
        </w:rPr>
        <w:t>⑥财务稳健，经营效率及盈利能力较强等。</w:t>
      </w:r>
    </w:p>
    <w:p w:rsidR="00783788" w:rsidRDefault="002C6E18">
      <w:pPr>
        <w:adjustRightInd w:val="0"/>
        <w:snapToGrid w:val="0"/>
        <w:spacing w:line="360" w:lineRule="auto"/>
        <w:ind w:firstLineChars="200" w:firstLine="480"/>
        <w:rPr>
          <w:sz w:val="24"/>
          <w:szCs w:val="24"/>
        </w:rPr>
      </w:pPr>
      <w:r>
        <w:rPr>
          <w:rFonts w:hAnsi="宋体"/>
          <w:sz w:val="24"/>
          <w:szCs w:val="24"/>
        </w:rPr>
        <w:t>（</w:t>
      </w:r>
      <w:r>
        <w:rPr>
          <w:sz w:val="24"/>
          <w:szCs w:val="24"/>
        </w:rPr>
        <w:t>3</w:t>
      </w:r>
      <w:r>
        <w:rPr>
          <w:rFonts w:hAnsi="宋体"/>
          <w:sz w:val="24"/>
          <w:szCs w:val="24"/>
        </w:rPr>
        <w:t>）股票选择及组合优化</w:t>
      </w:r>
    </w:p>
    <w:p w:rsidR="00783788" w:rsidRDefault="002C6E18">
      <w:pPr>
        <w:adjustRightInd w:val="0"/>
        <w:snapToGrid w:val="0"/>
        <w:spacing w:line="360" w:lineRule="auto"/>
        <w:ind w:firstLineChars="200" w:firstLine="480"/>
        <w:rPr>
          <w:sz w:val="24"/>
          <w:szCs w:val="24"/>
        </w:rPr>
      </w:pPr>
      <w:r>
        <w:rPr>
          <w:rFonts w:hAnsi="宋体"/>
          <w:sz w:val="24"/>
          <w:szCs w:val="24"/>
        </w:rPr>
        <w:t>本基金将综合定性分析与定量价值评估的结果，精选估值合理或被低估以及具有上升潜力和投资价值的股票构建股票投资组合，并根据股票的预期收益与风险水平对投资组合进行优化。</w:t>
      </w:r>
    </w:p>
    <w:p w:rsidR="00783788" w:rsidRDefault="002C6E18">
      <w:pPr>
        <w:adjustRightInd w:val="0"/>
        <w:snapToGrid w:val="0"/>
        <w:spacing w:line="360" w:lineRule="auto"/>
        <w:ind w:firstLineChars="200" w:firstLine="480"/>
        <w:rPr>
          <w:sz w:val="24"/>
          <w:szCs w:val="24"/>
        </w:rPr>
      </w:pPr>
      <w:r>
        <w:rPr>
          <w:sz w:val="24"/>
          <w:szCs w:val="24"/>
        </w:rPr>
        <w:t>3</w:t>
      </w:r>
      <w:r>
        <w:rPr>
          <w:rFonts w:hAnsi="宋体"/>
          <w:sz w:val="24"/>
          <w:szCs w:val="24"/>
        </w:rPr>
        <w:t>、债券投资策略</w:t>
      </w:r>
    </w:p>
    <w:p w:rsidR="00783788" w:rsidRDefault="002C6E18">
      <w:pPr>
        <w:adjustRightInd w:val="0"/>
        <w:snapToGrid w:val="0"/>
        <w:spacing w:line="360" w:lineRule="auto"/>
        <w:ind w:firstLineChars="200" w:firstLine="480"/>
        <w:rPr>
          <w:sz w:val="24"/>
          <w:szCs w:val="24"/>
        </w:rPr>
      </w:pPr>
      <w:r>
        <w:rPr>
          <w:rFonts w:hAnsi="宋体"/>
          <w:sz w:val="24"/>
          <w:szCs w:val="24"/>
        </w:rPr>
        <w:t>本基金的债券资产主要投资于信用债，包括金融债（不含政策性金融债）、地方政府债、企业债、公司债、短期融资券、中期票据、可转换债券及分离交易可转债、资产支持证券等除国债和中央银行票据之外的、非国家信用的固定收益类金融工具。</w:t>
      </w:r>
    </w:p>
    <w:p w:rsidR="00783788" w:rsidRDefault="002C6E18">
      <w:pPr>
        <w:adjustRightInd w:val="0"/>
        <w:snapToGrid w:val="0"/>
        <w:spacing w:line="360" w:lineRule="auto"/>
        <w:ind w:firstLineChars="200" w:firstLine="480"/>
        <w:rPr>
          <w:sz w:val="24"/>
          <w:szCs w:val="24"/>
        </w:rPr>
      </w:pPr>
      <w:r>
        <w:rPr>
          <w:rFonts w:hAnsi="宋体"/>
          <w:sz w:val="24"/>
          <w:szCs w:val="24"/>
        </w:rPr>
        <w:t>债券投资方面，本基金充分发挥基金管理人的研究优势，将规范化的基本面研究、严谨的信用分析与积极主动的投资风格相结合，在分析和判断宏观经济运行状况和金融市场运行趋势的基础上，自上而下决定债券组合久期及债券类属配置；在严谨深入的信用分析基础上，综合考量信用债券的信用评级，以及各类债券的流动性、供求关系和收益率水平等，自下而上地精选个券。</w:t>
      </w:r>
    </w:p>
    <w:p w:rsidR="00783788" w:rsidRDefault="002C6E18">
      <w:pPr>
        <w:adjustRightInd w:val="0"/>
        <w:snapToGrid w:val="0"/>
        <w:spacing w:line="360" w:lineRule="auto"/>
        <w:ind w:firstLineChars="200" w:firstLine="480"/>
        <w:rPr>
          <w:sz w:val="24"/>
          <w:szCs w:val="24"/>
        </w:rPr>
      </w:pPr>
      <w:r>
        <w:rPr>
          <w:rFonts w:hAnsi="宋体"/>
          <w:sz w:val="24"/>
          <w:szCs w:val="24"/>
        </w:rPr>
        <w:t>（</w:t>
      </w:r>
      <w:r>
        <w:rPr>
          <w:sz w:val="24"/>
          <w:szCs w:val="24"/>
        </w:rPr>
        <w:t>1</w:t>
      </w:r>
      <w:r>
        <w:rPr>
          <w:rFonts w:hAnsi="宋体"/>
          <w:sz w:val="24"/>
          <w:szCs w:val="24"/>
        </w:rPr>
        <w:t>）久期管理策略</w:t>
      </w:r>
    </w:p>
    <w:p w:rsidR="00783788" w:rsidRDefault="002C6E18">
      <w:pPr>
        <w:adjustRightInd w:val="0"/>
        <w:snapToGrid w:val="0"/>
        <w:spacing w:line="360" w:lineRule="auto"/>
        <w:ind w:firstLineChars="200" w:firstLine="480"/>
        <w:rPr>
          <w:sz w:val="24"/>
          <w:szCs w:val="24"/>
        </w:rPr>
      </w:pPr>
      <w:r>
        <w:rPr>
          <w:rFonts w:hAnsi="宋体"/>
          <w:sz w:val="24"/>
          <w:szCs w:val="24"/>
        </w:rPr>
        <w:t>在全球经济的框架下，本基金管理人对宏观经济运行趋势及其引致的财政货币政策变化做出判断，密切跟踪</w:t>
      </w:r>
      <w:r>
        <w:rPr>
          <w:sz w:val="24"/>
          <w:szCs w:val="24"/>
        </w:rPr>
        <w:t>CPI</w:t>
      </w:r>
      <w:r>
        <w:rPr>
          <w:rFonts w:hAnsi="宋体"/>
          <w:sz w:val="24"/>
          <w:szCs w:val="24"/>
        </w:rPr>
        <w:t>、</w:t>
      </w:r>
      <w:r>
        <w:rPr>
          <w:sz w:val="24"/>
          <w:szCs w:val="24"/>
        </w:rPr>
        <w:t>PPI</w:t>
      </w:r>
      <w:r>
        <w:rPr>
          <w:rFonts w:hAnsi="宋体"/>
          <w:sz w:val="24"/>
          <w:szCs w:val="24"/>
        </w:rPr>
        <w:t>、汇率、</w:t>
      </w:r>
      <w:r>
        <w:rPr>
          <w:sz w:val="24"/>
          <w:szCs w:val="24"/>
        </w:rPr>
        <w:t>M2</w:t>
      </w:r>
      <w:r>
        <w:rPr>
          <w:rFonts w:hAnsi="宋体"/>
          <w:sz w:val="24"/>
          <w:szCs w:val="24"/>
        </w:rPr>
        <w:t>等利率敏感指标，运用数量化工具，对未来市场利率趋势进行分析与预测，并据此确定合理的债券组合目标久期，通过合理的久期控制实现对利率风险的有效管理。</w:t>
      </w:r>
    </w:p>
    <w:p w:rsidR="00783788" w:rsidRDefault="002C6E18">
      <w:pPr>
        <w:adjustRightInd w:val="0"/>
        <w:snapToGrid w:val="0"/>
        <w:spacing w:line="360" w:lineRule="auto"/>
        <w:ind w:firstLineChars="200" w:firstLine="480"/>
        <w:rPr>
          <w:sz w:val="24"/>
          <w:szCs w:val="24"/>
        </w:rPr>
      </w:pPr>
      <w:r>
        <w:rPr>
          <w:rFonts w:hAnsi="宋体"/>
          <w:sz w:val="24"/>
          <w:szCs w:val="24"/>
        </w:rPr>
        <w:t>（</w:t>
      </w:r>
      <w:r>
        <w:rPr>
          <w:sz w:val="24"/>
          <w:szCs w:val="24"/>
        </w:rPr>
        <w:t>2</w:t>
      </w:r>
      <w:r>
        <w:rPr>
          <w:rFonts w:hAnsi="宋体"/>
          <w:sz w:val="24"/>
          <w:szCs w:val="24"/>
        </w:rPr>
        <w:t>）债券的类属配置</w:t>
      </w:r>
    </w:p>
    <w:p w:rsidR="00783788" w:rsidRDefault="002C6E18">
      <w:pPr>
        <w:adjustRightInd w:val="0"/>
        <w:snapToGrid w:val="0"/>
        <w:spacing w:line="360" w:lineRule="auto"/>
        <w:ind w:firstLineChars="200" w:firstLine="480"/>
        <w:rPr>
          <w:sz w:val="24"/>
          <w:szCs w:val="24"/>
        </w:rPr>
      </w:pPr>
      <w:r>
        <w:rPr>
          <w:rFonts w:hAnsi="宋体"/>
          <w:sz w:val="24"/>
          <w:szCs w:val="24"/>
        </w:rPr>
        <w:t>本基金定性和定量地分析不同类属债券类资产的信用风险、流动性风险及其经风险调整后的收益率水平或盈利能力，通过比较或合理预期不同类属债券类资产的风险与收益率变化，确定并动态地调整不同类属债券类资产间的配置比例。</w:t>
      </w:r>
    </w:p>
    <w:p w:rsidR="00783788" w:rsidRDefault="002C6E18">
      <w:pPr>
        <w:adjustRightInd w:val="0"/>
        <w:snapToGrid w:val="0"/>
        <w:spacing w:line="360" w:lineRule="auto"/>
        <w:ind w:firstLineChars="200" w:firstLine="480"/>
        <w:rPr>
          <w:sz w:val="24"/>
          <w:szCs w:val="24"/>
        </w:rPr>
      </w:pPr>
      <w:r>
        <w:rPr>
          <w:rFonts w:hAnsi="宋体"/>
          <w:sz w:val="24"/>
          <w:szCs w:val="24"/>
        </w:rPr>
        <w:t>（</w:t>
      </w:r>
      <w:r>
        <w:rPr>
          <w:sz w:val="24"/>
          <w:szCs w:val="24"/>
        </w:rPr>
        <w:t>3</w:t>
      </w:r>
      <w:r>
        <w:rPr>
          <w:rFonts w:hAnsi="宋体"/>
          <w:sz w:val="24"/>
          <w:szCs w:val="24"/>
        </w:rPr>
        <w:t>）信用债券投资策略</w:t>
      </w:r>
    </w:p>
    <w:p w:rsidR="00783788" w:rsidRDefault="002C6E18">
      <w:pPr>
        <w:adjustRightInd w:val="0"/>
        <w:snapToGrid w:val="0"/>
        <w:spacing w:line="360" w:lineRule="auto"/>
        <w:ind w:firstLineChars="200" w:firstLine="480"/>
        <w:rPr>
          <w:sz w:val="24"/>
          <w:szCs w:val="24"/>
        </w:rPr>
      </w:pPr>
      <w:r>
        <w:rPr>
          <w:rFonts w:hAnsi="宋体"/>
          <w:sz w:val="24"/>
          <w:szCs w:val="24"/>
        </w:rPr>
        <w:t>信用债券同时承载了利率风险与信用风险，而信用风险对信用债券表现的影响胜于利率风险。具体而言，本基金信用债券的投资遵循以下流程：</w:t>
      </w:r>
    </w:p>
    <w:p w:rsidR="00783788" w:rsidRDefault="002C6E18">
      <w:pPr>
        <w:adjustRightInd w:val="0"/>
        <w:snapToGrid w:val="0"/>
        <w:spacing w:line="360" w:lineRule="auto"/>
        <w:ind w:firstLineChars="200" w:firstLine="480"/>
        <w:rPr>
          <w:sz w:val="24"/>
          <w:szCs w:val="24"/>
        </w:rPr>
      </w:pPr>
      <w:r>
        <w:rPr>
          <w:rFonts w:hAnsi="宋体"/>
          <w:sz w:val="24"/>
          <w:szCs w:val="24"/>
        </w:rPr>
        <w:t>①信用债券研究</w:t>
      </w:r>
    </w:p>
    <w:p w:rsidR="00783788" w:rsidRDefault="002C6E18">
      <w:pPr>
        <w:adjustRightInd w:val="0"/>
        <w:snapToGrid w:val="0"/>
        <w:spacing w:line="360" w:lineRule="auto"/>
        <w:ind w:firstLineChars="200" w:firstLine="480"/>
        <w:rPr>
          <w:sz w:val="24"/>
          <w:szCs w:val="24"/>
        </w:rPr>
      </w:pPr>
      <w:r>
        <w:rPr>
          <w:rFonts w:hAnsi="宋体"/>
          <w:sz w:val="24"/>
          <w:szCs w:val="24"/>
        </w:rPr>
        <w:t>信用分析师通过系统的案头研究、走访发行主体、咨询发行中介等各种形式，</w:t>
      </w:r>
      <w:r>
        <w:rPr>
          <w:sz w:val="24"/>
          <w:szCs w:val="24"/>
        </w:rPr>
        <w:t>“</w:t>
      </w:r>
      <w:r>
        <w:rPr>
          <w:rFonts w:hAnsi="宋体"/>
          <w:sz w:val="24"/>
          <w:szCs w:val="24"/>
        </w:rPr>
        <w:t>自上而下</w:t>
      </w:r>
      <w:r>
        <w:rPr>
          <w:sz w:val="24"/>
          <w:szCs w:val="24"/>
        </w:rPr>
        <w:t>”</w:t>
      </w:r>
      <w:r>
        <w:rPr>
          <w:rFonts w:hAnsi="宋体"/>
          <w:sz w:val="24"/>
          <w:szCs w:val="24"/>
        </w:rPr>
        <w:t>地分析宏观经济运行趋势、行业（或产业）经济前景，</w:t>
      </w:r>
      <w:r>
        <w:rPr>
          <w:sz w:val="24"/>
          <w:szCs w:val="24"/>
        </w:rPr>
        <w:t>“</w:t>
      </w:r>
      <w:r>
        <w:rPr>
          <w:rFonts w:hAnsi="宋体"/>
          <w:sz w:val="24"/>
          <w:szCs w:val="24"/>
        </w:rPr>
        <w:t>自下而上</w:t>
      </w:r>
      <w:r>
        <w:rPr>
          <w:sz w:val="24"/>
          <w:szCs w:val="24"/>
        </w:rPr>
        <w:t>”</w:t>
      </w:r>
      <w:r>
        <w:rPr>
          <w:rFonts w:hAnsi="宋体"/>
          <w:sz w:val="24"/>
          <w:szCs w:val="24"/>
        </w:rPr>
        <w:t>地分析发行主体的发展前景、偿债能力、国家信用支撑等。通过交银施罗德的信用债券信用评级指标体系，对信用债券进行信用评级，并在信用评级的基础上，建立本基金的信用债券池。</w:t>
      </w:r>
    </w:p>
    <w:p w:rsidR="00783788" w:rsidRDefault="002C6E18">
      <w:pPr>
        <w:adjustRightInd w:val="0"/>
        <w:snapToGrid w:val="0"/>
        <w:spacing w:line="360" w:lineRule="auto"/>
        <w:ind w:firstLineChars="200" w:firstLine="480"/>
        <w:rPr>
          <w:sz w:val="24"/>
          <w:szCs w:val="24"/>
        </w:rPr>
      </w:pPr>
      <w:r>
        <w:rPr>
          <w:rFonts w:hAnsi="宋体"/>
          <w:sz w:val="24"/>
          <w:szCs w:val="24"/>
        </w:rPr>
        <w:t>②信用债券投资</w:t>
      </w:r>
    </w:p>
    <w:p w:rsidR="00783788" w:rsidRDefault="002C6E18">
      <w:pPr>
        <w:adjustRightInd w:val="0"/>
        <w:snapToGrid w:val="0"/>
        <w:spacing w:line="360" w:lineRule="auto"/>
        <w:ind w:firstLineChars="200" w:firstLine="480"/>
        <w:rPr>
          <w:sz w:val="24"/>
          <w:szCs w:val="24"/>
        </w:rPr>
      </w:pPr>
      <w:r>
        <w:rPr>
          <w:rFonts w:hAnsi="宋体"/>
          <w:sz w:val="24"/>
          <w:szCs w:val="24"/>
        </w:rPr>
        <w:t>本基金从信用债券池中精选债券构建信用债券投资组合，主要考虑以下因素：</w:t>
      </w:r>
    </w:p>
    <w:p w:rsidR="00783788" w:rsidRDefault="002C6E18">
      <w:pPr>
        <w:adjustRightInd w:val="0"/>
        <w:snapToGrid w:val="0"/>
        <w:spacing w:line="360" w:lineRule="auto"/>
        <w:ind w:firstLineChars="200" w:firstLine="480"/>
        <w:rPr>
          <w:sz w:val="24"/>
          <w:szCs w:val="24"/>
        </w:rPr>
      </w:pPr>
      <w:r>
        <w:rPr>
          <w:sz w:val="24"/>
          <w:szCs w:val="24"/>
        </w:rPr>
        <w:t>a.</w:t>
      </w:r>
      <w:r>
        <w:rPr>
          <w:rFonts w:hAnsi="宋体"/>
          <w:sz w:val="24"/>
          <w:szCs w:val="24"/>
        </w:rPr>
        <w:t>信用债券信用评级的变化。</w:t>
      </w:r>
    </w:p>
    <w:p w:rsidR="00783788" w:rsidRDefault="002C6E18">
      <w:pPr>
        <w:adjustRightInd w:val="0"/>
        <w:snapToGrid w:val="0"/>
        <w:spacing w:line="360" w:lineRule="auto"/>
        <w:ind w:firstLineChars="200" w:firstLine="480"/>
        <w:rPr>
          <w:sz w:val="24"/>
          <w:szCs w:val="24"/>
        </w:rPr>
      </w:pPr>
      <w:r>
        <w:rPr>
          <w:sz w:val="24"/>
          <w:szCs w:val="24"/>
        </w:rPr>
        <w:t>b.</w:t>
      </w:r>
      <w:r>
        <w:rPr>
          <w:rFonts w:hAnsi="宋体"/>
          <w:sz w:val="24"/>
          <w:szCs w:val="24"/>
        </w:rPr>
        <w:t>不同信用等级的信用债券，以及同一信用等级不同标的债券之间的信用利差变化。</w:t>
      </w:r>
    </w:p>
    <w:p w:rsidR="00783788" w:rsidRDefault="002C6E18">
      <w:pPr>
        <w:adjustRightInd w:val="0"/>
        <w:snapToGrid w:val="0"/>
        <w:spacing w:line="360" w:lineRule="auto"/>
        <w:ind w:firstLineChars="200" w:firstLine="480"/>
        <w:rPr>
          <w:sz w:val="24"/>
          <w:szCs w:val="24"/>
        </w:rPr>
      </w:pPr>
      <w:r>
        <w:rPr>
          <w:rFonts w:hAnsi="宋体"/>
          <w:sz w:val="24"/>
          <w:szCs w:val="24"/>
        </w:rPr>
        <w:t>（</w:t>
      </w:r>
      <w:r>
        <w:rPr>
          <w:sz w:val="24"/>
          <w:szCs w:val="24"/>
        </w:rPr>
        <w:t>4</w:t>
      </w:r>
      <w:r>
        <w:rPr>
          <w:rFonts w:hAnsi="宋体"/>
          <w:sz w:val="24"/>
          <w:szCs w:val="24"/>
        </w:rPr>
        <w:t>）资产支持证券（含资产收益计划）投资策略</w:t>
      </w:r>
    </w:p>
    <w:p w:rsidR="00783788" w:rsidRDefault="002C6E18">
      <w:pPr>
        <w:adjustRightInd w:val="0"/>
        <w:snapToGrid w:val="0"/>
        <w:spacing w:line="360" w:lineRule="auto"/>
        <w:ind w:firstLineChars="200" w:firstLine="480"/>
        <w:rPr>
          <w:sz w:val="24"/>
          <w:szCs w:val="24"/>
        </w:rPr>
      </w:pPr>
      <w:r>
        <w:rPr>
          <w:rFonts w:hAnsi="宋体"/>
          <w:sz w:val="24"/>
          <w:szCs w:val="24"/>
        </w:rPr>
        <w:t>本基金将通过宏观经济、提前偿还率、资产池结构及资产池资产所在行业景气变化等因素的研究，预测资产池未来现金流变化；研究标的证券发行条款，预测提前偿还率变化对标的证券的久期与收益率的影响，同时密切关注流动性对标的证券收益率的影响。综合运用久期管理、收益率曲线、个券选择和把握市场交易机会等积极策略，在严格控制风险的情况下，通过信用研究和流动性管理，选择风险调整后的收益高的品种进行投资，以期获得长期稳定收益。</w:t>
      </w:r>
    </w:p>
    <w:p w:rsidR="00783788" w:rsidRDefault="002C6E18">
      <w:pPr>
        <w:adjustRightInd w:val="0"/>
        <w:snapToGrid w:val="0"/>
        <w:spacing w:line="360" w:lineRule="auto"/>
        <w:ind w:firstLineChars="200" w:firstLine="480"/>
        <w:rPr>
          <w:sz w:val="24"/>
          <w:szCs w:val="24"/>
        </w:rPr>
      </w:pPr>
      <w:r>
        <w:rPr>
          <w:rFonts w:hAnsi="宋体"/>
          <w:sz w:val="24"/>
          <w:szCs w:val="24"/>
        </w:rPr>
        <w:t>（</w:t>
      </w:r>
      <w:r>
        <w:rPr>
          <w:sz w:val="24"/>
          <w:szCs w:val="24"/>
        </w:rPr>
        <w:t>5</w:t>
      </w:r>
      <w:r>
        <w:rPr>
          <w:rFonts w:hAnsi="宋体"/>
          <w:sz w:val="24"/>
          <w:szCs w:val="24"/>
        </w:rPr>
        <w:t>）可转换债券投资策略</w:t>
      </w:r>
    </w:p>
    <w:p w:rsidR="00783788" w:rsidRDefault="002C6E18">
      <w:pPr>
        <w:adjustRightInd w:val="0"/>
        <w:snapToGrid w:val="0"/>
        <w:spacing w:line="360" w:lineRule="auto"/>
        <w:ind w:firstLineChars="200" w:firstLine="480"/>
        <w:rPr>
          <w:sz w:val="24"/>
          <w:szCs w:val="24"/>
        </w:rPr>
      </w:pPr>
      <w:r>
        <w:rPr>
          <w:rFonts w:hAnsi="宋体"/>
          <w:sz w:val="24"/>
          <w:szCs w:val="24"/>
        </w:rPr>
        <w:t>可转换债券是介于股票和债券之间的投资品种，兼具股性和债性的双重特征。</w:t>
      </w:r>
    </w:p>
    <w:p w:rsidR="00783788" w:rsidRDefault="002C6E18">
      <w:pPr>
        <w:adjustRightInd w:val="0"/>
        <w:snapToGrid w:val="0"/>
        <w:spacing w:line="360" w:lineRule="auto"/>
        <w:ind w:firstLineChars="200" w:firstLine="480"/>
        <w:rPr>
          <w:sz w:val="24"/>
          <w:szCs w:val="24"/>
        </w:rPr>
      </w:pPr>
      <w:r>
        <w:rPr>
          <w:rFonts w:hAnsi="宋体"/>
          <w:sz w:val="24"/>
          <w:szCs w:val="24"/>
        </w:rPr>
        <w:t>本基金对于可转换债券股性的研究将完全依托于公司投研团队对标的股票的研究，在此基础上量化投资部利用可转换债券定价模型，充分考虑转债发行后目标转债标的股票股价波动率可能出现的变化，对目标转债的股性进行合理定价。</w:t>
      </w:r>
    </w:p>
    <w:p w:rsidR="00783788" w:rsidRDefault="002C6E18">
      <w:pPr>
        <w:adjustRightInd w:val="0"/>
        <w:snapToGrid w:val="0"/>
        <w:spacing w:line="360" w:lineRule="auto"/>
        <w:ind w:firstLineChars="200" w:firstLine="480"/>
        <w:rPr>
          <w:sz w:val="24"/>
          <w:szCs w:val="24"/>
        </w:rPr>
      </w:pPr>
      <w:r>
        <w:rPr>
          <w:rFonts w:hAnsi="宋体"/>
          <w:sz w:val="24"/>
          <w:szCs w:val="24"/>
        </w:rPr>
        <w:t>对于本基金可转换债券债性的研究，将引进公司信用债券信用评级指标体系，对可转换债券的发行主体及标的债券进行信用评级，并在信用评级的基础上对其进行合理定价。</w:t>
      </w:r>
    </w:p>
    <w:p w:rsidR="00783788" w:rsidRDefault="002C6E18">
      <w:pPr>
        <w:adjustRightInd w:val="0"/>
        <w:snapToGrid w:val="0"/>
        <w:spacing w:line="360" w:lineRule="auto"/>
        <w:ind w:firstLineChars="200" w:firstLine="480"/>
        <w:rPr>
          <w:sz w:val="24"/>
          <w:szCs w:val="24"/>
        </w:rPr>
      </w:pPr>
      <w:r>
        <w:rPr>
          <w:rFonts w:hAnsi="宋体"/>
          <w:sz w:val="24"/>
          <w:szCs w:val="24"/>
        </w:rPr>
        <w:t>通过对标的转债股性与债性的合理定价，力求寻找出被市场低估的品种，构建本基金可转换债券的投资组合。</w:t>
      </w:r>
    </w:p>
    <w:p w:rsidR="00783788" w:rsidRDefault="002C6E18">
      <w:pPr>
        <w:adjustRightInd w:val="0"/>
        <w:snapToGrid w:val="0"/>
        <w:spacing w:line="360" w:lineRule="auto"/>
        <w:ind w:firstLineChars="200" w:firstLine="482"/>
        <w:rPr>
          <w:b/>
          <w:bCs/>
          <w:sz w:val="24"/>
          <w:szCs w:val="24"/>
        </w:rPr>
      </w:pPr>
      <w:r>
        <w:rPr>
          <w:rFonts w:hAnsi="宋体"/>
          <w:b/>
          <w:bCs/>
          <w:sz w:val="24"/>
          <w:szCs w:val="24"/>
        </w:rPr>
        <w:t>（四）投资限制</w:t>
      </w:r>
    </w:p>
    <w:p w:rsidR="00783788" w:rsidRDefault="002C6E18">
      <w:pPr>
        <w:adjustRightInd w:val="0"/>
        <w:snapToGrid w:val="0"/>
        <w:spacing w:line="360" w:lineRule="auto"/>
        <w:ind w:firstLineChars="200" w:firstLine="480"/>
        <w:rPr>
          <w:bCs/>
          <w:sz w:val="24"/>
          <w:szCs w:val="24"/>
        </w:rPr>
      </w:pPr>
      <w:r>
        <w:rPr>
          <w:bCs/>
          <w:sz w:val="24"/>
          <w:szCs w:val="24"/>
        </w:rPr>
        <w:t>1</w:t>
      </w:r>
      <w:r>
        <w:rPr>
          <w:rFonts w:hAnsi="宋体"/>
          <w:bCs/>
          <w:sz w:val="24"/>
          <w:szCs w:val="24"/>
        </w:rPr>
        <w:t>、组合限制</w:t>
      </w:r>
    </w:p>
    <w:p w:rsidR="00783788" w:rsidRDefault="002C6E18">
      <w:pPr>
        <w:adjustRightInd w:val="0"/>
        <w:snapToGrid w:val="0"/>
        <w:spacing w:line="360" w:lineRule="auto"/>
        <w:ind w:firstLineChars="200" w:firstLine="480"/>
        <w:rPr>
          <w:bCs/>
          <w:sz w:val="24"/>
          <w:szCs w:val="24"/>
        </w:rPr>
      </w:pPr>
      <w:r>
        <w:rPr>
          <w:rFonts w:hAnsi="宋体"/>
          <w:bCs/>
          <w:sz w:val="24"/>
          <w:szCs w:val="24"/>
        </w:rPr>
        <w:t>基金的投资组合应遵循以下限制：</w:t>
      </w:r>
    </w:p>
    <w:p w:rsidR="00783788" w:rsidRDefault="002C6E18">
      <w:pPr>
        <w:adjustRightInd w:val="0"/>
        <w:snapToGrid w:val="0"/>
        <w:spacing w:line="360" w:lineRule="auto"/>
        <w:ind w:firstLineChars="200" w:firstLine="480"/>
        <w:rPr>
          <w:bCs/>
          <w:sz w:val="24"/>
          <w:szCs w:val="24"/>
        </w:rPr>
      </w:pPr>
      <w:r>
        <w:rPr>
          <w:rFonts w:hAnsi="宋体"/>
          <w:bCs/>
          <w:sz w:val="24"/>
          <w:szCs w:val="24"/>
        </w:rPr>
        <w:t>（</w:t>
      </w:r>
      <w:r>
        <w:rPr>
          <w:bCs/>
          <w:sz w:val="24"/>
          <w:szCs w:val="24"/>
        </w:rPr>
        <w:t>1</w:t>
      </w:r>
      <w:r>
        <w:rPr>
          <w:rFonts w:hAnsi="宋体"/>
          <w:bCs/>
          <w:sz w:val="24"/>
          <w:szCs w:val="24"/>
        </w:rPr>
        <w:t>）本基金股票、权证等权益类资产占基金资产净值的</w:t>
      </w:r>
      <w:r>
        <w:rPr>
          <w:bCs/>
          <w:sz w:val="24"/>
          <w:szCs w:val="24"/>
        </w:rPr>
        <w:t>30%-70%</w:t>
      </w:r>
      <w:r>
        <w:rPr>
          <w:rFonts w:hAnsi="宋体"/>
          <w:bCs/>
          <w:sz w:val="24"/>
          <w:szCs w:val="24"/>
        </w:rPr>
        <w:t>，</w:t>
      </w:r>
      <w:r>
        <w:rPr>
          <w:rFonts w:hAnsi="宋体"/>
          <w:sz w:val="24"/>
          <w:szCs w:val="24"/>
        </w:rPr>
        <w:t>债券、资产支持证券、货币市场工具、银行存款等</w:t>
      </w:r>
      <w:r>
        <w:rPr>
          <w:rFonts w:hAnsi="宋体"/>
          <w:bCs/>
          <w:sz w:val="24"/>
          <w:szCs w:val="24"/>
        </w:rPr>
        <w:t>固定收益类资产和现金不低于基金资产净值的</w:t>
      </w:r>
      <w:r>
        <w:rPr>
          <w:bCs/>
          <w:sz w:val="24"/>
          <w:szCs w:val="24"/>
        </w:rPr>
        <w:t>30%</w:t>
      </w:r>
      <w:r>
        <w:rPr>
          <w:rFonts w:hAnsi="宋体"/>
          <w:bCs/>
          <w:sz w:val="24"/>
          <w:szCs w:val="24"/>
        </w:rPr>
        <w:t>；</w:t>
      </w:r>
    </w:p>
    <w:p w:rsidR="00783788" w:rsidRDefault="002C6E18">
      <w:pPr>
        <w:adjustRightInd w:val="0"/>
        <w:snapToGrid w:val="0"/>
        <w:spacing w:line="360" w:lineRule="auto"/>
        <w:ind w:firstLineChars="200" w:firstLine="480"/>
        <w:rPr>
          <w:bCs/>
          <w:sz w:val="24"/>
          <w:szCs w:val="24"/>
        </w:rPr>
      </w:pPr>
      <w:r>
        <w:rPr>
          <w:rFonts w:hAnsi="宋体"/>
          <w:bCs/>
          <w:sz w:val="24"/>
          <w:szCs w:val="24"/>
        </w:rPr>
        <w:t>（</w:t>
      </w:r>
      <w:r>
        <w:rPr>
          <w:bCs/>
          <w:sz w:val="24"/>
          <w:szCs w:val="24"/>
        </w:rPr>
        <w:t>2</w:t>
      </w:r>
      <w:r>
        <w:rPr>
          <w:rFonts w:hAnsi="宋体"/>
          <w:bCs/>
          <w:sz w:val="24"/>
          <w:szCs w:val="24"/>
        </w:rPr>
        <w:t>）保持不低于基金资产净值</w:t>
      </w:r>
      <w:r>
        <w:rPr>
          <w:bCs/>
          <w:sz w:val="24"/>
          <w:szCs w:val="24"/>
        </w:rPr>
        <w:t>5%</w:t>
      </w:r>
      <w:r>
        <w:rPr>
          <w:rFonts w:hAnsi="宋体"/>
          <w:bCs/>
          <w:sz w:val="24"/>
          <w:szCs w:val="24"/>
        </w:rPr>
        <w:t>的现金或者到期日在一年以内的政府债券；</w:t>
      </w:r>
    </w:p>
    <w:p w:rsidR="00783788" w:rsidRDefault="002C6E18">
      <w:pPr>
        <w:adjustRightInd w:val="0"/>
        <w:snapToGrid w:val="0"/>
        <w:spacing w:line="360" w:lineRule="auto"/>
        <w:ind w:firstLineChars="200" w:firstLine="480"/>
        <w:rPr>
          <w:bCs/>
          <w:sz w:val="24"/>
          <w:szCs w:val="24"/>
        </w:rPr>
      </w:pPr>
      <w:r>
        <w:rPr>
          <w:rFonts w:hAnsi="宋体"/>
          <w:bCs/>
          <w:sz w:val="24"/>
          <w:szCs w:val="24"/>
        </w:rPr>
        <w:t>（</w:t>
      </w:r>
      <w:r>
        <w:rPr>
          <w:bCs/>
          <w:sz w:val="24"/>
          <w:szCs w:val="24"/>
        </w:rPr>
        <w:t>3</w:t>
      </w:r>
      <w:r>
        <w:rPr>
          <w:rFonts w:hAnsi="宋体"/>
          <w:bCs/>
          <w:sz w:val="24"/>
          <w:szCs w:val="24"/>
        </w:rPr>
        <w:t>）本基金持有一家上市公司的股票，其市值不超过基金资产净值的</w:t>
      </w:r>
      <w:r>
        <w:rPr>
          <w:bCs/>
          <w:sz w:val="24"/>
          <w:szCs w:val="24"/>
        </w:rPr>
        <w:t>10%</w:t>
      </w:r>
      <w:r>
        <w:rPr>
          <w:rFonts w:hAnsi="宋体"/>
          <w:bCs/>
          <w:sz w:val="24"/>
          <w:szCs w:val="24"/>
        </w:rPr>
        <w:t>；</w:t>
      </w:r>
    </w:p>
    <w:p w:rsidR="00783788" w:rsidRDefault="002C6E18">
      <w:pPr>
        <w:adjustRightInd w:val="0"/>
        <w:snapToGrid w:val="0"/>
        <w:spacing w:line="360" w:lineRule="auto"/>
        <w:ind w:firstLineChars="200" w:firstLine="480"/>
        <w:rPr>
          <w:bCs/>
          <w:sz w:val="24"/>
          <w:szCs w:val="24"/>
        </w:rPr>
      </w:pPr>
      <w:r>
        <w:rPr>
          <w:rFonts w:hAnsi="宋体"/>
          <w:bCs/>
          <w:sz w:val="24"/>
          <w:szCs w:val="24"/>
        </w:rPr>
        <w:t>（</w:t>
      </w:r>
      <w:r>
        <w:rPr>
          <w:bCs/>
          <w:sz w:val="24"/>
          <w:szCs w:val="24"/>
        </w:rPr>
        <w:t>4</w:t>
      </w:r>
      <w:r>
        <w:rPr>
          <w:rFonts w:hAnsi="宋体"/>
          <w:bCs/>
          <w:sz w:val="24"/>
          <w:szCs w:val="24"/>
        </w:rPr>
        <w:t>）本基金管理人管理的全部基金持有一家公司发行的证券，不超过该证券的</w:t>
      </w:r>
      <w:r>
        <w:rPr>
          <w:bCs/>
          <w:sz w:val="24"/>
          <w:szCs w:val="24"/>
        </w:rPr>
        <w:t>10%</w:t>
      </w:r>
      <w:r>
        <w:rPr>
          <w:rFonts w:hAnsi="宋体"/>
          <w:bCs/>
          <w:sz w:val="24"/>
          <w:szCs w:val="24"/>
        </w:rPr>
        <w:t>；</w:t>
      </w:r>
    </w:p>
    <w:p w:rsidR="00783788" w:rsidRDefault="002C6E18">
      <w:pPr>
        <w:adjustRightInd w:val="0"/>
        <w:snapToGrid w:val="0"/>
        <w:spacing w:line="360" w:lineRule="auto"/>
        <w:ind w:firstLineChars="200" w:firstLine="480"/>
        <w:rPr>
          <w:bCs/>
          <w:sz w:val="24"/>
          <w:szCs w:val="24"/>
        </w:rPr>
      </w:pPr>
      <w:r>
        <w:rPr>
          <w:rFonts w:hAnsi="宋体"/>
          <w:bCs/>
          <w:sz w:val="24"/>
          <w:szCs w:val="24"/>
        </w:rPr>
        <w:t>（</w:t>
      </w:r>
      <w:r>
        <w:rPr>
          <w:bCs/>
          <w:sz w:val="24"/>
          <w:szCs w:val="24"/>
        </w:rPr>
        <w:t>5</w:t>
      </w:r>
      <w:r>
        <w:rPr>
          <w:rFonts w:hAnsi="宋体"/>
          <w:bCs/>
          <w:sz w:val="24"/>
          <w:szCs w:val="24"/>
        </w:rPr>
        <w:t>）本基金持有的全部权证，其市值不得超过基金资产净值的</w:t>
      </w:r>
      <w:r>
        <w:rPr>
          <w:bCs/>
          <w:sz w:val="24"/>
          <w:szCs w:val="24"/>
        </w:rPr>
        <w:t>3%</w:t>
      </w:r>
      <w:r>
        <w:rPr>
          <w:rFonts w:hAnsi="宋体"/>
          <w:bCs/>
          <w:sz w:val="24"/>
          <w:szCs w:val="24"/>
        </w:rPr>
        <w:t>；</w:t>
      </w:r>
    </w:p>
    <w:p w:rsidR="00783788" w:rsidRDefault="002C6E18">
      <w:pPr>
        <w:adjustRightInd w:val="0"/>
        <w:snapToGrid w:val="0"/>
        <w:spacing w:line="360" w:lineRule="auto"/>
        <w:ind w:firstLineChars="200" w:firstLine="480"/>
        <w:rPr>
          <w:bCs/>
          <w:sz w:val="24"/>
          <w:szCs w:val="24"/>
        </w:rPr>
      </w:pPr>
      <w:r>
        <w:rPr>
          <w:rFonts w:hAnsi="宋体"/>
          <w:bCs/>
          <w:sz w:val="24"/>
          <w:szCs w:val="24"/>
        </w:rPr>
        <w:t>（</w:t>
      </w:r>
      <w:r>
        <w:rPr>
          <w:bCs/>
          <w:sz w:val="24"/>
          <w:szCs w:val="24"/>
        </w:rPr>
        <w:t>6</w:t>
      </w:r>
      <w:r>
        <w:rPr>
          <w:rFonts w:hAnsi="宋体"/>
          <w:bCs/>
          <w:sz w:val="24"/>
          <w:szCs w:val="24"/>
        </w:rPr>
        <w:t>）本基金管理人管理的全部基金持有的同一权证，不得超过该权证的</w:t>
      </w:r>
      <w:r>
        <w:rPr>
          <w:bCs/>
          <w:sz w:val="24"/>
          <w:szCs w:val="24"/>
        </w:rPr>
        <w:t xml:space="preserve">   10%</w:t>
      </w:r>
      <w:r>
        <w:rPr>
          <w:rFonts w:hAnsi="宋体"/>
          <w:bCs/>
          <w:sz w:val="24"/>
          <w:szCs w:val="24"/>
        </w:rPr>
        <w:t>；</w:t>
      </w:r>
    </w:p>
    <w:p w:rsidR="00783788" w:rsidRDefault="002C6E18">
      <w:pPr>
        <w:adjustRightInd w:val="0"/>
        <w:snapToGrid w:val="0"/>
        <w:spacing w:line="360" w:lineRule="auto"/>
        <w:ind w:firstLineChars="200" w:firstLine="480"/>
        <w:rPr>
          <w:bCs/>
          <w:sz w:val="24"/>
          <w:szCs w:val="24"/>
        </w:rPr>
      </w:pPr>
      <w:r>
        <w:rPr>
          <w:rFonts w:hAnsi="宋体"/>
          <w:bCs/>
          <w:sz w:val="24"/>
          <w:szCs w:val="24"/>
        </w:rPr>
        <w:t>（</w:t>
      </w:r>
      <w:r>
        <w:rPr>
          <w:bCs/>
          <w:sz w:val="24"/>
          <w:szCs w:val="24"/>
        </w:rPr>
        <w:t>7</w:t>
      </w:r>
      <w:r>
        <w:rPr>
          <w:rFonts w:hAnsi="宋体"/>
          <w:bCs/>
          <w:sz w:val="24"/>
          <w:szCs w:val="24"/>
        </w:rPr>
        <w:t>）本基金在任何交易日买入权证的总金额，不得超过上一交易日基金资产净值的</w:t>
      </w:r>
      <w:r>
        <w:rPr>
          <w:bCs/>
          <w:sz w:val="24"/>
          <w:szCs w:val="24"/>
        </w:rPr>
        <w:t>0.5%</w:t>
      </w:r>
      <w:r>
        <w:rPr>
          <w:rFonts w:hAnsi="宋体"/>
          <w:bCs/>
          <w:sz w:val="24"/>
          <w:szCs w:val="24"/>
        </w:rPr>
        <w:t>；</w:t>
      </w:r>
    </w:p>
    <w:p w:rsidR="00783788" w:rsidRDefault="002C6E18">
      <w:pPr>
        <w:adjustRightInd w:val="0"/>
        <w:snapToGrid w:val="0"/>
        <w:spacing w:line="360" w:lineRule="auto"/>
        <w:ind w:firstLineChars="200" w:firstLine="480"/>
        <w:rPr>
          <w:bCs/>
          <w:sz w:val="24"/>
          <w:szCs w:val="24"/>
        </w:rPr>
      </w:pPr>
      <w:r>
        <w:rPr>
          <w:rFonts w:hAnsi="宋体"/>
          <w:bCs/>
          <w:sz w:val="24"/>
          <w:szCs w:val="24"/>
        </w:rPr>
        <w:t>（</w:t>
      </w:r>
      <w:r>
        <w:rPr>
          <w:bCs/>
          <w:sz w:val="24"/>
          <w:szCs w:val="24"/>
        </w:rPr>
        <w:t>8</w:t>
      </w:r>
      <w:r>
        <w:rPr>
          <w:rFonts w:hAnsi="宋体"/>
          <w:bCs/>
          <w:sz w:val="24"/>
          <w:szCs w:val="24"/>
        </w:rPr>
        <w:t>）本基金投资于同一原始权益人的各类资产支持证券的比例，不得超过基金资产净值的</w:t>
      </w:r>
      <w:r>
        <w:rPr>
          <w:bCs/>
          <w:sz w:val="24"/>
          <w:szCs w:val="24"/>
        </w:rPr>
        <w:t>10%</w:t>
      </w:r>
      <w:r>
        <w:rPr>
          <w:rFonts w:hAnsi="宋体"/>
          <w:bCs/>
          <w:sz w:val="24"/>
          <w:szCs w:val="24"/>
        </w:rPr>
        <w:t>；</w:t>
      </w:r>
    </w:p>
    <w:p w:rsidR="00783788" w:rsidRDefault="002C6E18">
      <w:pPr>
        <w:adjustRightInd w:val="0"/>
        <w:snapToGrid w:val="0"/>
        <w:spacing w:line="360" w:lineRule="auto"/>
        <w:ind w:firstLineChars="200" w:firstLine="480"/>
        <w:rPr>
          <w:bCs/>
          <w:sz w:val="24"/>
          <w:szCs w:val="24"/>
        </w:rPr>
      </w:pPr>
      <w:r>
        <w:rPr>
          <w:rFonts w:hAnsi="宋体"/>
          <w:bCs/>
          <w:sz w:val="24"/>
          <w:szCs w:val="24"/>
        </w:rPr>
        <w:t>（</w:t>
      </w:r>
      <w:r>
        <w:rPr>
          <w:bCs/>
          <w:sz w:val="24"/>
          <w:szCs w:val="24"/>
        </w:rPr>
        <w:t>9</w:t>
      </w:r>
      <w:r>
        <w:rPr>
          <w:rFonts w:hAnsi="宋体"/>
          <w:bCs/>
          <w:sz w:val="24"/>
          <w:szCs w:val="24"/>
        </w:rPr>
        <w:t>）本基金持有的全部资产支持证券，其市值不得超过基金资产净值的</w:t>
      </w:r>
      <w:r>
        <w:rPr>
          <w:bCs/>
          <w:sz w:val="24"/>
          <w:szCs w:val="24"/>
        </w:rPr>
        <w:t>20</w:t>
      </w:r>
      <w:r>
        <w:rPr>
          <w:rFonts w:hAnsi="宋体"/>
          <w:bCs/>
          <w:sz w:val="24"/>
          <w:szCs w:val="24"/>
        </w:rPr>
        <w:t>％；</w:t>
      </w:r>
    </w:p>
    <w:p w:rsidR="00783788" w:rsidRDefault="002C6E18">
      <w:pPr>
        <w:adjustRightInd w:val="0"/>
        <w:snapToGrid w:val="0"/>
        <w:spacing w:line="360" w:lineRule="auto"/>
        <w:ind w:firstLineChars="200" w:firstLine="480"/>
        <w:rPr>
          <w:bCs/>
          <w:sz w:val="24"/>
          <w:szCs w:val="24"/>
        </w:rPr>
      </w:pPr>
      <w:r>
        <w:rPr>
          <w:rFonts w:hAnsi="宋体"/>
          <w:bCs/>
          <w:sz w:val="24"/>
          <w:szCs w:val="24"/>
        </w:rPr>
        <w:t>（</w:t>
      </w:r>
      <w:r>
        <w:rPr>
          <w:bCs/>
          <w:sz w:val="24"/>
          <w:szCs w:val="24"/>
        </w:rPr>
        <w:t>10</w:t>
      </w:r>
      <w:r>
        <w:rPr>
          <w:rFonts w:hAnsi="宋体"/>
          <w:bCs/>
          <w:sz w:val="24"/>
          <w:szCs w:val="24"/>
        </w:rPr>
        <w:t>）本基金持有的同一（指同一信用级别）资产支持证券的比例，不得超过该资产支持证券规模的</w:t>
      </w:r>
      <w:r>
        <w:rPr>
          <w:bCs/>
          <w:sz w:val="24"/>
          <w:szCs w:val="24"/>
        </w:rPr>
        <w:t>10%</w:t>
      </w:r>
      <w:r>
        <w:rPr>
          <w:rFonts w:hAnsi="宋体"/>
          <w:bCs/>
          <w:sz w:val="24"/>
          <w:szCs w:val="24"/>
        </w:rPr>
        <w:t>；</w:t>
      </w:r>
    </w:p>
    <w:p w:rsidR="00783788" w:rsidRDefault="002C6E18">
      <w:pPr>
        <w:adjustRightInd w:val="0"/>
        <w:snapToGrid w:val="0"/>
        <w:spacing w:line="360" w:lineRule="auto"/>
        <w:ind w:firstLineChars="200" w:firstLine="480"/>
        <w:rPr>
          <w:bCs/>
          <w:sz w:val="24"/>
          <w:szCs w:val="24"/>
        </w:rPr>
      </w:pPr>
      <w:r>
        <w:rPr>
          <w:rFonts w:hAnsi="宋体"/>
          <w:bCs/>
          <w:sz w:val="24"/>
          <w:szCs w:val="24"/>
        </w:rPr>
        <w:t>（</w:t>
      </w:r>
      <w:r>
        <w:rPr>
          <w:bCs/>
          <w:sz w:val="24"/>
          <w:szCs w:val="24"/>
        </w:rPr>
        <w:t>11</w:t>
      </w:r>
      <w:r>
        <w:rPr>
          <w:rFonts w:hAnsi="宋体"/>
          <w:bCs/>
          <w:sz w:val="24"/>
          <w:szCs w:val="24"/>
        </w:rPr>
        <w:t>）本基金管理人管理的全部基金投资于同一原始权益人的各类资产支持证券，不得超过其各类资产支持证券合计规模的</w:t>
      </w:r>
      <w:r>
        <w:rPr>
          <w:bCs/>
          <w:sz w:val="24"/>
          <w:szCs w:val="24"/>
        </w:rPr>
        <w:t>10%</w:t>
      </w:r>
      <w:r>
        <w:rPr>
          <w:rFonts w:hAnsi="宋体"/>
          <w:bCs/>
          <w:sz w:val="24"/>
          <w:szCs w:val="24"/>
        </w:rPr>
        <w:t>；</w:t>
      </w:r>
    </w:p>
    <w:p w:rsidR="00783788" w:rsidRDefault="002C6E18">
      <w:pPr>
        <w:adjustRightInd w:val="0"/>
        <w:snapToGrid w:val="0"/>
        <w:spacing w:line="360" w:lineRule="auto"/>
        <w:ind w:firstLineChars="200" w:firstLine="480"/>
        <w:rPr>
          <w:bCs/>
          <w:sz w:val="24"/>
          <w:szCs w:val="24"/>
        </w:rPr>
      </w:pPr>
      <w:r>
        <w:rPr>
          <w:rFonts w:hAnsi="宋体"/>
          <w:bCs/>
          <w:sz w:val="24"/>
          <w:szCs w:val="24"/>
        </w:rPr>
        <w:t>（</w:t>
      </w:r>
      <w:r>
        <w:rPr>
          <w:bCs/>
          <w:sz w:val="24"/>
          <w:szCs w:val="24"/>
        </w:rPr>
        <w:t>12</w:t>
      </w:r>
      <w:r>
        <w:rPr>
          <w:rFonts w:hAnsi="宋体"/>
          <w:bCs/>
          <w:sz w:val="24"/>
          <w:szCs w:val="24"/>
        </w:rPr>
        <w:t>）本基金应投资于信用级别评级为</w:t>
      </w:r>
      <w:r>
        <w:rPr>
          <w:bCs/>
          <w:sz w:val="24"/>
          <w:szCs w:val="24"/>
        </w:rPr>
        <w:t>BBB</w:t>
      </w:r>
      <w:r>
        <w:rPr>
          <w:rFonts w:hAnsi="宋体"/>
          <w:bCs/>
          <w:sz w:val="24"/>
          <w:szCs w:val="24"/>
        </w:rPr>
        <w:t>以上</w:t>
      </w:r>
      <w:r>
        <w:rPr>
          <w:bCs/>
          <w:sz w:val="24"/>
          <w:szCs w:val="24"/>
        </w:rPr>
        <w:t>(</w:t>
      </w:r>
      <w:r>
        <w:rPr>
          <w:rFonts w:hAnsi="宋体"/>
          <w:bCs/>
          <w:sz w:val="24"/>
          <w:szCs w:val="24"/>
        </w:rPr>
        <w:t>含</w:t>
      </w:r>
      <w:r>
        <w:rPr>
          <w:bCs/>
          <w:sz w:val="24"/>
          <w:szCs w:val="24"/>
        </w:rPr>
        <w:t>BBB)</w:t>
      </w:r>
      <w:r>
        <w:rPr>
          <w:rFonts w:hAnsi="宋体"/>
          <w:bCs/>
          <w:sz w:val="24"/>
          <w:szCs w:val="24"/>
        </w:rPr>
        <w:t>的资产支持证券。基金持有资产支持证券期间，如果其信用等级下降、不再符合投资标准，应在评级报告发布之日起</w:t>
      </w:r>
      <w:r>
        <w:rPr>
          <w:bCs/>
          <w:sz w:val="24"/>
          <w:szCs w:val="24"/>
        </w:rPr>
        <w:t>3</w:t>
      </w:r>
      <w:r>
        <w:rPr>
          <w:rFonts w:hAnsi="宋体"/>
          <w:bCs/>
          <w:sz w:val="24"/>
          <w:szCs w:val="24"/>
        </w:rPr>
        <w:t>个月内予以全部卖出；</w:t>
      </w:r>
    </w:p>
    <w:p w:rsidR="00783788" w:rsidRDefault="002C6E18">
      <w:pPr>
        <w:adjustRightInd w:val="0"/>
        <w:snapToGrid w:val="0"/>
        <w:spacing w:line="360" w:lineRule="auto"/>
        <w:ind w:firstLineChars="200" w:firstLine="480"/>
        <w:rPr>
          <w:bCs/>
          <w:sz w:val="24"/>
          <w:szCs w:val="24"/>
        </w:rPr>
      </w:pPr>
      <w:r>
        <w:rPr>
          <w:rFonts w:hAnsi="宋体"/>
          <w:bCs/>
          <w:sz w:val="24"/>
          <w:szCs w:val="24"/>
        </w:rPr>
        <w:t>（</w:t>
      </w:r>
      <w:r>
        <w:rPr>
          <w:bCs/>
          <w:sz w:val="24"/>
          <w:szCs w:val="24"/>
        </w:rPr>
        <w:t>13</w:t>
      </w:r>
      <w:r>
        <w:rPr>
          <w:rFonts w:hAnsi="宋体"/>
          <w:bCs/>
          <w:sz w:val="24"/>
          <w:szCs w:val="24"/>
        </w:rPr>
        <w:t>）基金财产参与股票发行申购，本基金所申报的金额不超过本基金的总资产，本基金所申报的股票数量不超过拟发行股票公司本次发行股票的总量；</w:t>
      </w:r>
    </w:p>
    <w:p w:rsidR="00783788" w:rsidRDefault="002C6E18">
      <w:pPr>
        <w:adjustRightInd w:val="0"/>
        <w:snapToGrid w:val="0"/>
        <w:spacing w:line="360" w:lineRule="auto"/>
        <w:ind w:firstLineChars="200" w:firstLine="480"/>
        <w:rPr>
          <w:bCs/>
          <w:sz w:val="24"/>
          <w:szCs w:val="24"/>
        </w:rPr>
      </w:pPr>
      <w:r>
        <w:rPr>
          <w:rFonts w:hAnsi="宋体"/>
          <w:bCs/>
          <w:sz w:val="24"/>
          <w:szCs w:val="24"/>
        </w:rPr>
        <w:t>（</w:t>
      </w:r>
      <w:r>
        <w:rPr>
          <w:bCs/>
          <w:sz w:val="24"/>
          <w:szCs w:val="24"/>
        </w:rPr>
        <w:t>14</w:t>
      </w:r>
      <w:r>
        <w:rPr>
          <w:rFonts w:hAnsi="宋体"/>
          <w:bCs/>
          <w:sz w:val="24"/>
          <w:szCs w:val="24"/>
        </w:rPr>
        <w:t>）本基金进入全国银行间同业市场进行债券回购的资金余额不得超过基金资产净值的</w:t>
      </w:r>
      <w:r>
        <w:rPr>
          <w:bCs/>
          <w:sz w:val="24"/>
          <w:szCs w:val="24"/>
        </w:rPr>
        <w:t>40%</w:t>
      </w:r>
      <w:r>
        <w:rPr>
          <w:rFonts w:hAnsi="宋体"/>
          <w:kern w:val="0"/>
          <w:sz w:val="24"/>
          <w:szCs w:val="24"/>
        </w:rPr>
        <w:t>。债券回购最长期限为</w:t>
      </w:r>
      <w:r>
        <w:rPr>
          <w:kern w:val="0"/>
          <w:sz w:val="24"/>
          <w:szCs w:val="24"/>
        </w:rPr>
        <w:t>1</w:t>
      </w:r>
      <w:r>
        <w:rPr>
          <w:rFonts w:hAnsi="宋体"/>
          <w:kern w:val="0"/>
          <w:sz w:val="24"/>
          <w:szCs w:val="24"/>
        </w:rPr>
        <w:t>年，债券回购到期后不得展期</w:t>
      </w:r>
      <w:r>
        <w:rPr>
          <w:rFonts w:hAnsi="宋体"/>
          <w:bCs/>
          <w:sz w:val="24"/>
          <w:szCs w:val="24"/>
        </w:rPr>
        <w:t>；</w:t>
      </w:r>
    </w:p>
    <w:p w:rsidR="00783788" w:rsidRDefault="002C6E18">
      <w:pPr>
        <w:adjustRightInd w:val="0"/>
        <w:snapToGrid w:val="0"/>
        <w:spacing w:line="360" w:lineRule="auto"/>
        <w:ind w:firstLineChars="200" w:firstLine="480"/>
        <w:rPr>
          <w:bCs/>
          <w:sz w:val="24"/>
          <w:szCs w:val="24"/>
        </w:rPr>
      </w:pPr>
      <w:r>
        <w:rPr>
          <w:rFonts w:hAnsi="宋体"/>
          <w:bCs/>
          <w:sz w:val="24"/>
          <w:szCs w:val="24"/>
        </w:rPr>
        <w:t>（</w:t>
      </w:r>
      <w:r>
        <w:rPr>
          <w:bCs/>
          <w:sz w:val="24"/>
          <w:szCs w:val="24"/>
        </w:rPr>
        <w:t>15</w:t>
      </w:r>
      <w:r>
        <w:rPr>
          <w:rFonts w:hAnsi="宋体"/>
          <w:bCs/>
          <w:sz w:val="24"/>
          <w:szCs w:val="24"/>
        </w:rPr>
        <w:t>）法律法规及中国证监会规定的和基金合同约定的其他投资限制。</w:t>
      </w:r>
    </w:p>
    <w:p w:rsidR="00783788" w:rsidRDefault="002C6E18">
      <w:pPr>
        <w:adjustRightInd w:val="0"/>
        <w:snapToGrid w:val="0"/>
        <w:spacing w:line="360" w:lineRule="auto"/>
        <w:ind w:firstLineChars="200" w:firstLine="480"/>
        <w:rPr>
          <w:bCs/>
          <w:sz w:val="24"/>
          <w:szCs w:val="24"/>
        </w:rPr>
      </w:pPr>
      <w:r>
        <w:rPr>
          <w:rFonts w:hAnsi="宋体"/>
          <w:bCs/>
          <w:sz w:val="24"/>
          <w:szCs w:val="24"/>
        </w:rPr>
        <w:t>因证券市场波动、上市公司合并、基金规模变动、股权分置改革中支付对价等基金管理人之外的因素致使基金投资比例不符合上述规定投资比例的，基金管理人应当在</w:t>
      </w:r>
      <w:r>
        <w:rPr>
          <w:bCs/>
          <w:sz w:val="24"/>
          <w:szCs w:val="24"/>
        </w:rPr>
        <w:t>10</w:t>
      </w:r>
      <w:r>
        <w:rPr>
          <w:rFonts w:hAnsi="宋体"/>
          <w:bCs/>
          <w:sz w:val="24"/>
          <w:szCs w:val="24"/>
        </w:rPr>
        <w:t>个交易日内进行调整，法律法规另有规定的从其规定。</w:t>
      </w:r>
    </w:p>
    <w:p w:rsidR="00783788" w:rsidRDefault="002C6E18">
      <w:pPr>
        <w:adjustRightInd w:val="0"/>
        <w:snapToGrid w:val="0"/>
        <w:spacing w:line="360" w:lineRule="auto"/>
        <w:ind w:firstLineChars="200" w:firstLine="480"/>
        <w:rPr>
          <w:bCs/>
          <w:sz w:val="24"/>
          <w:szCs w:val="24"/>
        </w:rPr>
      </w:pPr>
      <w:r>
        <w:rPr>
          <w:rFonts w:hAnsi="宋体"/>
          <w:bCs/>
          <w:sz w:val="24"/>
          <w:szCs w:val="24"/>
        </w:rPr>
        <w:t>基金管理人应当自基金合同生效之日起</w:t>
      </w:r>
      <w:r>
        <w:rPr>
          <w:bCs/>
          <w:sz w:val="24"/>
          <w:szCs w:val="24"/>
        </w:rPr>
        <w:t>6</w:t>
      </w:r>
      <w:r>
        <w:rPr>
          <w:rFonts w:hAnsi="宋体"/>
          <w:bCs/>
          <w:sz w:val="24"/>
          <w:szCs w:val="24"/>
        </w:rPr>
        <w:t>个月内使基金的投资组合比例符合基金合同的有关约定。基金托管人对基金的投资的监督与检查自本基金合同生效之日起开始。</w:t>
      </w:r>
    </w:p>
    <w:p w:rsidR="00783788" w:rsidRDefault="002C6E18">
      <w:pPr>
        <w:adjustRightInd w:val="0"/>
        <w:snapToGrid w:val="0"/>
        <w:spacing w:line="360" w:lineRule="auto"/>
        <w:ind w:firstLineChars="200" w:firstLine="480"/>
        <w:rPr>
          <w:bCs/>
          <w:sz w:val="24"/>
          <w:szCs w:val="24"/>
        </w:rPr>
      </w:pPr>
      <w:r>
        <w:rPr>
          <w:rFonts w:hAnsi="宋体"/>
          <w:bCs/>
          <w:sz w:val="24"/>
          <w:szCs w:val="24"/>
        </w:rPr>
        <w:t>法律法规或监管部门取消或修改上述限制，如适用于本基金，基金管理人在履行适当程序后，则本基金投资所受限制相应调整。</w:t>
      </w:r>
    </w:p>
    <w:p w:rsidR="00783788" w:rsidRDefault="002C6E18">
      <w:pPr>
        <w:adjustRightInd w:val="0"/>
        <w:snapToGrid w:val="0"/>
        <w:spacing w:line="360" w:lineRule="auto"/>
        <w:ind w:firstLineChars="200" w:firstLine="480"/>
        <w:rPr>
          <w:bCs/>
          <w:sz w:val="24"/>
          <w:szCs w:val="24"/>
        </w:rPr>
      </w:pPr>
      <w:r>
        <w:rPr>
          <w:bCs/>
          <w:sz w:val="24"/>
          <w:szCs w:val="24"/>
        </w:rPr>
        <w:t>2</w:t>
      </w:r>
      <w:r>
        <w:rPr>
          <w:rFonts w:hAnsi="宋体"/>
          <w:bCs/>
          <w:sz w:val="24"/>
          <w:szCs w:val="24"/>
        </w:rPr>
        <w:t>、禁止行为</w:t>
      </w:r>
    </w:p>
    <w:p w:rsidR="00783788" w:rsidRDefault="002C6E18">
      <w:pPr>
        <w:adjustRightInd w:val="0"/>
        <w:snapToGrid w:val="0"/>
        <w:spacing w:line="360" w:lineRule="auto"/>
        <w:ind w:firstLineChars="200" w:firstLine="480"/>
        <w:rPr>
          <w:bCs/>
          <w:sz w:val="24"/>
          <w:szCs w:val="24"/>
        </w:rPr>
      </w:pPr>
      <w:r>
        <w:rPr>
          <w:rFonts w:hAnsi="宋体"/>
          <w:bCs/>
          <w:sz w:val="24"/>
          <w:szCs w:val="24"/>
        </w:rPr>
        <w:t>为维护基金份额持有人的合法权益，基金财产不得用于下列投资或者活动：</w:t>
      </w:r>
    </w:p>
    <w:p w:rsidR="00783788" w:rsidRDefault="002C6E18">
      <w:pPr>
        <w:adjustRightInd w:val="0"/>
        <w:snapToGrid w:val="0"/>
        <w:spacing w:line="360" w:lineRule="auto"/>
        <w:ind w:firstLineChars="200" w:firstLine="480"/>
        <w:rPr>
          <w:bCs/>
          <w:sz w:val="24"/>
          <w:szCs w:val="24"/>
        </w:rPr>
      </w:pPr>
      <w:r>
        <w:rPr>
          <w:rFonts w:hAnsi="宋体"/>
          <w:bCs/>
          <w:sz w:val="24"/>
          <w:szCs w:val="24"/>
        </w:rPr>
        <w:t>（</w:t>
      </w:r>
      <w:r>
        <w:rPr>
          <w:bCs/>
          <w:sz w:val="24"/>
          <w:szCs w:val="24"/>
        </w:rPr>
        <w:t>1</w:t>
      </w:r>
      <w:r>
        <w:rPr>
          <w:rFonts w:hAnsi="宋体"/>
          <w:bCs/>
          <w:sz w:val="24"/>
          <w:szCs w:val="24"/>
        </w:rPr>
        <w:t>）承销证券；</w:t>
      </w:r>
    </w:p>
    <w:p w:rsidR="00783788" w:rsidRDefault="002C6E18">
      <w:pPr>
        <w:adjustRightInd w:val="0"/>
        <w:snapToGrid w:val="0"/>
        <w:spacing w:line="360" w:lineRule="auto"/>
        <w:ind w:firstLineChars="200" w:firstLine="480"/>
        <w:rPr>
          <w:bCs/>
          <w:sz w:val="24"/>
          <w:szCs w:val="24"/>
        </w:rPr>
      </w:pPr>
      <w:r>
        <w:rPr>
          <w:rFonts w:hAnsi="宋体"/>
          <w:bCs/>
          <w:sz w:val="24"/>
          <w:szCs w:val="24"/>
        </w:rPr>
        <w:t>（</w:t>
      </w:r>
      <w:r>
        <w:rPr>
          <w:bCs/>
          <w:sz w:val="24"/>
          <w:szCs w:val="24"/>
        </w:rPr>
        <w:t>2</w:t>
      </w:r>
      <w:r>
        <w:rPr>
          <w:rFonts w:hAnsi="宋体"/>
          <w:bCs/>
          <w:sz w:val="24"/>
          <w:szCs w:val="24"/>
        </w:rPr>
        <w:t>）向他人贷款或者提供担保；</w:t>
      </w:r>
    </w:p>
    <w:p w:rsidR="00783788" w:rsidRDefault="002C6E18">
      <w:pPr>
        <w:adjustRightInd w:val="0"/>
        <w:snapToGrid w:val="0"/>
        <w:spacing w:line="360" w:lineRule="auto"/>
        <w:ind w:firstLineChars="200" w:firstLine="480"/>
        <w:rPr>
          <w:bCs/>
          <w:sz w:val="24"/>
          <w:szCs w:val="24"/>
        </w:rPr>
      </w:pPr>
      <w:r>
        <w:rPr>
          <w:rFonts w:hAnsi="宋体"/>
          <w:bCs/>
          <w:sz w:val="24"/>
          <w:szCs w:val="24"/>
        </w:rPr>
        <w:t>（</w:t>
      </w:r>
      <w:r>
        <w:rPr>
          <w:bCs/>
          <w:sz w:val="24"/>
          <w:szCs w:val="24"/>
        </w:rPr>
        <w:t>3</w:t>
      </w:r>
      <w:r>
        <w:rPr>
          <w:rFonts w:hAnsi="宋体"/>
          <w:bCs/>
          <w:sz w:val="24"/>
          <w:szCs w:val="24"/>
        </w:rPr>
        <w:t>）从事承担无限责任的投资；</w:t>
      </w:r>
    </w:p>
    <w:p w:rsidR="00783788" w:rsidRDefault="002C6E18">
      <w:pPr>
        <w:adjustRightInd w:val="0"/>
        <w:snapToGrid w:val="0"/>
        <w:spacing w:line="360" w:lineRule="auto"/>
        <w:ind w:firstLineChars="200" w:firstLine="480"/>
        <w:rPr>
          <w:bCs/>
          <w:sz w:val="24"/>
          <w:szCs w:val="24"/>
        </w:rPr>
      </w:pPr>
      <w:r>
        <w:rPr>
          <w:rFonts w:hAnsi="宋体"/>
          <w:bCs/>
          <w:sz w:val="24"/>
          <w:szCs w:val="24"/>
        </w:rPr>
        <w:t>（</w:t>
      </w:r>
      <w:r>
        <w:rPr>
          <w:bCs/>
          <w:sz w:val="24"/>
          <w:szCs w:val="24"/>
        </w:rPr>
        <w:t>4</w:t>
      </w:r>
      <w:r>
        <w:rPr>
          <w:rFonts w:hAnsi="宋体"/>
          <w:bCs/>
          <w:sz w:val="24"/>
          <w:szCs w:val="24"/>
        </w:rPr>
        <w:t>）买卖其他基金份额，但是国务院另有规定的除外；</w:t>
      </w:r>
    </w:p>
    <w:p w:rsidR="00783788" w:rsidRDefault="002C6E18">
      <w:pPr>
        <w:adjustRightInd w:val="0"/>
        <w:snapToGrid w:val="0"/>
        <w:spacing w:line="360" w:lineRule="auto"/>
        <w:ind w:firstLineChars="200" w:firstLine="480"/>
        <w:rPr>
          <w:bCs/>
          <w:sz w:val="24"/>
          <w:szCs w:val="24"/>
        </w:rPr>
      </w:pPr>
      <w:r>
        <w:rPr>
          <w:rFonts w:hAnsi="宋体"/>
          <w:bCs/>
          <w:sz w:val="24"/>
          <w:szCs w:val="24"/>
        </w:rPr>
        <w:t>（</w:t>
      </w:r>
      <w:r>
        <w:rPr>
          <w:bCs/>
          <w:sz w:val="24"/>
          <w:szCs w:val="24"/>
        </w:rPr>
        <w:t>5</w:t>
      </w:r>
      <w:r>
        <w:rPr>
          <w:rFonts w:hAnsi="宋体"/>
          <w:bCs/>
          <w:sz w:val="24"/>
          <w:szCs w:val="24"/>
        </w:rPr>
        <w:t>）向其基金管理人、基金托管人出资或者买卖其基金管理人、基金托管人发行的股票或者债券；</w:t>
      </w:r>
    </w:p>
    <w:p w:rsidR="00783788" w:rsidRDefault="002C6E18">
      <w:pPr>
        <w:adjustRightInd w:val="0"/>
        <w:snapToGrid w:val="0"/>
        <w:spacing w:line="360" w:lineRule="auto"/>
        <w:ind w:firstLineChars="200" w:firstLine="480"/>
        <w:rPr>
          <w:bCs/>
          <w:sz w:val="24"/>
          <w:szCs w:val="24"/>
        </w:rPr>
      </w:pPr>
      <w:r>
        <w:rPr>
          <w:rFonts w:hAnsi="宋体"/>
          <w:bCs/>
          <w:sz w:val="24"/>
          <w:szCs w:val="24"/>
        </w:rPr>
        <w:t>（</w:t>
      </w:r>
      <w:r>
        <w:rPr>
          <w:bCs/>
          <w:sz w:val="24"/>
          <w:szCs w:val="24"/>
        </w:rPr>
        <w:t>6</w:t>
      </w:r>
      <w:r>
        <w:rPr>
          <w:rFonts w:hAnsi="宋体"/>
          <w:bCs/>
          <w:sz w:val="24"/>
          <w:szCs w:val="24"/>
        </w:rPr>
        <w:t>）买卖与其基金管理人、基金托管人有控股关系的股东或者与其基金管理人、基金托管人有其他重大利害关系的公司发行的证券或者承销期内承销的证券；</w:t>
      </w:r>
    </w:p>
    <w:p w:rsidR="00783788" w:rsidRDefault="002C6E18">
      <w:pPr>
        <w:adjustRightInd w:val="0"/>
        <w:snapToGrid w:val="0"/>
        <w:spacing w:line="360" w:lineRule="auto"/>
        <w:ind w:firstLineChars="200" w:firstLine="480"/>
        <w:rPr>
          <w:bCs/>
          <w:sz w:val="24"/>
          <w:szCs w:val="24"/>
        </w:rPr>
      </w:pPr>
      <w:r>
        <w:rPr>
          <w:rFonts w:hAnsi="宋体"/>
          <w:bCs/>
          <w:sz w:val="24"/>
          <w:szCs w:val="24"/>
        </w:rPr>
        <w:t>（</w:t>
      </w:r>
      <w:r>
        <w:rPr>
          <w:bCs/>
          <w:sz w:val="24"/>
          <w:szCs w:val="24"/>
        </w:rPr>
        <w:t>7</w:t>
      </w:r>
      <w:r>
        <w:rPr>
          <w:rFonts w:hAnsi="宋体"/>
          <w:bCs/>
          <w:sz w:val="24"/>
          <w:szCs w:val="24"/>
        </w:rPr>
        <w:t>）从事内幕交易、操纵证券交易价格及其他不正当的证券交易活动；</w:t>
      </w:r>
    </w:p>
    <w:p w:rsidR="00783788" w:rsidRDefault="002C6E18">
      <w:pPr>
        <w:adjustRightInd w:val="0"/>
        <w:snapToGrid w:val="0"/>
        <w:spacing w:line="360" w:lineRule="auto"/>
        <w:ind w:firstLineChars="200" w:firstLine="480"/>
        <w:rPr>
          <w:bCs/>
          <w:sz w:val="24"/>
          <w:szCs w:val="24"/>
        </w:rPr>
      </w:pPr>
      <w:r>
        <w:rPr>
          <w:rFonts w:hAnsi="宋体"/>
          <w:bCs/>
          <w:sz w:val="24"/>
          <w:szCs w:val="24"/>
        </w:rPr>
        <w:t>（</w:t>
      </w:r>
      <w:r>
        <w:rPr>
          <w:bCs/>
          <w:sz w:val="24"/>
          <w:szCs w:val="24"/>
        </w:rPr>
        <w:t>8</w:t>
      </w:r>
      <w:r>
        <w:rPr>
          <w:rFonts w:hAnsi="宋体"/>
          <w:bCs/>
          <w:sz w:val="24"/>
          <w:szCs w:val="24"/>
        </w:rPr>
        <w:t>）依照法律法规有关规定，由中国证监会规定禁止的其他活动。</w:t>
      </w:r>
    </w:p>
    <w:p w:rsidR="00783788" w:rsidRDefault="002C6E18">
      <w:pPr>
        <w:adjustRightInd w:val="0"/>
        <w:snapToGrid w:val="0"/>
        <w:spacing w:line="360" w:lineRule="auto"/>
        <w:ind w:firstLineChars="200" w:firstLine="480"/>
        <w:rPr>
          <w:bCs/>
          <w:sz w:val="24"/>
          <w:szCs w:val="24"/>
        </w:rPr>
      </w:pPr>
      <w:r>
        <w:rPr>
          <w:rFonts w:hAnsi="宋体"/>
          <w:bCs/>
          <w:sz w:val="24"/>
          <w:szCs w:val="24"/>
        </w:rPr>
        <w:t>如法律法规或监管部门取消上述禁止性规定，本基金管理人在履行适当程序后可不受上述规定的限制。</w:t>
      </w:r>
    </w:p>
    <w:p w:rsidR="00783788" w:rsidRDefault="002C6E18">
      <w:pPr>
        <w:adjustRightInd w:val="0"/>
        <w:snapToGrid w:val="0"/>
        <w:spacing w:line="360" w:lineRule="auto"/>
        <w:ind w:firstLineChars="200" w:firstLine="482"/>
        <w:rPr>
          <w:b/>
          <w:bCs/>
          <w:sz w:val="24"/>
          <w:szCs w:val="24"/>
        </w:rPr>
      </w:pPr>
      <w:r>
        <w:rPr>
          <w:rFonts w:hAnsi="宋体"/>
          <w:b/>
          <w:bCs/>
          <w:sz w:val="24"/>
          <w:szCs w:val="24"/>
        </w:rPr>
        <w:t>（五）业绩比较基准</w:t>
      </w:r>
    </w:p>
    <w:p w:rsidR="00783788" w:rsidRDefault="002C6E18">
      <w:pPr>
        <w:adjustRightInd w:val="0"/>
        <w:snapToGrid w:val="0"/>
        <w:spacing w:line="360" w:lineRule="auto"/>
        <w:ind w:firstLineChars="200" w:firstLine="480"/>
        <w:rPr>
          <w:sz w:val="24"/>
          <w:szCs w:val="24"/>
        </w:rPr>
      </w:pPr>
      <w:r>
        <w:rPr>
          <w:rFonts w:hAnsi="宋体"/>
          <w:sz w:val="24"/>
          <w:szCs w:val="24"/>
        </w:rPr>
        <w:t>本基金的业绩比较基准为</w:t>
      </w:r>
      <w:r>
        <w:rPr>
          <w:sz w:val="24"/>
          <w:szCs w:val="24"/>
        </w:rPr>
        <w:t>50%×</w:t>
      </w:r>
      <w:r>
        <w:rPr>
          <w:rFonts w:hAnsi="宋体"/>
          <w:sz w:val="24"/>
          <w:szCs w:val="24"/>
        </w:rPr>
        <w:t>中证红利指数收益率</w:t>
      </w:r>
      <w:r>
        <w:rPr>
          <w:sz w:val="24"/>
          <w:szCs w:val="24"/>
        </w:rPr>
        <w:t>+50%×</w:t>
      </w:r>
      <w:r>
        <w:rPr>
          <w:rFonts w:hAnsi="宋体"/>
          <w:sz w:val="24"/>
          <w:szCs w:val="24"/>
        </w:rPr>
        <w:t>中债综合</w:t>
      </w:r>
      <w:r>
        <w:rPr>
          <w:rFonts w:hAnsi="宋体" w:hint="eastAsia"/>
          <w:sz w:val="24"/>
          <w:szCs w:val="24"/>
        </w:rPr>
        <w:t>全价</w:t>
      </w:r>
      <w:r>
        <w:rPr>
          <w:rFonts w:hAnsi="宋体"/>
          <w:sz w:val="24"/>
          <w:szCs w:val="24"/>
        </w:rPr>
        <w:t>指数收益率</w:t>
      </w:r>
    </w:p>
    <w:p w:rsidR="00783788" w:rsidRDefault="002C6E18">
      <w:pPr>
        <w:adjustRightInd w:val="0"/>
        <w:snapToGrid w:val="0"/>
        <w:spacing w:line="360" w:lineRule="auto"/>
        <w:ind w:firstLineChars="200" w:firstLine="480"/>
        <w:rPr>
          <w:sz w:val="24"/>
          <w:szCs w:val="24"/>
        </w:rPr>
      </w:pPr>
      <w:r>
        <w:rPr>
          <w:rFonts w:hAnsi="宋体"/>
          <w:sz w:val="24"/>
          <w:szCs w:val="24"/>
        </w:rPr>
        <w:t>中证红利指数挑选在上海证券交易所和深圳证券交易所上市的现金股息率高、分红比较稳定、具有一定规模及流动性的</w:t>
      </w:r>
      <w:r>
        <w:rPr>
          <w:sz w:val="24"/>
          <w:szCs w:val="24"/>
        </w:rPr>
        <w:t xml:space="preserve">100 </w:t>
      </w:r>
      <w:r>
        <w:rPr>
          <w:rFonts w:hAnsi="宋体"/>
          <w:sz w:val="24"/>
          <w:szCs w:val="24"/>
        </w:rPr>
        <w:t>只股票作为样本，以反映</w:t>
      </w:r>
      <w:r>
        <w:rPr>
          <w:sz w:val="24"/>
          <w:szCs w:val="24"/>
        </w:rPr>
        <w:t xml:space="preserve">A </w:t>
      </w:r>
      <w:r>
        <w:rPr>
          <w:rFonts w:hAnsi="宋体"/>
          <w:sz w:val="24"/>
          <w:szCs w:val="24"/>
        </w:rPr>
        <w:t>股市场红利股票的整体状况和走势。该指数具有较好的权威性、市场代表性，作为衡量本基金股票投资部分业绩的比较基准，较为合适。</w:t>
      </w:r>
    </w:p>
    <w:p w:rsidR="00783788" w:rsidRDefault="002C6E18">
      <w:pPr>
        <w:adjustRightInd w:val="0"/>
        <w:snapToGrid w:val="0"/>
        <w:spacing w:line="360" w:lineRule="auto"/>
        <w:ind w:firstLineChars="200" w:firstLine="480"/>
        <w:rPr>
          <w:sz w:val="24"/>
          <w:szCs w:val="24"/>
        </w:rPr>
      </w:pPr>
      <w:r>
        <w:rPr>
          <w:rFonts w:hAnsi="宋体"/>
          <w:sz w:val="24"/>
          <w:szCs w:val="24"/>
        </w:rPr>
        <w:t>中债综合</w:t>
      </w:r>
      <w:r>
        <w:rPr>
          <w:rFonts w:hAnsi="宋体" w:hint="eastAsia"/>
          <w:sz w:val="24"/>
          <w:szCs w:val="24"/>
        </w:rPr>
        <w:t>全价</w:t>
      </w:r>
      <w:r>
        <w:rPr>
          <w:rFonts w:hAnsi="宋体"/>
          <w:sz w:val="24"/>
          <w:szCs w:val="24"/>
        </w:rPr>
        <w:t>指数综合反映了债券市场整体价格和回报情况，是目前市场上较为权威的反映债券市场整体走势的基准指数之一。该指数合理、透明、公开，具有较好的市场接受度，作为衡量本基金债券投资部分业绩的比较基准，较为合适。</w:t>
      </w:r>
    </w:p>
    <w:p w:rsidR="00783788" w:rsidRDefault="002C6E18">
      <w:pPr>
        <w:adjustRightInd w:val="0"/>
        <w:snapToGrid w:val="0"/>
        <w:spacing w:line="360" w:lineRule="auto"/>
        <w:ind w:firstLineChars="200" w:firstLine="480"/>
        <w:rPr>
          <w:sz w:val="24"/>
          <w:szCs w:val="24"/>
        </w:rPr>
      </w:pPr>
      <w:r>
        <w:rPr>
          <w:rFonts w:hAnsi="宋体"/>
          <w:sz w:val="24"/>
          <w:szCs w:val="24"/>
        </w:rPr>
        <w:t>考虑到本基金的投资比例及各投资对象价格的变动对基金净值的不同影响，本基金对上述两个基准指数按照目标资产配置比例分配权重，作为综合衡量本基金投资业绩的比较基准。</w:t>
      </w:r>
    </w:p>
    <w:p w:rsidR="00783788" w:rsidRDefault="002C6E18">
      <w:pPr>
        <w:adjustRightInd w:val="0"/>
        <w:snapToGrid w:val="0"/>
        <w:spacing w:line="360" w:lineRule="auto"/>
        <w:ind w:firstLineChars="200" w:firstLine="480"/>
        <w:rPr>
          <w:sz w:val="24"/>
          <w:szCs w:val="24"/>
        </w:rPr>
      </w:pPr>
      <w:r>
        <w:rPr>
          <w:rFonts w:hAnsi="宋体"/>
          <w:bCs/>
          <w:sz w:val="24"/>
          <w:szCs w:val="24"/>
        </w:rPr>
        <w:t>如果上述基准指数停止计算编制或更改名称，或者今后法律法规发生变化，又或者市场推出更具权威、且更能够表征本基金风险收益特征的指数，则本基金管理人可与基金托管人协商一致，调整或变更本基金的业绩比较基准并及时公告。</w:t>
      </w:r>
    </w:p>
    <w:p w:rsidR="00783788" w:rsidRDefault="002C6E18">
      <w:pPr>
        <w:adjustRightInd w:val="0"/>
        <w:snapToGrid w:val="0"/>
        <w:spacing w:line="360" w:lineRule="auto"/>
        <w:ind w:firstLineChars="200" w:firstLine="482"/>
        <w:rPr>
          <w:b/>
          <w:bCs/>
          <w:sz w:val="24"/>
          <w:szCs w:val="24"/>
        </w:rPr>
      </w:pPr>
      <w:r>
        <w:rPr>
          <w:rFonts w:hAnsi="宋体"/>
          <w:b/>
          <w:bCs/>
          <w:sz w:val="24"/>
          <w:szCs w:val="24"/>
        </w:rPr>
        <w:t>（六）风险收益特征</w:t>
      </w:r>
    </w:p>
    <w:p w:rsidR="00783788" w:rsidRDefault="002C6E18">
      <w:pPr>
        <w:adjustRightInd w:val="0"/>
        <w:snapToGrid w:val="0"/>
        <w:spacing w:line="360" w:lineRule="auto"/>
        <w:ind w:firstLineChars="200" w:firstLine="480"/>
        <w:rPr>
          <w:sz w:val="24"/>
          <w:szCs w:val="24"/>
        </w:rPr>
      </w:pPr>
      <w:r>
        <w:rPr>
          <w:rFonts w:hAnsi="宋体"/>
          <w:sz w:val="24"/>
          <w:szCs w:val="24"/>
        </w:rPr>
        <w:t>本基金是一只混合型基金，在证券投资基金中属于较高风险的品种，其长期平均风险和预期收益高于货币市场基金和债券型基金，低于股票型基金。</w:t>
      </w:r>
    </w:p>
    <w:p w:rsidR="00783788" w:rsidRDefault="002C6E18">
      <w:pPr>
        <w:adjustRightInd w:val="0"/>
        <w:snapToGrid w:val="0"/>
        <w:spacing w:line="360" w:lineRule="auto"/>
        <w:ind w:firstLineChars="200" w:firstLine="482"/>
        <w:rPr>
          <w:b/>
          <w:bCs/>
          <w:sz w:val="24"/>
          <w:szCs w:val="24"/>
        </w:rPr>
      </w:pPr>
      <w:r>
        <w:rPr>
          <w:rFonts w:hAnsi="宋体"/>
          <w:b/>
          <w:bCs/>
          <w:sz w:val="24"/>
          <w:szCs w:val="24"/>
        </w:rPr>
        <w:t>（七）基金的融资融券</w:t>
      </w:r>
    </w:p>
    <w:p w:rsidR="00783788" w:rsidRDefault="002C6E18">
      <w:pPr>
        <w:adjustRightInd w:val="0"/>
        <w:snapToGrid w:val="0"/>
        <w:spacing w:line="360" w:lineRule="auto"/>
        <w:ind w:firstLineChars="200" w:firstLine="480"/>
        <w:rPr>
          <w:bCs/>
          <w:sz w:val="24"/>
          <w:szCs w:val="24"/>
        </w:rPr>
      </w:pPr>
      <w:r>
        <w:rPr>
          <w:rFonts w:hAnsi="宋体"/>
          <w:bCs/>
          <w:sz w:val="24"/>
          <w:szCs w:val="24"/>
        </w:rPr>
        <w:t>本基金可以按照届时有效的有关法律法规和政策的规定进行融资融券。</w:t>
      </w:r>
    </w:p>
    <w:p w:rsidR="00783788" w:rsidRDefault="002C6E18">
      <w:pPr>
        <w:adjustRightInd w:val="0"/>
        <w:snapToGrid w:val="0"/>
        <w:spacing w:line="360" w:lineRule="auto"/>
        <w:ind w:firstLineChars="200" w:firstLine="482"/>
        <w:rPr>
          <w:b/>
          <w:bCs/>
          <w:sz w:val="24"/>
          <w:szCs w:val="24"/>
        </w:rPr>
      </w:pPr>
      <w:r>
        <w:rPr>
          <w:rFonts w:hAnsi="宋体"/>
          <w:b/>
          <w:bCs/>
          <w:sz w:val="24"/>
          <w:szCs w:val="24"/>
        </w:rPr>
        <w:t>（八）基金管理人代表基金行使股东及债权人权利的处理原则及方法</w:t>
      </w:r>
    </w:p>
    <w:p w:rsidR="00783788" w:rsidRDefault="002C6E18">
      <w:pPr>
        <w:adjustRightInd w:val="0"/>
        <w:snapToGrid w:val="0"/>
        <w:spacing w:line="360" w:lineRule="auto"/>
        <w:ind w:firstLineChars="200" w:firstLine="480"/>
        <w:rPr>
          <w:bCs/>
          <w:sz w:val="24"/>
          <w:szCs w:val="24"/>
        </w:rPr>
      </w:pPr>
      <w:r>
        <w:rPr>
          <w:bCs/>
          <w:sz w:val="24"/>
          <w:szCs w:val="24"/>
        </w:rPr>
        <w:t>1</w:t>
      </w:r>
      <w:r>
        <w:rPr>
          <w:rFonts w:hAnsi="宋体"/>
          <w:bCs/>
          <w:sz w:val="24"/>
          <w:szCs w:val="24"/>
        </w:rPr>
        <w:t>、基金管理人按照国家有关规定代表基金独立行使</w:t>
      </w:r>
      <w:r>
        <w:rPr>
          <w:rFonts w:hAnsi="宋体" w:hint="eastAsia"/>
          <w:bCs/>
          <w:sz w:val="24"/>
          <w:szCs w:val="24"/>
        </w:rPr>
        <w:t>股东及</w:t>
      </w:r>
      <w:r>
        <w:rPr>
          <w:rFonts w:hAnsi="宋体"/>
          <w:bCs/>
          <w:sz w:val="24"/>
          <w:szCs w:val="24"/>
        </w:rPr>
        <w:t>债权人权利，保护基金份额持有人的利益；</w:t>
      </w:r>
    </w:p>
    <w:p w:rsidR="00783788" w:rsidRDefault="002C6E18">
      <w:pPr>
        <w:adjustRightInd w:val="0"/>
        <w:snapToGrid w:val="0"/>
        <w:spacing w:line="360" w:lineRule="auto"/>
        <w:ind w:firstLineChars="200" w:firstLine="480"/>
        <w:rPr>
          <w:bCs/>
          <w:sz w:val="24"/>
          <w:szCs w:val="24"/>
        </w:rPr>
      </w:pPr>
      <w:r>
        <w:rPr>
          <w:bCs/>
          <w:sz w:val="24"/>
          <w:szCs w:val="24"/>
        </w:rPr>
        <w:t>2</w:t>
      </w:r>
      <w:r>
        <w:rPr>
          <w:rFonts w:hAnsi="宋体"/>
          <w:bCs/>
          <w:sz w:val="24"/>
          <w:szCs w:val="24"/>
        </w:rPr>
        <w:t>、不谋求对上市公司的控股，不参与所投资上市公司的经营管理；</w:t>
      </w:r>
    </w:p>
    <w:p w:rsidR="00783788" w:rsidRDefault="002C6E18">
      <w:pPr>
        <w:adjustRightInd w:val="0"/>
        <w:snapToGrid w:val="0"/>
        <w:spacing w:line="360" w:lineRule="auto"/>
        <w:ind w:firstLineChars="200" w:firstLine="480"/>
        <w:rPr>
          <w:bCs/>
          <w:sz w:val="24"/>
          <w:szCs w:val="24"/>
        </w:rPr>
      </w:pPr>
      <w:r>
        <w:rPr>
          <w:bCs/>
          <w:sz w:val="24"/>
          <w:szCs w:val="24"/>
        </w:rPr>
        <w:t>3</w:t>
      </w:r>
      <w:r>
        <w:rPr>
          <w:rFonts w:hAnsi="宋体"/>
          <w:bCs/>
          <w:sz w:val="24"/>
          <w:szCs w:val="24"/>
        </w:rPr>
        <w:t>、有利于基金财产的安全与增值；</w:t>
      </w:r>
    </w:p>
    <w:p w:rsidR="00783788" w:rsidRDefault="002C6E18">
      <w:pPr>
        <w:adjustRightInd w:val="0"/>
        <w:snapToGrid w:val="0"/>
        <w:spacing w:line="360" w:lineRule="auto"/>
        <w:ind w:firstLineChars="200" w:firstLine="480"/>
        <w:rPr>
          <w:sz w:val="24"/>
          <w:szCs w:val="24"/>
        </w:rPr>
      </w:pPr>
      <w:r>
        <w:rPr>
          <w:bCs/>
          <w:sz w:val="24"/>
          <w:szCs w:val="24"/>
        </w:rPr>
        <w:t>4</w:t>
      </w:r>
      <w:r>
        <w:rPr>
          <w:rFonts w:hAnsi="宋体"/>
          <w:bCs/>
          <w:sz w:val="24"/>
          <w:szCs w:val="24"/>
        </w:rPr>
        <w:t>、不通过关联交易为自身、雇员、授权代理人或任何存在利害关系的第三人牟取任何不当利益。</w:t>
      </w:r>
      <w:bookmarkStart w:id="62" w:name="_Toc109059025"/>
      <w:bookmarkStart w:id="63" w:name="_Toc109059036"/>
      <w:bookmarkStart w:id="64" w:name="_Toc109059037"/>
      <w:bookmarkStart w:id="65" w:name="_Hlt5528681"/>
      <w:bookmarkStart w:id="66" w:name="_Hlt5604240"/>
      <w:bookmarkStart w:id="67" w:name="_Hlt88281392"/>
      <w:bookmarkStart w:id="68" w:name="_Hlt81033092"/>
      <w:bookmarkStart w:id="69" w:name="_Hlt81033424"/>
      <w:bookmarkStart w:id="70" w:name="_Toc154909614"/>
      <w:bookmarkStart w:id="71" w:name="_Toc155690783"/>
      <w:bookmarkEnd w:id="58"/>
      <w:bookmarkEnd w:id="59"/>
      <w:bookmarkEnd w:id="60"/>
      <w:bookmarkEnd w:id="62"/>
      <w:bookmarkEnd w:id="63"/>
      <w:bookmarkEnd w:id="64"/>
      <w:bookmarkEnd w:id="65"/>
      <w:bookmarkEnd w:id="66"/>
      <w:bookmarkEnd w:id="67"/>
      <w:bookmarkEnd w:id="68"/>
      <w:bookmarkEnd w:id="69"/>
    </w:p>
    <w:p w:rsidR="00783788" w:rsidRDefault="002C6E18">
      <w:pPr>
        <w:adjustRightInd w:val="0"/>
        <w:snapToGrid w:val="0"/>
        <w:spacing w:line="360" w:lineRule="auto"/>
        <w:ind w:firstLineChars="200" w:firstLine="482"/>
        <w:rPr>
          <w:b/>
          <w:sz w:val="24"/>
          <w:szCs w:val="24"/>
        </w:rPr>
      </w:pPr>
      <w:r>
        <w:rPr>
          <w:rFonts w:hAnsi="宋体"/>
          <w:b/>
          <w:sz w:val="24"/>
          <w:szCs w:val="24"/>
        </w:rPr>
        <w:t>（九）投资决策依据和投资流程</w:t>
      </w:r>
    </w:p>
    <w:p w:rsidR="00783788" w:rsidRDefault="002C6E18">
      <w:pPr>
        <w:adjustRightInd w:val="0"/>
        <w:snapToGrid w:val="0"/>
        <w:spacing w:line="360" w:lineRule="auto"/>
        <w:ind w:firstLineChars="200" w:firstLine="480"/>
        <w:rPr>
          <w:sz w:val="24"/>
          <w:szCs w:val="24"/>
        </w:rPr>
      </w:pPr>
      <w:r>
        <w:rPr>
          <w:sz w:val="24"/>
          <w:szCs w:val="24"/>
        </w:rPr>
        <w:t>1</w:t>
      </w:r>
      <w:r>
        <w:rPr>
          <w:rFonts w:hAnsi="宋体"/>
          <w:sz w:val="24"/>
          <w:szCs w:val="24"/>
        </w:rPr>
        <w:t>、投资决策依据</w:t>
      </w:r>
    </w:p>
    <w:p w:rsidR="00783788" w:rsidRDefault="002C6E18">
      <w:pPr>
        <w:adjustRightInd w:val="0"/>
        <w:snapToGrid w:val="0"/>
        <w:spacing w:line="360" w:lineRule="auto"/>
        <w:ind w:firstLineChars="200" w:firstLine="480"/>
        <w:rPr>
          <w:sz w:val="24"/>
          <w:szCs w:val="24"/>
        </w:rPr>
      </w:pPr>
      <w:r>
        <w:rPr>
          <w:rFonts w:hAnsi="宋体"/>
          <w:sz w:val="24"/>
          <w:szCs w:val="24"/>
        </w:rPr>
        <w:t>（</w:t>
      </w:r>
      <w:r>
        <w:rPr>
          <w:sz w:val="24"/>
          <w:szCs w:val="24"/>
        </w:rPr>
        <w:t>1</w:t>
      </w:r>
      <w:r>
        <w:rPr>
          <w:rFonts w:hAnsi="宋体"/>
          <w:sz w:val="24"/>
          <w:szCs w:val="24"/>
        </w:rPr>
        <w:t>）国家有关法律法规和基金合同的有关规定；</w:t>
      </w:r>
    </w:p>
    <w:p w:rsidR="00783788" w:rsidRDefault="002C6E18">
      <w:pPr>
        <w:adjustRightInd w:val="0"/>
        <w:snapToGrid w:val="0"/>
        <w:spacing w:line="360" w:lineRule="auto"/>
        <w:ind w:firstLineChars="200" w:firstLine="480"/>
        <w:rPr>
          <w:sz w:val="24"/>
          <w:szCs w:val="24"/>
        </w:rPr>
      </w:pPr>
      <w:r>
        <w:rPr>
          <w:rFonts w:hAnsi="宋体"/>
          <w:sz w:val="24"/>
          <w:szCs w:val="24"/>
        </w:rPr>
        <w:t>（</w:t>
      </w:r>
      <w:r>
        <w:rPr>
          <w:sz w:val="24"/>
          <w:szCs w:val="24"/>
        </w:rPr>
        <w:t>2</w:t>
      </w:r>
      <w:r>
        <w:rPr>
          <w:rFonts w:hAnsi="宋体"/>
          <w:sz w:val="24"/>
          <w:szCs w:val="24"/>
        </w:rPr>
        <w:t>）公司投资及风险控制政策；</w:t>
      </w:r>
    </w:p>
    <w:p w:rsidR="00783788" w:rsidRDefault="002C6E18">
      <w:pPr>
        <w:adjustRightInd w:val="0"/>
        <w:snapToGrid w:val="0"/>
        <w:spacing w:line="360" w:lineRule="auto"/>
        <w:ind w:firstLineChars="200" w:firstLine="480"/>
        <w:rPr>
          <w:sz w:val="24"/>
          <w:szCs w:val="24"/>
        </w:rPr>
      </w:pPr>
      <w:r>
        <w:rPr>
          <w:rFonts w:hAnsi="宋体"/>
          <w:sz w:val="24"/>
          <w:szCs w:val="24"/>
        </w:rPr>
        <w:t>（</w:t>
      </w:r>
      <w:r>
        <w:rPr>
          <w:sz w:val="24"/>
          <w:szCs w:val="24"/>
        </w:rPr>
        <w:t>3</w:t>
      </w:r>
      <w:r>
        <w:rPr>
          <w:rFonts w:hAnsi="宋体"/>
          <w:sz w:val="24"/>
          <w:szCs w:val="24"/>
        </w:rPr>
        <w:t>）宏观经济发展态势、证券市场运行环境和走势，以及上市公司的基本面；</w:t>
      </w:r>
    </w:p>
    <w:p w:rsidR="00783788" w:rsidRDefault="002C6E18">
      <w:pPr>
        <w:adjustRightInd w:val="0"/>
        <w:snapToGrid w:val="0"/>
        <w:spacing w:line="360" w:lineRule="auto"/>
        <w:ind w:firstLineChars="200" w:firstLine="480"/>
        <w:rPr>
          <w:sz w:val="24"/>
          <w:szCs w:val="24"/>
        </w:rPr>
      </w:pPr>
      <w:r>
        <w:rPr>
          <w:rFonts w:hAnsi="宋体"/>
          <w:sz w:val="24"/>
          <w:szCs w:val="24"/>
        </w:rPr>
        <w:t>（</w:t>
      </w:r>
      <w:r>
        <w:rPr>
          <w:sz w:val="24"/>
          <w:szCs w:val="24"/>
        </w:rPr>
        <w:t>4</w:t>
      </w:r>
      <w:r>
        <w:rPr>
          <w:rFonts w:hAnsi="宋体"/>
          <w:sz w:val="24"/>
          <w:szCs w:val="24"/>
        </w:rPr>
        <w:t>）投资对象的预期收益和预期风险的匹配关系，本基金将在承担适度风险的范围内，选择收益风险配比最佳的品种进行投资。</w:t>
      </w:r>
    </w:p>
    <w:p w:rsidR="00783788" w:rsidRDefault="002C6E18">
      <w:pPr>
        <w:adjustRightInd w:val="0"/>
        <w:snapToGrid w:val="0"/>
        <w:spacing w:line="360" w:lineRule="auto"/>
        <w:ind w:firstLineChars="200" w:firstLine="480"/>
        <w:rPr>
          <w:sz w:val="24"/>
          <w:szCs w:val="24"/>
        </w:rPr>
      </w:pPr>
      <w:r>
        <w:rPr>
          <w:sz w:val="24"/>
          <w:szCs w:val="24"/>
        </w:rPr>
        <w:t>2</w:t>
      </w:r>
      <w:r>
        <w:rPr>
          <w:rFonts w:hAnsi="宋体"/>
          <w:sz w:val="24"/>
          <w:szCs w:val="24"/>
        </w:rPr>
        <w:t>、投资决策机制</w:t>
      </w:r>
    </w:p>
    <w:p w:rsidR="00783788" w:rsidRDefault="002C6E18">
      <w:pPr>
        <w:adjustRightInd w:val="0"/>
        <w:snapToGrid w:val="0"/>
        <w:spacing w:line="360" w:lineRule="auto"/>
        <w:ind w:firstLineChars="200" w:firstLine="480"/>
        <w:rPr>
          <w:sz w:val="24"/>
          <w:szCs w:val="24"/>
        </w:rPr>
      </w:pPr>
      <w:r>
        <w:rPr>
          <w:rFonts w:hAnsi="宋体"/>
          <w:sz w:val="24"/>
          <w:szCs w:val="24"/>
        </w:rPr>
        <w:t>本基金采用投资决策委员会领导下的基金经理负责制。投资决策委员会的主要职责是对基金的资产配置提出指导性意见，审批重大单项投资决定，审视投资组合风险状况等。投资总监是投资决策委员会的执行代表。</w:t>
      </w:r>
    </w:p>
    <w:p w:rsidR="00783788" w:rsidRDefault="002C6E18">
      <w:pPr>
        <w:adjustRightInd w:val="0"/>
        <w:snapToGrid w:val="0"/>
        <w:spacing w:line="360" w:lineRule="auto"/>
        <w:ind w:firstLineChars="200" w:firstLine="480"/>
        <w:rPr>
          <w:sz w:val="24"/>
          <w:szCs w:val="24"/>
        </w:rPr>
      </w:pPr>
      <w:r>
        <w:rPr>
          <w:rFonts w:hAnsi="宋体"/>
          <w:sz w:val="24"/>
          <w:szCs w:val="24"/>
        </w:rPr>
        <w:t>基金经理的主要职责是在投资决策委员会确定的资产配置范围内构建和调整投资组合，并向中央交易室下达投资指令。</w:t>
      </w:r>
    </w:p>
    <w:p w:rsidR="00783788" w:rsidRDefault="002C6E18">
      <w:pPr>
        <w:adjustRightInd w:val="0"/>
        <w:snapToGrid w:val="0"/>
        <w:spacing w:line="360" w:lineRule="auto"/>
        <w:ind w:firstLineChars="200" w:firstLine="480"/>
        <w:rPr>
          <w:sz w:val="24"/>
          <w:szCs w:val="24"/>
        </w:rPr>
      </w:pPr>
      <w:r>
        <w:rPr>
          <w:rFonts w:hAnsi="宋体"/>
          <w:sz w:val="24"/>
          <w:szCs w:val="24"/>
        </w:rPr>
        <w:t>中央交易室负责交易执行和一线监控。通过严格的交易制度和实时的一线监控功能，保证基金经理的投资指令在合法、合规的前提下得到高效的执行。</w:t>
      </w:r>
    </w:p>
    <w:p w:rsidR="00783788" w:rsidRDefault="002C6E18">
      <w:pPr>
        <w:adjustRightInd w:val="0"/>
        <w:snapToGrid w:val="0"/>
        <w:spacing w:line="360" w:lineRule="auto"/>
        <w:ind w:firstLineChars="200" w:firstLine="480"/>
        <w:rPr>
          <w:sz w:val="24"/>
          <w:szCs w:val="24"/>
        </w:rPr>
      </w:pPr>
      <w:r>
        <w:rPr>
          <w:sz w:val="24"/>
          <w:szCs w:val="24"/>
        </w:rPr>
        <w:t>3</w:t>
      </w:r>
      <w:r>
        <w:rPr>
          <w:rFonts w:hAnsi="宋体"/>
          <w:sz w:val="24"/>
          <w:szCs w:val="24"/>
        </w:rPr>
        <w:t>、投资管理流程</w:t>
      </w:r>
    </w:p>
    <w:p w:rsidR="00783788" w:rsidRDefault="002C6E18">
      <w:pPr>
        <w:adjustRightInd w:val="0"/>
        <w:snapToGrid w:val="0"/>
        <w:spacing w:line="360" w:lineRule="auto"/>
        <w:ind w:firstLineChars="200" w:firstLine="480"/>
        <w:rPr>
          <w:sz w:val="24"/>
          <w:szCs w:val="24"/>
        </w:rPr>
      </w:pPr>
      <w:r>
        <w:rPr>
          <w:rFonts w:hAnsi="宋体"/>
          <w:sz w:val="24"/>
          <w:szCs w:val="24"/>
        </w:rPr>
        <w:t>投资决策委员会是本基金的最高决策机构，投资决策委员会定期就投资管理业务的重大问题进行讨论。基金经理、分析师、交易员在投资管理过程中既密切合作，又责任明确，在各自职责内按照业务程序独立工作并合理地相互制衡。具体的投资管理程序如下：</w:t>
      </w:r>
      <w:r>
        <w:rPr>
          <w:sz w:val="24"/>
          <w:szCs w:val="24"/>
        </w:rPr>
        <w:t xml:space="preserve"> </w:t>
      </w:r>
    </w:p>
    <w:p w:rsidR="00783788" w:rsidRDefault="002C6E18">
      <w:pPr>
        <w:adjustRightInd w:val="0"/>
        <w:snapToGrid w:val="0"/>
        <w:spacing w:line="360" w:lineRule="auto"/>
        <w:ind w:firstLineChars="200" w:firstLine="480"/>
        <w:rPr>
          <w:sz w:val="24"/>
          <w:szCs w:val="24"/>
        </w:rPr>
      </w:pPr>
      <w:r>
        <w:rPr>
          <w:rFonts w:hAnsi="宋体"/>
          <w:sz w:val="24"/>
          <w:szCs w:val="24"/>
        </w:rPr>
        <w:t>（</w:t>
      </w:r>
      <w:r>
        <w:rPr>
          <w:sz w:val="24"/>
          <w:szCs w:val="24"/>
        </w:rPr>
        <w:t>1</w:t>
      </w:r>
      <w:r>
        <w:rPr>
          <w:rFonts w:hAnsi="宋体"/>
          <w:sz w:val="24"/>
          <w:szCs w:val="24"/>
        </w:rPr>
        <w:t>）研究部宏观分析师、策略分析师、行业分析师、信用分析师、数量分析师各自独立完成相应的研究报告，为投资决策提供依据；</w:t>
      </w:r>
      <w:r>
        <w:rPr>
          <w:sz w:val="24"/>
          <w:szCs w:val="24"/>
        </w:rPr>
        <w:t xml:space="preserve"> </w:t>
      </w:r>
    </w:p>
    <w:p w:rsidR="00783788" w:rsidRDefault="002C6E18">
      <w:pPr>
        <w:adjustRightInd w:val="0"/>
        <w:snapToGrid w:val="0"/>
        <w:spacing w:line="360" w:lineRule="auto"/>
        <w:ind w:firstLineChars="200" w:firstLine="480"/>
        <w:rPr>
          <w:sz w:val="24"/>
          <w:szCs w:val="24"/>
        </w:rPr>
      </w:pPr>
      <w:r>
        <w:rPr>
          <w:rFonts w:hAnsi="宋体"/>
          <w:sz w:val="24"/>
          <w:szCs w:val="24"/>
        </w:rPr>
        <w:t>（</w:t>
      </w:r>
      <w:r>
        <w:rPr>
          <w:sz w:val="24"/>
          <w:szCs w:val="24"/>
        </w:rPr>
        <w:t>2</w:t>
      </w:r>
      <w:r>
        <w:rPr>
          <w:rFonts w:hAnsi="宋体"/>
          <w:sz w:val="24"/>
          <w:szCs w:val="24"/>
        </w:rPr>
        <w:t>）投资决策委员会每月召开投资决策会议，对资产配置比例提出指导性意见，并讨论股票、债券的投资重点等；</w:t>
      </w:r>
    </w:p>
    <w:p w:rsidR="00783788" w:rsidRDefault="002C6E18">
      <w:pPr>
        <w:adjustRightInd w:val="0"/>
        <w:snapToGrid w:val="0"/>
        <w:spacing w:line="360" w:lineRule="auto"/>
        <w:ind w:firstLineChars="200" w:firstLine="480"/>
        <w:rPr>
          <w:sz w:val="24"/>
          <w:szCs w:val="24"/>
        </w:rPr>
      </w:pPr>
      <w:r>
        <w:rPr>
          <w:rFonts w:hAnsi="宋体"/>
          <w:sz w:val="24"/>
          <w:szCs w:val="24"/>
        </w:rPr>
        <w:t>（</w:t>
      </w:r>
      <w:r>
        <w:rPr>
          <w:sz w:val="24"/>
          <w:szCs w:val="24"/>
        </w:rPr>
        <w:t>3</w:t>
      </w:r>
      <w:r>
        <w:rPr>
          <w:rFonts w:hAnsi="宋体"/>
          <w:sz w:val="24"/>
          <w:szCs w:val="24"/>
        </w:rPr>
        <w:t>）基金经理根据投资决策委员会决议，依据宏观分析师、策略分析师的宏观经济分析和策略建议、行业分析师的行业分析和个股研究、信用分析师的债券市场研究和券种选择、数量分析师的定量投资策略研究，结合本基金产品定位及风险控制的要求，在权限范围内制定具体的投资组合方案；</w:t>
      </w:r>
      <w:r>
        <w:rPr>
          <w:sz w:val="24"/>
          <w:szCs w:val="24"/>
        </w:rPr>
        <w:t xml:space="preserve"> </w:t>
      </w:r>
    </w:p>
    <w:p w:rsidR="00783788" w:rsidRDefault="002C6E18">
      <w:pPr>
        <w:adjustRightInd w:val="0"/>
        <w:snapToGrid w:val="0"/>
        <w:spacing w:line="360" w:lineRule="auto"/>
        <w:ind w:firstLineChars="200" w:firstLine="480"/>
        <w:rPr>
          <w:sz w:val="24"/>
          <w:szCs w:val="24"/>
        </w:rPr>
      </w:pPr>
      <w:r>
        <w:rPr>
          <w:rFonts w:hAnsi="宋体"/>
          <w:sz w:val="24"/>
          <w:szCs w:val="24"/>
        </w:rPr>
        <w:t>（</w:t>
      </w:r>
      <w:r>
        <w:rPr>
          <w:sz w:val="24"/>
          <w:szCs w:val="24"/>
        </w:rPr>
        <w:t>4</w:t>
      </w:r>
      <w:r>
        <w:rPr>
          <w:rFonts w:hAnsi="宋体"/>
          <w:sz w:val="24"/>
          <w:szCs w:val="24"/>
        </w:rPr>
        <w:t>）基金经理根据基金投资组合方案，向中央交易室下达交易指令；</w:t>
      </w:r>
      <w:r>
        <w:rPr>
          <w:sz w:val="24"/>
          <w:szCs w:val="24"/>
        </w:rPr>
        <w:t xml:space="preserve"> </w:t>
      </w:r>
    </w:p>
    <w:p w:rsidR="00783788" w:rsidRDefault="002C6E18">
      <w:pPr>
        <w:adjustRightInd w:val="0"/>
        <w:snapToGrid w:val="0"/>
        <w:spacing w:line="360" w:lineRule="auto"/>
        <w:ind w:firstLineChars="200" w:firstLine="480"/>
        <w:rPr>
          <w:sz w:val="24"/>
          <w:szCs w:val="24"/>
        </w:rPr>
      </w:pPr>
      <w:r>
        <w:rPr>
          <w:rFonts w:hAnsi="宋体"/>
          <w:sz w:val="24"/>
          <w:szCs w:val="24"/>
        </w:rPr>
        <w:t>（</w:t>
      </w:r>
      <w:r>
        <w:rPr>
          <w:sz w:val="24"/>
          <w:szCs w:val="24"/>
        </w:rPr>
        <w:t>5</w:t>
      </w:r>
      <w:r>
        <w:rPr>
          <w:rFonts w:hAnsi="宋体"/>
          <w:sz w:val="24"/>
          <w:szCs w:val="24"/>
        </w:rPr>
        <w:t>）交易指令通过风控系统的自动合规核查后，由中央交易室执行，中央交易室对交易情况及时反馈；</w:t>
      </w:r>
      <w:r>
        <w:rPr>
          <w:sz w:val="24"/>
          <w:szCs w:val="24"/>
        </w:rPr>
        <w:t xml:space="preserve"> </w:t>
      </w:r>
    </w:p>
    <w:p w:rsidR="00783788" w:rsidRDefault="002C6E18">
      <w:pPr>
        <w:adjustRightInd w:val="0"/>
        <w:snapToGrid w:val="0"/>
        <w:spacing w:line="360" w:lineRule="auto"/>
        <w:ind w:firstLineChars="200" w:firstLine="480"/>
        <w:rPr>
          <w:sz w:val="24"/>
          <w:szCs w:val="24"/>
        </w:rPr>
      </w:pPr>
      <w:r>
        <w:rPr>
          <w:rFonts w:hAnsi="宋体"/>
          <w:sz w:val="24"/>
          <w:szCs w:val="24"/>
        </w:rPr>
        <w:t>（</w:t>
      </w:r>
      <w:r>
        <w:rPr>
          <w:sz w:val="24"/>
          <w:szCs w:val="24"/>
        </w:rPr>
        <w:t>6</w:t>
      </w:r>
      <w:r>
        <w:rPr>
          <w:rFonts w:hAnsi="宋体"/>
          <w:sz w:val="24"/>
          <w:szCs w:val="24"/>
        </w:rPr>
        <w:t>）基金经理对每日交易执行情况进行回顾，并审视基金投资组合的变动情况；</w:t>
      </w:r>
    </w:p>
    <w:p w:rsidR="00783788" w:rsidRDefault="002C6E18">
      <w:pPr>
        <w:adjustRightInd w:val="0"/>
        <w:snapToGrid w:val="0"/>
        <w:spacing w:line="360" w:lineRule="auto"/>
        <w:ind w:firstLineChars="200" w:firstLine="480"/>
        <w:rPr>
          <w:sz w:val="24"/>
          <w:szCs w:val="24"/>
        </w:rPr>
      </w:pPr>
      <w:r>
        <w:rPr>
          <w:rFonts w:hAnsi="宋体"/>
          <w:sz w:val="24"/>
          <w:szCs w:val="24"/>
        </w:rPr>
        <w:t>（</w:t>
      </w:r>
      <w:r>
        <w:rPr>
          <w:sz w:val="24"/>
          <w:szCs w:val="24"/>
        </w:rPr>
        <w:t>7</w:t>
      </w:r>
      <w:r>
        <w:rPr>
          <w:rFonts w:hAnsi="宋体"/>
          <w:sz w:val="24"/>
          <w:szCs w:val="24"/>
        </w:rPr>
        <w:t>）风险管理部定期完成有关投资风险监控报告，量化投资部定期完成基金业绩评估报告。</w:t>
      </w:r>
    </w:p>
    <w:p w:rsidR="00783788" w:rsidRDefault="002C6E18">
      <w:pPr>
        <w:adjustRightInd w:val="0"/>
        <w:snapToGrid w:val="0"/>
        <w:spacing w:line="360" w:lineRule="auto"/>
        <w:ind w:firstLineChars="200" w:firstLine="480"/>
        <w:rPr>
          <w:rFonts w:hAnsi="宋体"/>
          <w:sz w:val="24"/>
          <w:szCs w:val="24"/>
        </w:rPr>
      </w:pPr>
      <w:r>
        <w:rPr>
          <w:rFonts w:hAnsi="宋体"/>
          <w:sz w:val="24"/>
          <w:szCs w:val="24"/>
        </w:rPr>
        <w:t>投资决策委员会有权根据市场变化和实际情况的需要，对上述投资管理程序作出调整。</w:t>
      </w:r>
      <w:bookmarkStart w:id="72" w:name="_Toc78208364"/>
    </w:p>
    <w:p w:rsidR="00783788" w:rsidRDefault="002C6E18">
      <w:pPr>
        <w:adjustRightInd w:val="0"/>
        <w:snapToGrid w:val="0"/>
        <w:spacing w:line="360" w:lineRule="auto"/>
        <w:ind w:firstLineChars="200" w:firstLine="482"/>
        <w:rPr>
          <w:b/>
          <w:sz w:val="24"/>
          <w:szCs w:val="24"/>
        </w:rPr>
      </w:pPr>
      <w:r>
        <w:rPr>
          <w:rFonts w:hAnsi="宋体"/>
          <w:b/>
          <w:sz w:val="24"/>
          <w:szCs w:val="24"/>
        </w:rPr>
        <w:t>（</w:t>
      </w:r>
      <w:r>
        <w:rPr>
          <w:rFonts w:hAnsi="宋体" w:hint="eastAsia"/>
          <w:b/>
          <w:sz w:val="24"/>
          <w:szCs w:val="24"/>
        </w:rPr>
        <w:t>十</w:t>
      </w:r>
      <w:r>
        <w:rPr>
          <w:rFonts w:hAnsi="宋体"/>
          <w:b/>
          <w:sz w:val="24"/>
          <w:szCs w:val="24"/>
        </w:rPr>
        <w:t>）</w:t>
      </w:r>
      <w:r>
        <w:rPr>
          <w:rFonts w:hAnsi="宋体" w:hint="eastAsia"/>
          <w:b/>
          <w:sz w:val="24"/>
          <w:szCs w:val="24"/>
        </w:rPr>
        <w:t>基金投资组合报告</w:t>
      </w:r>
    </w:p>
    <w:p w:rsidR="00783788" w:rsidRDefault="002C6E18">
      <w:pPr>
        <w:spacing w:line="360" w:lineRule="auto"/>
        <w:ind w:firstLineChars="200" w:firstLine="480"/>
        <w:rPr>
          <w:rFonts w:ascii="宋体" w:hAnsi="宋体"/>
          <w:sz w:val="24"/>
          <w:szCs w:val="21"/>
        </w:rPr>
      </w:pPr>
      <w:r>
        <w:rPr>
          <w:rFonts w:ascii="宋体" w:hAnsi="宋体" w:hint="eastAsia"/>
          <w:sz w:val="24"/>
          <w:szCs w:val="21"/>
        </w:rPr>
        <w:t>本基金管理人的董事会及董事保证本报告所载资料不存在虚假记载、误导性陈述或重大遗漏,并对其内容的真实性、准确性和完整性承担个别及连带责任。</w:t>
      </w:r>
    </w:p>
    <w:p w:rsidR="00783788" w:rsidRDefault="002C6E18">
      <w:pPr>
        <w:spacing w:line="360" w:lineRule="auto"/>
        <w:ind w:firstLineChars="200" w:firstLine="480"/>
        <w:rPr>
          <w:sz w:val="24"/>
        </w:rPr>
      </w:pPr>
      <w:r>
        <w:rPr>
          <w:sz w:val="24"/>
        </w:rPr>
        <w:t>本基金托管人中国</w:t>
      </w:r>
      <w:r>
        <w:rPr>
          <w:rFonts w:hint="eastAsia"/>
          <w:sz w:val="24"/>
        </w:rPr>
        <w:t>农业</w:t>
      </w:r>
      <w:r>
        <w:rPr>
          <w:sz w:val="24"/>
        </w:rPr>
        <w:t>银行根据本基金合同规定，于</w:t>
      </w:r>
      <w:r>
        <w:rPr>
          <w:sz w:val="24"/>
        </w:rPr>
        <w:t>2015</w:t>
      </w:r>
      <w:r>
        <w:rPr>
          <w:rFonts w:hint="eastAsia"/>
          <w:sz w:val="24"/>
        </w:rPr>
        <w:t>年</w:t>
      </w:r>
      <w:r>
        <w:rPr>
          <w:sz w:val="24"/>
        </w:rPr>
        <w:t>1</w:t>
      </w:r>
      <w:r>
        <w:rPr>
          <w:rFonts w:hint="eastAsia"/>
          <w:sz w:val="24"/>
        </w:rPr>
        <w:t>月</w:t>
      </w:r>
      <w:r>
        <w:rPr>
          <w:sz w:val="24"/>
        </w:rPr>
        <w:t>21</w:t>
      </w:r>
      <w:r>
        <w:rPr>
          <w:sz w:val="24"/>
        </w:rPr>
        <w:t>日复核了本报告中的财务指标、净值表现和投资组合报告等内容</w:t>
      </w:r>
      <w:r>
        <w:rPr>
          <w:sz w:val="24"/>
        </w:rPr>
        <w:t>,</w:t>
      </w:r>
      <w:r>
        <w:rPr>
          <w:sz w:val="24"/>
        </w:rPr>
        <w:t>保证复核内容不存在虚假记载、误导性陈述或者重大遗漏。</w:t>
      </w:r>
    </w:p>
    <w:p w:rsidR="00783788" w:rsidRDefault="002C6E18">
      <w:pPr>
        <w:spacing w:line="360" w:lineRule="auto"/>
        <w:ind w:firstLineChars="200" w:firstLine="480"/>
        <w:rPr>
          <w:sz w:val="24"/>
        </w:rPr>
      </w:pPr>
      <w:r>
        <w:rPr>
          <w:sz w:val="24"/>
        </w:rPr>
        <w:t>本报告期为</w:t>
      </w:r>
      <w:r>
        <w:rPr>
          <w:sz w:val="24"/>
        </w:rPr>
        <w:t>201</w:t>
      </w:r>
      <w:r>
        <w:rPr>
          <w:rFonts w:hint="eastAsia"/>
          <w:sz w:val="24"/>
        </w:rPr>
        <w:t>4</w:t>
      </w:r>
      <w:r>
        <w:rPr>
          <w:sz w:val="24"/>
        </w:rPr>
        <w:t>年</w:t>
      </w:r>
      <w:r>
        <w:rPr>
          <w:sz w:val="24"/>
        </w:rPr>
        <w:t>10</w:t>
      </w:r>
      <w:r>
        <w:rPr>
          <w:sz w:val="24"/>
        </w:rPr>
        <w:t>月</w:t>
      </w:r>
      <w:r>
        <w:rPr>
          <w:sz w:val="24"/>
        </w:rPr>
        <w:t>1</w:t>
      </w:r>
      <w:r>
        <w:rPr>
          <w:sz w:val="24"/>
        </w:rPr>
        <w:t>日至</w:t>
      </w:r>
      <w:r>
        <w:rPr>
          <w:sz w:val="24"/>
        </w:rPr>
        <w:t>201</w:t>
      </w:r>
      <w:r>
        <w:rPr>
          <w:rFonts w:hint="eastAsia"/>
          <w:sz w:val="24"/>
        </w:rPr>
        <w:t>4</w:t>
      </w:r>
      <w:r>
        <w:rPr>
          <w:sz w:val="24"/>
        </w:rPr>
        <w:t>年</w:t>
      </w:r>
      <w:r>
        <w:rPr>
          <w:sz w:val="24"/>
        </w:rPr>
        <w:t>12</w:t>
      </w:r>
      <w:r>
        <w:rPr>
          <w:sz w:val="24"/>
        </w:rPr>
        <w:t>月</w:t>
      </w:r>
      <w:r>
        <w:rPr>
          <w:sz w:val="24"/>
        </w:rPr>
        <w:t>31</w:t>
      </w:r>
      <w:r>
        <w:rPr>
          <w:sz w:val="24"/>
        </w:rPr>
        <w:t>日。本报告财务资料未经审计师审计。</w:t>
      </w:r>
    </w:p>
    <w:p w:rsidR="00783788" w:rsidRDefault="002C6E18">
      <w:pPr>
        <w:spacing w:line="360" w:lineRule="auto"/>
        <w:ind w:firstLineChars="200" w:firstLine="480"/>
        <w:rPr>
          <w:sz w:val="24"/>
        </w:rPr>
      </w:pPr>
      <w:r>
        <w:rPr>
          <w:sz w:val="24"/>
        </w:rPr>
        <w:t xml:space="preserve">1 </w:t>
      </w:r>
      <w:r>
        <w:rPr>
          <w:sz w:val="24"/>
        </w:rPr>
        <w:t>、报告期末基金资产组合情况</w:t>
      </w:r>
    </w:p>
    <w:tbl>
      <w:tblPr>
        <w:tblW w:w="8748" w:type="dxa"/>
        <w:tblInd w:w="108" w:type="dxa"/>
        <w:tblLayout w:type="fixed"/>
        <w:tblLook w:val="04A0" w:firstRow="1" w:lastRow="0" w:firstColumn="1" w:lastColumn="0" w:noHBand="0" w:noVBand="1"/>
      </w:tblPr>
      <w:tblGrid>
        <w:gridCol w:w="906"/>
        <w:gridCol w:w="3401"/>
        <w:gridCol w:w="2477"/>
        <w:gridCol w:w="1964"/>
      </w:tblGrid>
      <w:tr w:rsidR="00783788">
        <w:tc>
          <w:tcPr>
            <w:tcW w:w="906" w:type="dxa"/>
            <w:tcBorders>
              <w:top w:val="single" w:sz="8" w:space="0" w:color="000000"/>
              <w:left w:val="single" w:sz="8" w:space="0" w:color="000000"/>
              <w:bottom w:val="single" w:sz="8" w:space="0" w:color="000000"/>
              <w:right w:val="single" w:sz="8" w:space="0" w:color="000000"/>
            </w:tcBorders>
          </w:tcPr>
          <w:p w:rsidR="00783788" w:rsidRDefault="002C6E18">
            <w:pPr>
              <w:spacing w:before="29" w:line="288" w:lineRule="auto"/>
              <w:ind w:left="17"/>
              <w:jc w:val="center"/>
              <w:rPr>
                <w:color w:val="000000"/>
                <w:sz w:val="24"/>
                <w:szCs w:val="24"/>
              </w:rPr>
            </w:pPr>
            <w:r>
              <w:rPr>
                <w:color w:val="000000"/>
                <w:sz w:val="24"/>
                <w:szCs w:val="24"/>
              </w:rPr>
              <w:t>序号</w:t>
            </w:r>
          </w:p>
        </w:tc>
        <w:tc>
          <w:tcPr>
            <w:tcW w:w="3401" w:type="dxa"/>
            <w:tcBorders>
              <w:top w:val="single" w:sz="8" w:space="0" w:color="000000"/>
              <w:left w:val="single" w:sz="8" w:space="0" w:color="000000"/>
              <w:bottom w:val="single" w:sz="8" w:space="0" w:color="000000"/>
              <w:right w:val="single" w:sz="8" w:space="0" w:color="000000"/>
            </w:tcBorders>
          </w:tcPr>
          <w:p w:rsidR="00783788" w:rsidRDefault="002C6E18">
            <w:pPr>
              <w:spacing w:before="29" w:line="288" w:lineRule="auto"/>
              <w:ind w:left="17"/>
              <w:jc w:val="center"/>
              <w:rPr>
                <w:color w:val="000000"/>
                <w:sz w:val="24"/>
                <w:szCs w:val="24"/>
              </w:rPr>
            </w:pPr>
            <w:r>
              <w:rPr>
                <w:color w:val="000000"/>
                <w:sz w:val="24"/>
                <w:szCs w:val="24"/>
              </w:rPr>
              <w:t>项目</w:t>
            </w:r>
          </w:p>
        </w:tc>
        <w:tc>
          <w:tcPr>
            <w:tcW w:w="2477" w:type="dxa"/>
            <w:tcBorders>
              <w:top w:val="single" w:sz="8" w:space="0" w:color="000000"/>
              <w:left w:val="single" w:sz="8" w:space="0" w:color="000000"/>
              <w:bottom w:val="single" w:sz="8" w:space="0" w:color="000000"/>
              <w:right w:val="single" w:sz="8" w:space="0" w:color="000000"/>
            </w:tcBorders>
          </w:tcPr>
          <w:p w:rsidR="00783788" w:rsidRDefault="002C6E18">
            <w:pPr>
              <w:spacing w:before="29" w:line="288" w:lineRule="auto"/>
              <w:ind w:left="17"/>
              <w:jc w:val="center"/>
              <w:rPr>
                <w:color w:val="000000"/>
                <w:sz w:val="24"/>
                <w:szCs w:val="24"/>
              </w:rPr>
            </w:pPr>
            <w:r>
              <w:rPr>
                <w:color w:val="000000"/>
                <w:sz w:val="24"/>
                <w:szCs w:val="24"/>
              </w:rPr>
              <w:t>金额（元）</w:t>
            </w:r>
          </w:p>
        </w:tc>
        <w:tc>
          <w:tcPr>
            <w:tcW w:w="1964" w:type="dxa"/>
            <w:tcBorders>
              <w:top w:val="single" w:sz="8" w:space="0" w:color="000000"/>
              <w:left w:val="single" w:sz="8" w:space="0" w:color="000000"/>
              <w:bottom w:val="single" w:sz="8" w:space="0" w:color="000000"/>
              <w:right w:val="single" w:sz="8" w:space="0" w:color="000000"/>
            </w:tcBorders>
          </w:tcPr>
          <w:p w:rsidR="00783788" w:rsidRDefault="002C6E18">
            <w:pPr>
              <w:spacing w:before="29" w:line="288" w:lineRule="auto"/>
              <w:ind w:left="17"/>
              <w:jc w:val="center"/>
              <w:rPr>
                <w:color w:val="000000"/>
                <w:sz w:val="24"/>
                <w:szCs w:val="24"/>
              </w:rPr>
            </w:pPr>
            <w:r>
              <w:rPr>
                <w:color w:val="000000"/>
                <w:sz w:val="24"/>
                <w:szCs w:val="24"/>
              </w:rPr>
              <w:t>占基金总资产的比例（％）</w:t>
            </w:r>
          </w:p>
        </w:tc>
      </w:tr>
      <w:tr w:rsidR="00783788">
        <w:tc>
          <w:tcPr>
            <w:tcW w:w="906" w:type="dxa"/>
            <w:tcBorders>
              <w:top w:val="single" w:sz="8" w:space="0" w:color="000000"/>
              <w:left w:val="single" w:sz="8" w:space="0" w:color="000000"/>
              <w:bottom w:val="single" w:sz="8" w:space="0" w:color="000000"/>
              <w:right w:val="single" w:sz="8" w:space="0" w:color="000000"/>
            </w:tcBorders>
          </w:tcPr>
          <w:p w:rsidR="00783788" w:rsidRDefault="002C6E18">
            <w:pPr>
              <w:spacing w:before="29" w:line="288" w:lineRule="auto"/>
              <w:ind w:left="17"/>
              <w:jc w:val="center"/>
              <w:rPr>
                <w:color w:val="000000"/>
                <w:sz w:val="24"/>
                <w:szCs w:val="24"/>
              </w:rPr>
            </w:pPr>
            <w:r>
              <w:rPr>
                <w:color w:val="000000"/>
                <w:sz w:val="24"/>
                <w:szCs w:val="24"/>
              </w:rPr>
              <w:t>1</w:t>
            </w:r>
          </w:p>
        </w:tc>
        <w:tc>
          <w:tcPr>
            <w:tcW w:w="3401" w:type="dxa"/>
            <w:tcBorders>
              <w:top w:val="single" w:sz="8" w:space="0" w:color="000000"/>
              <w:left w:val="single" w:sz="8" w:space="0" w:color="000000"/>
              <w:bottom w:val="single" w:sz="8" w:space="0" w:color="000000"/>
              <w:right w:val="single" w:sz="8" w:space="0" w:color="000000"/>
            </w:tcBorders>
          </w:tcPr>
          <w:p w:rsidR="00783788" w:rsidRDefault="002C6E18" w:rsidP="00D34C1B">
            <w:pPr>
              <w:spacing w:before="29" w:line="288" w:lineRule="auto"/>
              <w:ind w:left="17"/>
              <w:jc w:val="left"/>
              <w:rPr>
                <w:color w:val="000000"/>
                <w:sz w:val="24"/>
                <w:szCs w:val="24"/>
              </w:rPr>
            </w:pPr>
            <w:r>
              <w:rPr>
                <w:color w:val="000000"/>
                <w:sz w:val="24"/>
                <w:szCs w:val="24"/>
              </w:rPr>
              <w:t>权益投资</w:t>
            </w:r>
          </w:p>
        </w:tc>
        <w:tc>
          <w:tcPr>
            <w:tcW w:w="2477" w:type="dxa"/>
            <w:tcBorders>
              <w:top w:val="single" w:sz="8" w:space="0" w:color="000000"/>
              <w:left w:val="single" w:sz="8" w:space="0" w:color="000000"/>
              <w:bottom w:val="single" w:sz="8" w:space="0" w:color="000000"/>
              <w:right w:val="single" w:sz="8" w:space="0" w:color="000000"/>
            </w:tcBorders>
          </w:tcPr>
          <w:p w:rsidR="00783788" w:rsidRDefault="002C6E18">
            <w:pPr>
              <w:spacing w:before="29" w:line="288" w:lineRule="auto"/>
              <w:ind w:left="17"/>
              <w:jc w:val="right"/>
              <w:rPr>
                <w:color w:val="000000"/>
                <w:sz w:val="24"/>
                <w:szCs w:val="24"/>
              </w:rPr>
            </w:pPr>
            <w:r>
              <w:rPr>
                <w:color w:val="000000"/>
                <w:sz w:val="24"/>
                <w:szCs w:val="24"/>
              </w:rPr>
              <w:t>152,435,215.16</w:t>
            </w:r>
          </w:p>
        </w:tc>
        <w:tc>
          <w:tcPr>
            <w:tcW w:w="1964" w:type="dxa"/>
            <w:tcBorders>
              <w:top w:val="single" w:sz="8" w:space="0" w:color="000000"/>
              <w:left w:val="single" w:sz="8" w:space="0" w:color="000000"/>
              <w:bottom w:val="single" w:sz="8" w:space="0" w:color="000000"/>
              <w:right w:val="single" w:sz="8" w:space="0" w:color="000000"/>
            </w:tcBorders>
          </w:tcPr>
          <w:p w:rsidR="00783788" w:rsidRDefault="002C6E18">
            <w:pPr>
              <w:spacing w:before="29" w:line="288" w:lineRule="auto"/>
              <w:ind w:left="17"/>
              <w:jc w:val="right"/>
              <w:rPr>
                <w:color w:val="000000"/>
                <w:sz w:val="24"/>
                <w:szCs w:val="24"/>
              </w:rPr>
            </w:pPr>
            <w:r>
              <w:rPr>
                <w:color w:val="000000"/>
                <w:sz w:val="24"/>
                <w:szCs w:val="24"/>
              </w:rPr>
              <w:t>65.64</w:t>
            </w:r>
          </w:p>
        </w:tc>
      </w:tr>
      <w:tr w:rsidR="00783788">
        <w:tc>
          <w:tcPr>
            <w:tcW w:w="906" w:type="dxa"/>
            <w:tcBorders>
              <w:top w:val="single" w:sz="8" w:space="0" w:color="000000"/>
              <w:left w:val="single" w:sz="8" w:space="0" w:color="000000"/>
              <w:bottom w:val="single" w:sz="8" w:space="0" w:color="000000"/>
              <w:right w:val="single" w:sz="8" w:space="0" w:color="000000"/>
            </w:tcBorders>
          </w:tcPr>
          <w:p w:rsidR="00783788" w:rsidRDefault="00783788">
            <w:pPr>
              <w:spacing w:before="29" w:line="288" w:lineRule="auto"/>
              <w:ind w:left="17"/>
              <w:jc w:val="center"/>
              <w:rPr>
                <w:color w:val="000000"/>
                <w:sz w:val="24"/>
                <w:szCs w:val="24"/>
              </w:rPr>
            </w:pPr>
          </w:p>
        </w:tc>
        <w:tc>
          <w:tcPr>
            <w:tcW w:w="3401" w:type="dxa"/>
            <w:tcBorders>
              <w:top w:val="single" w:sz="8" w:space="0" w:color="000000"/>
              <w:left w:val="single" w:sz="8" w:space="0" w:color="000000"/>
              <w:bottom w:val="single" w:sz="8" w:space="0" w:color="000000"/>
              <w:right w:val="single" w:sz="8" w:space="0" w:color="000000"/>
            </w:tcBorders>
          </w:tcPr>
          <w:p w:rsidR="00783788" w:rsidRDefault="002C6E18" w:rsidP="00D34C1B">
            <w:pPr>
              <w:spacing w:before="29" w:line="288" w:lineRule="auto"/>
              <w:ind w:left="17"/>
              <w:jc w:val="left"/>
              <w:rPr>
                <w:color w:val="000000"/>
                <w:sz w:val="24"/>
                <w:szCs w:val="24"/>
              </w:rPr>
            </w:pPr>
            <w:r>
              <w:rPr>
                <w:color w:val="000000"/>
                <w:sz w:val="24"/>
                <w:szCs w:val="24"/>
              </w:rPr>
              <w:t>其中：股票</w:t>
            </w:r>
          </w:p>
        </w:tc>
        <w:tc>
          <w:tcPr>
            <w:tcW w:w="2477" w:type="dxa"/>
            <w:tcBorders>
              <w:top w:val="single" w:sz="8" w:space="0" w:color="000000"/>
              <w:left w:val="single" w:sz="8" w:space="0" w:color="000000"/>
              <w:bottom w:val="single" w:sz="8" w:space="0" w:color="000000"/>
              <w:right w:val="single" w:sz="8" w:space="0" w:color="000000"/>
            </w:tcBorders>
          </w:tcPr>
          <w:p w:rsidR="00783788" w:rsidRDefault="002C6E18">
            <w:pPr>
              <w:spacing w:before="29" w:line="288" w:lineRule="auto"/>
              <w:ind w:left="17"/>
              <w:jc w:val="right"/>
              <w:rPr>
                <w:color w:val="000000"/>
                <w:sz w:val="24"/>
                <w:szCs w:val="24"/>
              </w:rPr>
            </w:pPr>
            <w:r>
              <w:rPr>
                <w:color w:val="000000"/>
                <w:sz w:val="24"/>
                <w:szCs w:val="24"/>
              </w:rPr>
              <w:t>152,435,215.16</w:t>
            </w:r>
          </w:p>
        </w:tc>
        <w:tc>
          <w:tcPr>
            <w:tcW w:w="1964" w:type="dxa"/>
            <w:tcBorders>
              <w:top w:val="single" w:sz="8" w:space="0" w:color="000000"/>
              <w:left w:val="single" w:sz="8" w:space="0" w:color="000000"/>
              <w:bottom w:val="single" w:sz="8" w:space="0" w:color="000000"/>
              <w:right w:val="single" w:sz="8" w:space="0" w:color="000000"/>
            </w:tcBorders>
          </w:tcPr>
          <w:p w:rsidR="00783788" w:rsidRDefault="002C6E18">
            <w:pPr>
              <w:spacing w:before="29" w:line="288" w:lineRule="auto"/>
              <w:ind w:left="17"/>
              <w:jc w:val="right"/>
              <w:rPr>
                <w:color w:val="000000"/>
                <w:sz w:val="24"/>
                <w:szCs w:val="24"/>
              </w:rPr>
            </w:pPr>
            <w:r>
              <w:rPr>
                <w:color w:val="000000"/>
                <w:sz w:val="24"/>
                <w:szCs w:val="24"/>
              </w:rPr>
              <w:t>65.64</w:t>
            </w:r>
          </w:p>
        </w:tc>
      </w:tr>
      <w:tr w:rsidR="00783788">
        <w:tc>
          <w:tcPr>
            <w:tcW w:w="906" w:type="dxa"/>
            <w:tcBorders>
              <w:top w:val="single" w:sz="8" w:space="0" w:color="000000"/>
              <w:left w:val="single" w:sz="8" w:space="0" w:color="000000"/>
              <w:bottom w:val="single" w:sz="8" w:space="0" w:color="000000"/>
              <w:right w:val="single" w:sz="8" w:space="0" w:color="000000"/>
            </w:tcBorders>
          </w:tcPr>
          <w:p w:rsidR="00783788" w:rsidRDefault="002C6E18">
            <w:pPr>
              <w:spacing w:before="29" w:line="288" w:lineRule="auto"/>
              <w:ind w:left="17"/>
              <w:jc w:val="center"/>
              <w:rPr>
                <w:color w:val="000000"/>
                <w:sz w:val="24"/>
                <w:szCs w:val="24"/>
              </w:rPr>
            </w:pPr>
            <w:r>
              <w:rPr>
                <w:color w:val="000000"/>
                <w:sz w:val="24"/>
                <w:szCs w:val="24"/>
              </w:rPr>
              <w:t>2</w:t>
            </w:r>
          </w:p>
        </w:tc>
        <w:tc>
          <w:tcPr>
            <w:tcW w:w="3401" w:type="dxa"/>
            <w:tcBorders>
              <w:top w:val="single" w:sz="8" w:space="0" w:color="000000"/>
              <w:left w:val="single" w:sz="8" w:space="0" w:color="000000"/>
              <w:bottom w:val="single" w:sz="8" w:space="0" w:color="000000"/>
              <w:right w:val="single" w:sz="8" w:space="0" w:color="000000"/>
            </w:tcBorders>
          </w:tcPr>
          <w:p w:rsidR="00783788" w:rsidRDefault="002C6E18" w:rsidP="00D34C1B">
            <w:pPr>
              <w:spacing w:before="29" w:line="288" w:lineRule="auto"/>
              <w:ind w:left="17"/>
              <w:jc w:val="left"/>
              <w:rPr>
                <w:color w:val="000000"/>
                <w:sz w:val="24"/>
                <w:szCs w:val="24"/>
              </w:rPr>
            </w:pPr>
            <w:r>
              <w:rPr>
                <w:color w:val="000000"/>
                <w:sz w:val="24"/>
                <w:szCs w:val="24"/>
              </w:rPr>
              <w:t>固定收益投资</w:t>
            </w:r>
          </w:p>
        </w:tc>
        <w:tc>
          <w:tcPr>
            <w:tcW w:w="2477" w:type="dxa"/>
            <w:tcBorders>
              <w:top w:val="single" w:sz="8" w:space="0" w:color="000000"/>
              <w:left w:val="single" w:sz="8" w:space="0" w:color="000000"/>
              <w:bottom w:val="single" w:sz="8" w:space="0" w:color="000000"/>
              <w:right w:val="single" w:sz="8" w:space="0" w:color="000000"/>
            </w:tcBorders>
          </w:tcPr>
          <w:p w:rsidR="00783788" w:rsidRDefault="002C6E18">
            <w:pPr>
              <w:spacing w:before="29" w:line="288" w:lineRule="auto"/>
              <w:ind w:left="17"/>
              <w:jc w:val="right"/>
              <w:rPr>
                <w:color w:val="000000"/>
                <w:sz w:val="24"/>
                <w:szCs w:val="24"/>
              </w:rPr>
            </w:pPr>
            <w:r>
              <w:rPr>
                <w:color w:val="000000"/>
                <w:sz w:val="24"/>
                <w:szCs w:val="24"/>
              </w:rPr>
              <w:t>64,595,062.00</w:t>
            </w:r>
          </w:p>
        </w:tc>
        <w:tc>
          <w:tcPr>
            <w:tcW w:w="1964" w:type="dxa"/>
            <w:tcBorders>
              <w:top w:val="single" w:sz="8" w:space="0" w:color="000000"/>
              <w:left w:val="single" w:sz="8" w:space="0" w:color="000000"/>
              <w:bottom w:val="single" w:sz="8" w:space="0" w:color="000000"/>
              <w:right w:val="single" w:sz="8" w:space="0" w:color="000000"/>
            </w:tcBorders>
          </w:tcPr>
          <w:p w:rsidR="00783788" w:rsidRDefault="002C6E18">
            <w:pPr>
              <w:spacing w:before="29" w:line="288" w:lineRule="auto"/>
              <w:ind w:left="17"/>
              <w:jc w:val="right"/>
              <w:rPr>
                <w:color w:val="000000"/>
                <w:sz w:val="24"/>
                <w:szCs w:val="24"/>
              </w:rPr>
            </w:pPr>
            <w:r>
              <w:rPr>
                <w:color w:val="000000"/>
                <w:sz w:val="24"/>
                <w:szCs w:val="24"/>
              </w:rPr>
              <w:t>27.82</w:t>
            </w:r>
          </w:p>
        </w:tc>
      </w:tr>
      <w:tr w:rsidR="00783788">
        <w:tc>
          <w:tcPr>
            <w:tcW w:w="906" w:type="dxa"/>
            <w:tcBorders>
              <w:top w:val="single" w:sz="8" w:space="0" w:color="000000"/>
              <w:left w:val="single" w:sz="8" w:space="0" w:color="000000"/>
              <w:bottom w:val="single" w:sz="8" w:space="0" w:color="000000"/>
              <w:right w:val="single" w:sz="8" w:space="0" w:color="000000"/>
            </w:tcBorders>
          </w:tcPr>
          <w:p w:rsidR="00783788" w:rsidRDefault="00783788">
            <w:pPr>
              <w:spacing w:before="29" w:line="288" w:lineRule="auto"/>
              <w:ind w:left="17"/>
              <w:jc w:val="center"/>
              <w:rPr>
                <w:color w:val="000000"/>
                <w:sz w:val="24"/>
                <w:szCs w:val="24"/>
              </w:rPr>
            </w:pPr>
          </w:p>
        </w:tc>
        <w:tc>
          <w:tcPr>
            <w:tcW w:w="3401" w:type="dxa"/>
            <w:tcBorders>
              <w:top w:val="single" w:sz="8" w:space="0" w:color="000000"/>
              <w:left w:val="single" w:sz="8" w:space="0" w:color="000000"/>
              <w:bottom w:val="single" w:sz="8" w:space="0" w:color="000000"/>
              <w:right w:val="single" w:sz="8" w:space="0" w:color="000000"/>
            </w:tcBorders>
          </w:tcPr>
          <w:p w:rsidR="00783788" w:rsidRDefault="002C6E18" w:rsidP="00D34C1B">
            <w:pPr>
              <w:spacing w:before="29" w:line="288" w:lineRule="auto"/>
              <w:ind w:left="17"/>
              <w:jc w:val="left"/>
              <w:rPr>
                <w:color w:val="000000"/>
                <w:sz w:val="24"/>
                <w:szCs w:val="24"/>
              </w:rPr>
            </w:pPr>
            <w:r>
              <w:rPr>
                <w:color w:val="000000"/>
                <w:sz w:val="24"/>
                <w:szCs w:val="24"/>
              </w:rPr>
              <w:t>其中：债券</w:t>
            </w:r>
          </w:p>
        </w:tc>
        <w:tc>
          <w:tcPr>
            <w:tcW w:w="2477" w:type="dxa"/>
            <w:tcBorders>
              <w:top w:val="single" w:sz="8" w:space="0" w:color="000000"/>
              <w:left w:val="single" w:sz="8" w:space="0" w:color="000000"/>
              <w:bottom w:val="single" w:sz="8" w:space="0" w:color="000000"/>
              <w:right w:val="single" w:sz="8" w:space="0" w:color="000000"/>
            </w:tcBorders>
          </w:tcPr>
          <w:p w:rsidR="00783788" w:rsidRDefault="002C6E18">
            <w:pPr>
              <w:spacing w:before="29" w:line="288" w:lineRule="auto"/>
              <w:ind w:left="17"/>
              <w:jc w:val="right"/>
              <w:rPr>
                <w:color w:val="000000"/>
                <w:sz w:val="24"/>
                <w:szCs w:val="24"/>
              </w:rPr>
            </w:pPr>
            <w:r>
              <w:rPr>
                <w:color w:val="000000"/>
                <w:sz w:val="24"/>
                <w:szCs w:val="24"/>
              </w:rPr>
              <w:t>64,595,062.00</w:t>
            </w:r>
          </w:p>
        </w:tc>
        <w:tc>
          <w:tcPr>
            <w:tcW w:w="1964" w:type="dxa"/>
            <w:tcBorders>
              <w:top w:val="single" w:sz="8" w:space="0" w:color="000000"/>
              <w:left w:val="single" w:sz="8" w:space="0" w:color="000000"/>
              <w:bottom w:val="single" w:sz="8" w:space="0" w:color="000000"/>
              <w:right w:val="single" w:sz="8" w:space="0" w:color="000000"/>
            </w:tcBorders>
          </w:tcPr>
          <w:p w:rsidR="00783788" w:rsidRDefault="002C6E18">
            <w:pPr>
              <w:spacing w:before="29" w:line="288" w:lineRule="auto"/>
              <w:ind w:left="17"/>
              <w:jc w:val="right"/>
              <w:rPr>
                <w:color w:val="000000"/>
                <w:sz w:val="24"/>
                <w:szCs w:val="24"/>
              </w:rPr>
            </w:pPr>
            <w:r>
              <w:rPr>
                <w:color w:val="000000"/>
                <w:sz w:val="24"/>
                <w:szCs w:val="24"/>
              </w:rPr>
              <w:t>27.82</w:t>
            </w:r>
          </w:p>
        </w:tc>
      </w:tr>
      <w:tr w:rsidR="00783788">
        <w:tc>
          <w:tcPr>
            <w:tcW w:w="906" w:type="dxa"/>
            <w:tcBorders>
              <w:top w:val="single" w:sz="8" w:space="0" w:color="000000"/>
              <w:left w:val="single" w:sz="8" w:space="0" w:color="000000"/>
              <w:bottom w:val="single" w:sz="8" w:space="0" w:color="000000"/>
              <w:right w:val="single" w:sz="8" w:space="0" w:color="000000"/>
            </w:tcBorders>
          </w:tcPr>
          <w:p w:rsidR="00783788" w:rsidRDefault="00783788">
            <w:pPr>
              <w:spacing w:before="29" w:line="288" w:lineRule="auto"/>
              <w:ind w:left="17"/>
              <w:jc w:val="center"/>
              <w:rPr>
                <w:color w:val="000000"/>
                <w:sz w:val="24"/>
                <w:szCs w:val="24"/>
              </w:rPr>
            </w:pPr>
          </w:p>
        </w:tc>
        <w:tc>
          <w:tcPr>
            <w:tcW w:w="3401" w:type="dxa"/>
            <w:tcBorders>
              <w:top w:val="single" w:sz="8" w:space="0" w:color="000000"/>
              <w:left w:val="single" w:sz="8" w:space="0" w:color="000000"/>
              <w:bottom w:val="single" w:sz="8" w:space="0" w:color="000000"/>
              <w:right w:val="single" w:sz="8" w:space="0" w:color="000000"/>
            </w:tcBorders>
          </w:tcPr>
          <w:p w:rsidR="00783788" w:rsidRDefault="002C6E18" w:rsidP="00D34C1B">
            <w:pPr>
              <w:spacing w:before="29" w:line="288" w:lineRule="auto"/>
              <w:ind w:left="17" w:firstLineChars="300" w:firstLine="720"/>
              <w:jc w:val="left"/>
              <w:rPr>
                <w:color w:val="000000"/>
                <w:sz w:val="24"/>
                <w:szCs w:val="24"/>
              </w:rPr>
            </w:pPr>
            <w:r>
              <w:rPr>
                <w:color w:val="000000"/>
                <w:sz w:val="24"/>
                <w:szCs w:val="24"/>
              </w:rPr>
              <w:t>资产支持证券</w:t>
            </w:r>
          </w:p>
        </w:tc>
        <w:tc>
          <w:tcPr>
            <w:tcW w:w="2477" w:type="dxa"/>
            <w:tcBorders>
              <w:top w:val="single" w:sz="8" w:space="0" w:color="000000"/>
              <w:left w:val="single" w:sz="8" w:space="0" w:color="000000"/>
              <w:bottom w:val="single" w:sz="8" w:space="0" w:color="000000"/>
              <w:right w:val="single" w:sz="8" w:space="0" w:color="000000"/>
            </w:tcBorders>
          </w:tcPr>
          <w:p w:rsidR="00783788" w:rsidRDefault="002C6E18">
            <w:pPr>
              <w:spacing w:before="29" w:line="288" w:lineRule="auto"/>
              <w:ind w:left="17"/>
              <w:jc w:val="right"/>
              <w:rPr>
                <w:color w:val="000000"/>
                <w:sz w:val="24"/>
                <w:szCs w:val="24"/>
              </w:rPr>
            </w:pPr>
            <w:r>
              <w:rPr>
                <w:color w:val="000000"/>
                <w:sz w:val="24"/>
                <w:szCs w:val="24"/>
              </w:rPr>
              <w:t>-</w:t>
            </w:r>
          </w:p>
        </w:tc>
        <w:tc>
          <w:tcPr>
            <w:tcW w:w="1964" w:type="dxa"/>
            <w:tcBorders>
              <w:top w:val="single" w:sz="8" w:space="0" w:color="000000"/>
              <w:left w:val="single" w:sz="8" w:space="0" w:color="000000"/>
              <w:bottom w:val="single" w:sz="8" w:space="0" w:color="000000"/>
              <w:right w:val="single" w:sz="8" w:space="0" w:color="000000"/>
            </w:tcBorders>
          </w:tcPr>
          <w:p w:rsidR="00783788" w:rsidRDefault="002C6E18">
            <w:pPr>
              <w:spacing w:before="29" w:line="288" w:lineRule="auto"/>
              <w:ind w:left="17"/>
              <w:jc w:val="right"/>
              <w:rPr>
                <w:color w:val="000000"/>
                <w:sz w:val="24"/>
                <w:szCs w:val="24"/>
              </w:rPr>
            </w:pPr>
            <w:r>
              <w:rPr>
                <w:color w:val="000000"/>
                <w:sz w:val="24"/>
                <w:szCs w:val="24"/>
              </w:rPr>
              <w:t>-</w:t>
            </w:r>
          </w:p>
        </w:tc>
      </w:tr>
      <w:tr w:rsidR="00783788">
        <w:tc>
          <w:tcPr>
            <w:tcW w:w="906" w:type="dxa"/>
            <w:tcBorders>
              <w:top w:val="single" w:sz="8" w:space="0" w:color="000000"/>
              <w:left w:val="single" w:sz="8" w:space="0" w:color="000000"/>
              <w:bottom w:val="single" w:sz="8" w:space="0" w:color="000000"/>
              <w:right w:val="single" w:sz="8" w:space="0" w:color="000000"/>
            </w:tcBorders>
          </w:tcPr>
          <w:p w:rsidR="00783788" w:rsidRDefault="002C6E18">
            <w:pPr>
              <w:spacing w:before="29" w:line="288" w:lineRule="auto"/>
              <w:ind w:left="17"/>
              <w:jc w:val="center"/>
              <w:rPr>
                <w:color w:val="000000"/>
                <w:sz w:val="24"/>
                <w:szCs w:val="24"/>
              </w:rPr>
            </w:pPr>
            <w:r>
              <w:rPr>
                <w:color w:val="000000"/>
                <w:sz w:val="24"/>
                <w:szCs w:val="24"/>
              </w:rPr>
              <w:t>3</w:t>
            </w:r>
          </w:p>
        </w:tc>
        <w:tc>
          <w:tcPr>
            <w:tcW w:w="3401" w:type="dxa"/>
            <w:tcBorders>
              <w:top w:val="single" w:sz="8" w:space="0" w:color="000000"/>
              <w:left w:val="single" w:sz="8" w:space="0" w:color="000000"/>
              <w:bottom w:val="single" w:sz="8" w:space="0" w:color="000000"/>
              <w:right w:val="single" w:sz="8" w:space="0" w:color="000000"/>
            </w:tcBorders>
          </w:tcPr>
          <w:p w:rsidR="00783788" w:rsidRDefault="002C6E18" w:rsidP="00D34C1B">
            <w:pPr>
              <w:spacing w:before="29" w:line="288" w:lineRule="auto"/>
              <w:ind w:left="17"/>
              <w:jc w:val="left"/>
              <w:rPr>
                <w:color w:val="000000"/>
                <w:sz w:val="24"/>
                <w:szCs w:val="24"/>
              </w:rPr>
            </w:pPr>
            <w:r>
              <w:rPr>
                <w:color w:val="000000"/>
                <w:sz w:val="24"/>
                <w:szCs w:val="24"/>
              </w:rPr>
              <w:t>贵金属投资</w:t>
            </w:r>
          </w:p>
        </w:tc>
        <w:tc>
          <w:tcPr>
            <w:tcW w:w="2477" w:type="dxa"/>
            <w:tcBorders>
              <w:top w:val="single" w:sz="8" w:space="0" w:color="000000"/>
              <w:left w:val="single" w:sz="8" w:space="0" w:color="000000"/>
              <w:bottom w:val="single" w:sz="8" w:space="0" w:color="000000"/>
              <w:right w:val="single" w:sz="8" w:space="0" w:color="000000"/>
            </w:tcBorders>
          </w:tcPr>
          <w:p w:rsidR="00783788" w:rsidRDefault="002C6E18">
            <w:pPr>
              <w:spacing w:before="29" w:line="288" w:lineRule="auto"/>
              <w:ind w:left="17"/>
              <w:jc w:val="right"/>
              <w:rPr>
                <w:color w:val="000000"/>
                <w:sz w:val="24"/>
                <w:szCs w:val="24"/>
              </w:rPr>
            </w:pPr>
            <w:r>
              <w:rPr>
                <w:color w:val="000000"/>
                <w:sz w:val="24"/>
                <w:szCs w:val="24"/>
              </w:rPr>
              <w:t>-</w:t>
            </w:r>
          </w:p>
        </w:tc>
        <w:tc>
          <w:tcPr>
            <w:tcW w:w="1964" w:type="dxa"/>
            <w:tcBorders>
              <w:top w:val="single" w:sz="8" w:space="0" w:color="000000"/>
              <w:left w:val="single" w:sz="8" w:space="0" w:color="000000"/>
              <w:bottom w:val="single" w:sz="8" w:space="0" w:color="000000"/>
              <w:right w:val="single" w:sz="8" w:space="0" w:color="000000"/>
            </w:tcBorders>
          </w:tcPr>
          <w:p w:rsidR="00783788" w:rsidRDefault="002C6E18">
            <w:pPr>
              <w:spacing w:before="29" w:line="288" w:lineRule="auto"/>
              <w:ind w:left="17"/>
              <w:jc w:val="right"/>
              <w:rPr>
                <w:color w:val="000000"/>
                <w:sz w:val="24"/>
                <w:szCs w:val="24"/>
              </w:rPr>
            </w:pPr>
            <w:r>
              <w:rPr>
                <w:color w:val="000000"/>
                <w:sz w:val="24"/>
                <w:szCs w:val="24"/>
              </w:rPr>
              <w:t>-</w:t>
            </w:r>
          </w:p>
        </w:tc>
      </w:tr>
      <w:tr w:rsidR="00783788">
        <w:tc>
          <w:tcPr>
            <w:tcW w:w="906" w:type="dxa"/>
            <w:tcBorders>
              <w:top w:val="single" w:sz="8" w:space="0" w:color="000000"/>
              <w:left w:val="single" w:sz="8" w:space="0" w:color="000000"/>
              <w:bottom w:val="single" w:sz="8" w:space="0" w:color="000000"/>
              <w:right w:val="single" w:sz="8" w:space="0" w:color="000000"/>
            </w:tcBorders>
          </w:tcPr>
          <w:p w:rsidR="00783788" w:rsidRDefault="002C6E18">
            <w:pPr>
              <w:spacing w:before="29" w:line="288" w:lineRule="auto"/>
              <w:ind w:left="17"/>
              <w:jc w:val="center"/>
              <w:rPr>
                <w:color w:val="000000"/>
                <w:sz w:val="24"/>
                <w:szCs w:val="24"/>
              </w:rPr>
            </w:pPr>
            <w:r>
              <w:rPr>
                <w:color w:val="000000"/>
                <w:sz w:val="24"/>
                <w:szCs w:val="24"/>
              </w:rPr>
              <w:t>4</w:t>
            </w:r>
          </w:p>
        </w:tc>
        <w:tc>
          <w:tcPr>
            <w:tcW w:w="3401" w:type="dxa"/>
            <w:tcBorders>
              <w:top w:val="single" w:sz="8" w:space="0" w:color="000000"/>
              <w:left w:val="single" w:sz="8" w:space="0" w:color="000000"/>
              <w:bottom w:val="single" w:sz="8" w:space="0" w:color="000000"/>
              <w:right w:val="single" w:sz="8" w:space="0" w:color="000000"/>
            </w:tcBorders>
          </w:tcPr>
          <w:p w:rsidR="00783788" w:rsidRDefault="002C6E18" w:rsidP="00D34C1B">
            <w:pPr>
              <w:spacing w:before="29" w:line="288" w:lineRule="auto"/>
              <w:ind w:left="17"/>
              <w:jc w:val="left"/>
              <w:rPr>
                <w:color w:val="000000"/>
                <w:sz w:val="24"/>
                <w:szCs w:val="24"/>
              </w:rPr>
            </w:pPr>
            <w:r>
              <w:rPr>
                <w:color w:val="000000"/>
                <w:sz w:val="24"/>
                <w:szCs w:val="24"/>
              </w:rPr>
              <w:t>金融衍生品投资</w:t>
            </w:r>
          </w:p>
        </w:tc>
        <w:tc>
          <w:tcPr>
            <w:tcW w:w="2477" w:type="dxa"/>
            <w:tcBorders>
              <w:top w:val="single" w:sz="8" w:space="0" w:color="000000"/>
              <w:left w:val="single" w:sz="8" w:space="0" w:color="000000"/>
              <w:bottom w:val="single" w:sz="8" w:space="0" w:color="000000"/>
              <w:right w:val="single" w:sz="8" w:space="0" w:color="000000"/>
            </w:tcBorders>
          </w:tcPr>
          <w:p w:rsidR="00783788" w:rsidRDefault="002C6E18">
            <w:pPr>
              <w:spacing w:before="29" w:line="288" w:lineRule="auto"/>
              <w:ind w:left="17"/>
              <w:jc w:val="right"/>
              <w:rPr>
                <w:color w:val="000000"/>
                <w:sz w:val="24"/>
                <w:szCs w:val="24"/>
              </w:rPr>
            </w:pPr>
            <w:r>
              <w:rPr>
                <w:color w:val="000000"/>
                <w:sz w:val="24"/>
                <w:szCs w:val="24"/>
              </w:rPr>
              <w:t>-</w:t>
            </w:r>
          </w:p>
        </w:tc>
        <w:tc>
          <w:tcPr>
            <w:tcW w:w="1964" w:type="dxa"/>
            <w:tcBorders>
              <w:top w:val="single" w:sz="8" w:space="0" w:color="000000"/>
              <w:left w:val="single" w:sz="8" w:space="0" w:color="000000"/>
              <w:bottom w:val="single" w:sz="8" w:space="0" w:color="000000"/>
              <w:right w:val="single" w:sz="8" w:space="0" w:color="000000"/>
            </w:tcBorders>
          </w:tcPr>
          <w:p w:rsidR="00783788" w:rsidRDefault="002C6E18">
            <w:pPr>
              <w:spacing w:before="29" w:line="288" w:lineRule="auto"/>
              <w:ind w:left="17"/>
              <w:jc w:val="right"/>
              <w:rPr>
                <w:color w:val="000000"/>
                <w:sz w:val="24"/>
                <w:szCs w:val="24"/>
              </w:rPr>
            </w:pPr>
            <w:r>
              <w:rPr>
                <w:color w:val="000000"/>
                <w:sz w:val="24"/>
                <w:szCs w:val="24"/>
              </w:rPr>
              <w:t>-</w:t>
            </w:r>
          </w:p>
        </w:tc>
      </w:tr>
      <w:tr w:rsidR="00783788">
        <w:tc>
          <w:tcPr>
            <w:tcW w:w="906" w:type="dxa"/>
            <w:tcBorders>
              <w:top w:val="single" w:sz="8" w:space="0" w:color="000000"/>
              <w:left w:val="single" w:sz="8" w:space="0" w:color="000000"/>
              <w:bottom w:val="single" w:sz="8" w:space="0" w:color="000000"/>
              <w:right w:val="single" w:sz="8" w:space="0" w:color="000000"/>
            </w:tcBorders>
          </w:tcPr>
          <w:p w:rsidR="00783788" w:rsidRDefault="002C6E18">
            <w:pPr>
              <w:spacing w:before="29" w:line="288" w:lineRule="auto"/>
              <w:ind w:left="17"/>
              <w:jc w:val="center"/>
              <w:rPr>
                <w:color w:val="000000"/>
                <w:sz w:val="24"/>
                <w:szCs w:val="24"/>
              </w:rPr>
            </w:pPr>
            <w:r>
              <w:rPr>
                <w:color w:val="000000"/>
                <w:sz w:val="24"/>
                <w:szCs w:val="24"/>
              </w:rPr>
              <w:t>5</w:t>
            </w:r>
          </w:p>
        </w:tc>
        <w:tc>
          <w:tcPr>
            <w:tcW w:w="3401" w:type="dxa"/>
            <w:tcBorders>
              <w:top w:val="single" w:sz="8" w:space="0" w:color="000000"/>
              <w:left w:val="single" w:sz="8" w:space="0" w:color="000000"/>
              <w:bottom w:val="single" w:sz="8" w:space="0" w:color="000000"/>
              <w:right w:val="single" w:sz="8" w:space="0" w:color="000000"/>
            </w:tcBorders>
          </w:tcPr>
          <w:p w:rsidR="00783788" w:rsidRDefault="002C6E18" w:rsidP="00D34C1B">
            <w:pPr>
              <w:spacing w:before="29" w:line="288" w:lineRule="auto"/>
              <w:ind w:left="17"/>
              <w:jc w:val="left"/>
              <w:rPr>
                <w:color w:val="000000"/>
                <w:sz w:val="24"/>
                <w:szCs w:val="24"/>
              </w:rPr>
            </w:pPr>
            <w:r>
              <w:rPr>
                <w:color w:val="000000"/>
                <w:sz w:val="24"/>
                <w:szCs w:val="24"/>
              </w:rPr>
              <w:t>买入返售金融资产</w:t>
            </w:r>
          </w:p>
        </w:tc>
        <w:tc>
          <w:tcPr>
            <w:tcW w:w="2477" w:type="dxa"/>
            <w:tcBorders>
              <w:top w:val="single" w:sz="8" w:space="0" w:color="000000"/>
              <w:left w:val="single" w:sz="8" w:space="0" w:color="000000"/>
              <w:bottom w:val="single" w:sz="8" w:space="0" w:color="000000"/>
              <w:right w:val="single" w:sz="8" w:space="0" w:color="000000"/>
            </w:tcBorders>
          </w:tcPr>
          <w:p w:rsidR="00783788" w:rsidRDefault="002C6E18">
            <w:pPr>
              <w:spacing w:before="29" w:line="288" w:lineRule="auto"/>
              <w:ind w:left="17"/>
              <w:jc w:val="right"/>
              <w:rPr>
                <w:color w:val="000000"/>
                <w:sz w:val="24"/>
                <w:szCs w:val="24"/>
              </w:rPr>
            </w:pPr>
            <w:r>
              <w:rPr>
                <w:color w:val="000000"/>
                <w:sz w:val="24"/>
                <w:szCs w:val="24"/>
              </w:rPr>
              <w:t>-</w:t>
            </w:r>
          </w:p>
        </w:tc>
        <w:tc>
          <w:tcPr>
            <w:tcW w:w="1964" w:type="dxa"/>
            <w:tcBorders>
              <w:top w:val="single" w:sz="8" w:space="0" w:color="000000"/>
              <w:left w:val="single" w:sz="8" w:space="0" w:color="000000"/>
              <w:bottom w:val="single" w:sz="8" w:space="0" w:color="000000"/>
              <w:right w:val="single" w:sz="8" w:space="0" w:color="000000"/>
            </w:tcBorders>
          </w:tcPr>
          <w:p w:rsidR="00783788" w:rsidRDefault="002C6E18">
            <w:pPr>
              <w:spacing w:before="29" w:line="288" w:lineRule="auto"/>
              <w:ind w:left="17"/>
              <w:jc w:val="right"/>
              <w:rPr>
                <w:color w:val="000000"/>
                <w:sz w:val="24"/>
                <w:szCs w:val="24"/>
              </w:rPr>
            </w:pPr>
            <w:r>
              <w:rPr>
                <w:color w:val="000000"/>
                <w:sz w:val="24"/>
                <w:szCs w:val="24"/>
              </w:rPr>
              <w:t>-</w:t>
            </w:r>
          </w:p>
        </w:tc>
      </w:tr>
      <w:tr w:rsidR="00783788">
        <w:tc>
          <w:tcPr>
            <w:tcW w:w="906" w:type="dxa"/>
            <w:tcBorders>
              <w:top w:val="single" w:sz="8" w:space="0" w:color="000000"/>
              <w:left w:val="single" w:sz="8" w:space="0" w:color="000000"/>
              <w:bottom w:val="single" w:sz="8" w:space="0" w:color="000000"/>
              <w:right w:val="single" w:sz="8" w:space="0" w:color="000000"/>
            </w:tcBorders>
          </w:tcPr>
          <w:p w:rsidR="00783788" w:rsidRDefault="00783788">
            <w:pPr>
              <w:spacing w:before="29" w:line="288" w:lineRule="auto"/>
              <w:ind w:left="17"/>
              <w:jc w:val="center"/>
              <w:rPr>
                <w:color w:val="000000"/>
                <w:sz w:val="24"/>
                <w:szCs w:val="24"/>
              </w:rPr>
            </w:pPr>
          </w:p>
        </w:tc>
        <w:tc>
          <w:tcPr>
            <w:tcW w:w="3401" w:type="dxa"/>
            <w:tcBorders>
              <w:top w:val="single" w:sz="8" w:space="0" w:color="000000"/>
              <w:left w:val="single" w:sz="8" w:space="0" w:color="000000"/>
              <w:bottom w:val="single" w:sz="8" w:space="0" w:color="000000"/>
              <w:right w:val="single" w:sz="8" w:space="0" w:color="000000"/>
            </w:tcBorders>
          </w:tcPr>
          <w:p w:rsidR="00783788" w:rsidRDefault="002C6E18" w:rsidP="00D34C1B">
            <w:pPr>
              <w:spacing w:before="29" w:line="288" w:lineRule="auto"/>
              <w:ind w:left="17"/>
              <w:jc w:val="left"/>
              <w:rPr>
                <w:color w:val="000000"/>
                <w:sz w:val="24"/>
                <w:szCs w:val="24"/>
              </w:rPr>
            </w:pPr>
            <w:r>
              <w:rPr>
                <w:color w:val="000000"/>
                <w:sz w:val="24"/>
                <w:szCs w:val="24"/>
              </w:rPr>
              <w:t>其中：买断式回购的买入返售金融资产</w:t>
            </w:r>
          </w:p>
        </w:tc>
        <w:tc>
          <w:tcPr>
            <w:tcW w:w="2477" w:type="dxa"/>
            <w:tcBorders>
              <w:top w:val="single" w:sz="8" w:space="0" w:color="000000"/>
              <w:left w:val="single" w:sz="8" w:space="0" w:color="000000"/>
              <w:bottom w:val="single" w:sz="8" w:space="0" w:color="000000"/>
              <w:right w:val="single" w:sz="8" w:space="0" w:color="000000"/>
            </w:tcBorders>
          </w:tcPr>
          <w:p w:rsidR="00783788" w:rsidRDefault="002C6E18">
            <w:pPr>
              <w:spacing w:before="29" w:line="288" w:lineRule="auto"/>
              <w:ind w:left="17"/>
              <w:jc w:val="right"/>
              <w:rPr>
                <w:color w:val="000000"/>
                <w:sz w:val="24"/>
                <w:szCs w:val="24"/>
              </w:rPr>
            </w:pPr>
            <w:r>
              <w:rPr>
                <w:color w:val="000000"/>
                <w:sz w:val="24"/>
                <w:szCs w:val="24"/>
              </w:rPr>
              <w:t>-</w:t>
            </w:r>
          </w:p>
        </w:tc>
        <w:tc>
          <w:tcPr>
            <w:tcW w:w="1964" w:type="dxa"/>
            <w:tcBorders>
              <w:top w:val="single" w:sz="8" w:space="0" w:color="000000"/>
              <w:left w:val="single" w:sz="8" w:space="0" w:color="000000"/>
              <w:bottom w:val="single" w:sz="8" w:space="0" w:color="000000"/>
              <w:right w:val="single" w:sz="8" w:space="0" w:color="000000"/>
            </w:tcBorders>
          </w:tcPr>
          <w:p w:rsidR="00783788" w:rsidRDefault="002C6E18">
            <w:pPr>
              <w:spacing w:before="29" w:line="288" w:lineRule="auto"/>
              <w:ind w:left="17"/>
              <w:jc w:val="right"/>
              <w:rPr>
                <w:color w:val="000000"/>
                <w:sz w:val="24"/>
                <w:szCs w:val="24"/>
              </w:rPr>
            </w:pPr>
            <w:r>
              <w:rPr>
                <w:color w:val="000000"/>
                <w:sz w:val="24"/>
                <w:szCs w:val="24"/>
              </w:rPr>
              <w:t>-</w:t>
            </w:r>
          </w:p>
        </w:tc>
      </w:tr>
      <w:tr w:rsidR="00783788">
        <w:tc>
          <w:tcPr>
            <w:tcW w:w="906" w:type="dxa"/>
            <w:tcBorders>
              <w:top w:val="single" w:sz="8" w:space="0" w:color="000000"/>
              <w:left w:val="single" w:sz="8" w:space="0" w:color="000000"/>
              <w:bottom w:val="single" w:sz="8" w:space="0" w:color="000000"/>
              <w:right w:val="single" w:sz="8" w:space="0" w:color="000000"/>
            </w:tcBorders>
          </w:tcPr>
          <w:p w:rsidR="00783788" w:rsidRDefault="002C6E18">
            <w:pPr>
              <w:spacing w:before="29" w:line="288" w:lineRule="auto"/>
              <w:ind w:left="17"/>
              <w:jc w:val="center"/>
              <w:rPr>
                <w:color w:val="000000"/>
                <w:sz w:val="24"/>
                <w:szCs w:val="24"/>
              </w:rPr>
            </w:pPr>
            <w:r>
              <w:rPr>
                <w:color w:val="000000"/>
                <w:sz w:val="24"/>
                <w:szCs w:val="24"/>
              </w:rPr>
              <w:t>6</w:t>
            </w:r>
          </w:p>
        </w:tc>
        <w:tc>
          <w:tcPr>
            <w:tcW w:w="3401" w:type="dxa"/>
            <w:tcBorders>
              <w:top w:val="single" w:sz="8" w:space="0" w:color="000000"/>
              <w:left w:val="single" w:sz="8" w:space="0" w:color="000000"/>
              <w:bottom w:val="single" w:sz="8" w:space="0" w:color="000000"/>
              <w:right w:val="single" w:sz="8" w:space="0" w:color="000000"/>
            </w:tcBorders>
          </w:tcPr>
          <w:p w:rsidR="00783788" w:rsidRDefault="002C6E18" w:rsidP="00D34C1B">
            <w:pPr>
              <w:spacing w:before="29" w:line="288" w:lineRule="auto"/>
              <w:ind w:left="17"/>
              <w:jc w:val="left"/>
              <w:rPr>
                <w:color w:val="000000"/>
                <w:sz w:val="24"/>
                <w:szCs w:val="24"/>
              </w:rPr>
            </w:pPr>
            <w:r>
              <w:rPr>
                <w:color w:val="000000"/>
                <w:sz w:val="24"/>
                <w:szCs w:val="24"/>
              </w:rPr>
              <w:t>银行存款和结算备付金合计</w:t>
            </w:r>
          </w:p>
        </w:tc>
        <w:tc>
          <w:tcPr>
            <w:tcW w:w="2477" w:type="dxa"/>
            <w:tcBorders>
              <w:top w:val="single" w:sz="8" w:space="0" w:color="000000"/>
              <w:left w:val="single" w:sz="8" w:space="0" w:color="000000"/>
              <w:bottom w:val="single" w:sz="8" w:space="0" w:color="000000"/>
              <w:right w:val="single" w:sz="8" w:space="0" w:color="000000"/>
            </w:tcBorders>
          </w:tcPr>
          <w:p w:rsidR="00783788" w:rsidRDefault="002C6E18">
            <w:pPr>
              <w:spacing w:before="29" w:line="288" w:lineRule="auto"/>
              <w:ind w:left="17"/>
              <w:jc w:val="right"/>
              <w:rPr>
                <w:color w:val="000000"/>
                <w:sz w:val="24"/>
                <w:szCs w:val="24"/>
              </w:rPr>
            </w:pPr>
            <w:r>
              <w:rPr>
                <w:color w:val="000000"/>
                <w:sz w:val="24"/>
                <w:szCs w:val="24"/>
              </w:rPr>
              <w:t>8,262,088.28</w:t>
            </w:r>
          </w:p>
        </w:tc>
        <w:tc>
          <w:tcPr>
            <w:tcW w:w="1964" w:type="dxa"/>
            <w:tcBorders>
              <w:top w:val="single" w:sz="8" w:space="0" w:color="000000"/>
              <w:left w:val="single" w:sz="8" w:space="0" w:color="000000"/>
              <w:bottom w:val="single" w:sz="8" w:space="0" w:color="000000"/>
              <w:right w:val="single" w:sz="8" w:space="0" w:color="000000"/>
            </w:tcBorders>
          </w:tcPr>
          <w:p w:rsidR="00783788" w:rsidRDefault="002C6E18">
            <w:pPr>
              <w:spacing w:before="29" w:line="288" w:lineRule="auto"/>
              <w:ind w:left="17"/>
              <w:jc w:val="right"/>
              <w:rPr>
                <w:color w:val="000000"/>
                <w:sz w:val="24"/>
                <w:szCs w:val="24"/>
              </w:rPr>
            </w:pPr>
            <w:r>
              <w:rPr>
                <w:color w:val="000000"/>
                <w:sz w:val="24"/>
                <w:szCs w:val="24"/>
              </w:rPr>
              <w:t>3.56</w:t>
            </w:r>
          </w:p>
        </w:tc>
      </w:tr>
      <w:tr w:rsidR="00783788">
        <w:tc>
          <w:tcPr>
            <w:tcW w:w="906" w:type="dxa"/>
            <w:tcBorders>
              <w:top w:val="single" w:sz="8" w:space="0" w:color="000000"/>
              <w:left w:val="single" w:sz="8" w:space="0" w:color="000000"/>
              <w:bottom w:val="single" w:sz="8" w:space="0" w:color="000000"/>
              <w:right w:val="single" w:sz="8" w:space="0" w:color="000000"/>
            </w:tcBorders>
          </w:tcPr>
          <w:p w:rsidR="00783788" w:rsidRDefault="002C6E18">
            <w:pPr>
              <w:spacing w:before="29" w:line="288" w:lineRule="auto"/>
              <w:ind w:left="17"/>
              <w:jc w:val="center"/>
              <w:rPr>
                <w:color w:val="000000"/>
                <w:sz w:val="24"/>
                <w:szCs w:val="24"/>
              </w:rPr>
            </w:pPr>
            <w:r>
              <w:rPr>
                <w:color w:val="000000"/>
                <w:sz w:val="24"/>
                <w:szCs w:val="24"/>
              </w:rPr>
              <w:t>7</w:t>
            </w:r>
          </w:p>
        </w:tc>
        <w:tc>
          <w:tcPr>
            <w:tcW w:w="3401" w:type="dxa"/>
            <w:tcBorders>
              <w:top w:val="single" w:sz="8" w:space="0" w:color="000000"/>
              <w:left w:val="single" w:sz="8" w:space="0" w:color="000000"/>
              <w:bottom w:val="single" w:sz="8" w:space="0" w:color="000000"/>
              <w:right w:val="single" w:sz="8" w:space="0" w:color="000000"/>
            </w:tcBorders>
          </w:tcPr>
          <w:p w:rsidR="00783788" w:rsidRDefault="002C6E18" w:rsidP="00D34C1B">
            <w:pPr>
              <w:spacing w:before="29" w:line="288" w:lineRule="auto"/>
              <w:ind w:left="17"/>
              <w:jc w:val="left"/>
              <w:rPr>
                <w:color w:val="000000"/>
                <w:sz w:val="24"/>
                <w:szCs w:val="24"/>
              </w:rPr>
            </w:pPr>
            <w:r>
              <w:rPr>
                <w:color w:val="000000"/>
                <w:sz w:val="24"/>
                <w:szCs w:val="24"/>
              </w:rPr>
              <w:t>其他资产</w:t>
            </w:r>
          </w:p>
        </w:tc>
        <w:tc>
          <w:tcPr>
            <w:tcW w:w="2477" w:type="dxa"/>
            <w:tcBorders>
              <w:top w:val="single" w:sz="8" w:space="0" w:color="000000"/>
              <w:left w:val="single" w:sz="8" w:space="0" w:color="000000"/>
              <w:bottom w:val="single" w:sz="8" w:space="0" w:color="000000"/>
              <w:right w:val="single" w:sz="8" w:space="0" w:color="000000"/>
            </w:tcBorders>
          </w:tcPr>
          <w:p w:rsidR="00783788" w:rsidRDefault="002C6E18">
            <w:pPr>
              <w:spacing w:before="29" w:line="288" w:lineRule="auto"/>
              <w:ind w:left="17"/>
              <w:jc w:val="right"/>
              <w:rPr>
                <w:color w:val="000000"/>
                <w:sz w:val="24"/>
                <w:szCs w:val="24"/>
              </w:rPr>
            </w:pPr>
            <w:r>
              <w:rPr>
                <w:color w:val="000000"/>
                <w:sz w:val="24"/>
                <w:szCs w:val="24"/>
              </w:rPr>
              <w:t>6,919,143.81</w:t>
            </w:r>
          </w:p>
        </w:tc>
        <w:tc>
          <w:tcPr>
            <w:tcW w:w="1964" w:type="dxa"/>
            <w:tcBorders>
              <w:top w:val="single" w:sz="8" w:space="0" w:color="000000"/>
              <w:left w:val="single" w:sz="8" w:space="0" w:color="000000"/>
              <w:bottom w:val="single" w:sz="8" w:space="0" w:color="000000"/>
              <w:right w:val="single" w:sz="8" w:space="0" w:color="000000"/>
            </w:tcBorders>
          </w:tcPr>
          <w:p w:rsidR="00783788" w:rsidRDefault="002C6E18">
            <w:pPr>
              <w:spacing w:before="29" w:line="288" w:lineRule="auto"/>
              <w:ind w:left="17"/>
              <w:jc w:val="right"/>
              <w:rPr>
                <w:color w:val="000000"/>
                <w:sz w:val="24"/>
                <w:szCs w:val="24"/>
              </w:rPr>
            </w:pPr>
            <w:r>
              <w:rPr>
                <w:color w:val="000000"/>
                <w:sz w:val="24"/>
                <w:szCs w:val="24"/>
              </w:rPr>
              <w:t>2.98</w:t>
            </w:r>
          </w:p>
        </w:tc>
      </w:tr>
      <w:tr w:rsidR="00783788">
        <w:tc>
          <w:tcPr>
            <w:tcW w:w="906" w:type="dxa"/>
            <w:tcBorders>
              <w:top w:val="single" w:sz="8" w:space="0" w:color="000000"/>
              <w:left w:val="single" w:sz="8" w:space="0" w:color="000000"/>
              <w:bottom w:val="single" w:sz="8" w:space="0" w:color="000000"/>
              <w:right w:val="single" w:sz="8" w:space="0" w:color="000000"/>
            </w:tcBorders>
          </w:tcPr>
          <w:p w:rsidR="00783788" w:rsidRDefault="002C6E18">
            <w:pPr>
              <w:spacing w:before="29" w:line="288" w:lineRule="auto"/>
              <w:ind w:left="17"/>
              <w:jc w:val="center"/>
              <w:rPr>
                <w:color w:val="000000"/>
                <w:sz w:val="24"/>
                <w:szCs w:val="24"/>
              </w:rPr>
            </w:pPr>
            <w:r>
              <w:rPr>
                <w:color w:val="000000"/>
                <w:sz w:val="24"/>
                <w:szCs w:val="24"/>
              </w:rPr>
              <w:t>8</w:t>
            </w:r>
          </w:p>
        </w:tc>
        <w:tc>
          <w:tcPr>
            <w:tcW w:w="3401" w:type="dxa"/>
            <w:tcBorders>
              <w:top w:val="single" w:sz="8" w:space="0" w:color="000000"/>
              <w:left w:val="single" w:sz="8" w:space="0" w:color="000000"/>
              <w:bottom w:val="single" w:sz="8" w:space="0" w:color="000000"/>
              <w:right w:val="single" w:sz="8" w:space="0" w:color="000000"/>
            </w:tcBorders>
          </w:tcPr>
          <w:p w:rsidR="00783788" w:rsidRDefault="002C6E18" w:rsidP="00DC2F79">
            <w:pPr>
              <w:spacing w:before="29" w:line="288" w:lineRule="auto"/>
              <w:ind w:left="17"/>
              <w:jc w:val="center"/>
              <w:rPr>
                <w:color w:val="000000"/>
                <w:sz w:val="24"/>
                <w:szCs w:val="24"/>
              </w:rPr>
            </w:pPr>
            <w:r>
              <w:rPr>
                <w:color w:val="000000"/>
                <w:sz w:val="24"/>
                <w:szCs w:val="24"/>
              </w:rPr>
              <w:t>合计</w:t>
            </w:r>
          </w:p>
        </w:tc>
        <w:tc>
          <w:tcPr>
            <w:tcW w:w="2477" w:type="dxa"/>
            <w:tcBorders>
              <w:top w:val="single" w:sz="8" w:space="0" w:color="000000"/>
              <w:left w:val="single" w:sz="8" w:space="0" w:color="000000"/>
              <w:bottom w:val="single" w:sz="8" w:space="0" w:color="000000"/>
              <w:right w:val="single" w:sz="8" w:space="0" w:color="000000"/>
            </w:tcBorders>
          </w:tcPr>
          <w:p w:rsidR="00783788" w:rsidRDefault="002C6E18">
            <w:pPr>
              <w:spacing w:before="29" w:line="288" w:lineRule="auto"/>
              <w:ind w:left="17"/>
              <w:jc w:val="right"/>
              <w:rPr>
                <w:color w:val="000000"/>
                <w:sz w:val="24"/>
                <w:szCs w:val="24"/>
              </w:rPr>
            </w:pPr>
            <w:r>
              <w:rPr>
                <w:color w:val="000000"/>
                <w:sz w:val="24"/>
                <w:szCs w:val="24"/>
              </w:rPr>
              <w:t>232,211,509.25</w:t>
            </w:r>
          </w:p>
        </w:tc>
        <w:tc>
          <w:tcPr>
            <w:tcW w:w="1964" w:type="dxa"/>
            <w:tcBorders>
              <w:top w:val="single" w:sz="8" w:space="0" w:color="000000"/>
              <w:left w:val="single" w:sz="8" w:space="0" w:color="000000"/>
              <w:bottom w:val="single" w:sz="8" w:space="0" w:color="000000"/>
              <w:right w:val="single" w:sz="8" w:space="0" w:color="000000"/>
            </w:tcBorders>
          </w:tcPr>
          <w:p w:rsidR="00783788" w:rsidRDefault="002C6E18">
            <w:pPr>
              <w:spacing w:before="29" w:line="288" w:lineRule="auto"/>
              <w:ind w:left="17"/>
              <w:jc w:val="right"/>
              <w:rPr>
                <w:color w:val="000000"/>
                <w:sz w:val="24"/>
                <w:szCs w:val="24"/>
              </w:rPr>
            </w:pPr>
            <w:r>
              <w:rPr>
                <w:color w:val="000000"/>
                <w:sz w:val="24"/>
                <w:szCs w:val="24"/>
              </w:rPr>
              <w:t>100.00</w:t>
            </w:r>
          </w:p>
        </w:tc>
      </w:tr>
    </w:tbl>
    <w:p w:rsidR="00783788" w:rsidRDefault="00783788">
      <w:pPr>
        <w:spacing w:line="360" w:lineRule="auto"/>
        <w:ind w:firstLineChars="200" w:firstLine="480"/>
        <w:rPr>
          <w:sz w:val="24"/>
        </w:rPr>
      </w:pPr>
    </w:p>
    <w:p w:rsidR="00783788" w:rsidRDefault="002C6E18">
      <w:pPr>
        <w:spacing w:line="360" w:lineRule="auto"/>
        <w:ind w:firstLineChars="200" w:firstLine="480"/>
        <w:rPr>
          <w:sz w:val="24"/>
        </w:rPr>
      </w:pPr>
      <w:r>
        <w:rPr>
          <w:sz w:val="24"/>
        </w:rPr>
        <w:t>2</w:t>
      </w:r>
      <w:r>
        <w:rPr>
          <w:sz w:val="24"/>
        </w:rPr>
        <w:t>、报告期末按行业分类的股票投资组合</w:t>
      </w:r>
    </w:p>
    <w:tbl>
      <w:tblPr>
        <w:tblW w:w="8748" w:type="dxa"/>
        <w:tblInd w:w="108" w:type="dxa"/>
        <w:tblLayout w:type="fixed"/>
        <w:tblLook w:val="04A0" w:firstRow="1" w:lastRow="0" w:firstColumn="1" w:lastColumn="0" w:noHBand="0" w:noVBand="1"/>
      </w:tblPr>
      <w:tblGrid>
        <w:gridCol w:w="961"/>
        <w:gridCol w:w="3308"/>
        <w:gridCol w:w="2479"/>
        <w:gridCol w:w="2000"/>
      </w:tblGrid>
      <w:tr w:rsidR="00783788">
        <w:tc>
          <w:tcPr>
            <w:tcW w:w="961" w:type="dxa"/>
            <w:tcBorders>
              <w:top w:val="single" w:sz="8" w:space="0" w:color="000000"/>
              <w:left w:val="single" w:sz="8" w:space="0" w:color="000000"/>
              <w:bottom w:val="single" w:sz="8" w:space="0" w:color="000000"/>
              <w:right w:val="single" w:sz="8" w:space="0" w:color="000000"/>
            </w:tcBorders>
            <w:vAlign w:val="center"/>
          </w:tcPr>
          <w:p w:rsidR="00783788" w:rsidRDefault="002C6E18">
            <w:pPr>
              <w:adjustRightInd w:val="0"/>
              <w:snapToGrid w:val="0"/>
              <w:spacing w:before="29" w:line="288" w:lineRule="auto"/>
              <w:jc w:val="center"/>
              <w:rPr>
                <w:color w:val="000000"/>
                <w:sz w:val="24"/>
              </w:rPr>
            </w:pPr>
            <w:r>
              <w:rPr>
                <w:color w:val="000000"/>
                <w:sz w:val="24"/>
              </w:rPr>
              <w:t>代码</w:t>
            </w:r>
          </w:p>
        </w:tc>
        <w:tc>
          <w:tcPr>
            <w:tcW w:w="3308" w:type="dxa"/>
            <w:tcBorders>
              <w:top w:val="single" w:sz="8" w:space="0" w:color="000000"/>
              <w:left w:val="single" w:sz="8" w:space="0" w:color="000000"/>
              <w:bottom w:val="single" w:sz="8" w:space="0" w:color="000000"/>
              <w:right w:val="single" w:sz="8" w:space="0" w:color="000000"/>
            </w:tcBorders>
            <w:vAlign w:val="center"/>
          </w:tcPr>
          <w:p w:rsidR="00783788" w:rsidRDefault="002C6E18">
            <w:pPr>
              <w:adjustRightInd w:val="0"/>
              <w:snapToGrid w:val="0"/>
              <w:spacing w:before="29" w:line="288" w:lineRule="auto"/>
              <w:jc w:val="center"/>
              <w:rPr>
                <w:color w:val="000000"/>
                <w:kern w:val="0"/>
                <w:sz w:val="24"/>
              </w:rPr>
            </w:pPr>
            <w:r>
              <w:rPr>
                <w:color w:val="000000"/>
                <w:kern w:val="0"/>
                <w:sz w:val="24"/>
              </w:rPr>
              <w:t>行业类别</w:t>
            </w:r>
          </w:p>
        </w:tc>
        <w:tc>
          <w:tcPr>
            <w:tcW w:w="2479" w:type="dxa"/>
            <w:tcBorders>
              <w:top w:val="single" w:sz="8" w:space="0" w:color="000000"/>
              <w:left w:val="single" w:sz="8" w:space="0" w:color="000000"/>
              <w:bottom w:val="single" w:sz="8" w:space="0" w:color="000000"/>
              <w:right w:val="single" w:sz="8" w:space="0" w:color="000000"/>
            </w:tcBorders>
          </w:tcPr>
          <w:p w:rsidR="00783788" w:rsidRDefault="002C6E18">
            <w:pPr>
              <w:adjustRightInd w:val="0"/>
              <w:snapToGrid w:val="0"/>
              <w:spacing w:before="29" w:line="288" w:lineRule="auto"/>
              <w:jc w:val="center"/>
              <w:rPr>
                <w:color w:val="000000"/>
                <w:kern w:val="0"/>
                <w:sz w:val="24"/>
              </w:rPr>
            </w:pPr>
            <w:r>
              <w:rPr>
                <w:color w:val="000000"/>
                <w:kern w:val="0"/>
                <w:sz w:val="24"/>
              </w:rPr>
              <w:t>公允价值（元）</w:t>
            </w:r>
          </w:p>
        </w:tc>
        <w:tc>
          <w:tcPr>
            <w:tcW w:w="2000" w:type="dxa"/>
            <w:tcBorders>
              <w:top w:val="single" w:sz="8" w:space="0" w:color="000000"/>
              <w:left w:val="single" w:sz="8" w:space="0" w:color="000000"/>
              <w:bottom w:val="single" w:sz="8" w:space="0" w:color="000000"/>
              <w:right w:val="single" w:sz="8" w:space="0" w:color="000000"/>
            </w:tcBorders>
          </w:tcPr>
          <w:p w:rsidR="00783788" w:rsidRDefault="002C6E18">
            <w:pPr>
              <w:adjustRightInd w:val="0"/>
              <w:snapToGrid w:val="0"/>
              <w:spacing w:before="29" w:line="288" w:lineRule="auto"/>
              <w:jc w:val="center"/>
              <w:rPr>
                <w:color w:val="000000"/>
                <w:kern w:val="0"/>
                <w:sz w:val="24"/>
              </w:rPr>
            </w:pPr>
            <w:r>
              <w:rPr>
                <w:color w:val="000000"/>
                <w:kern w:val="0"/>
                <w:sz w:val="24"/>
              </w:rPr>
              <w:t>占基金资产净值比例（％）</w:t>
            </w:r>
          </w:p>
        </w:tc>
      </w:tr>
      <w:tr w:rsidR="00783788">
        <w:tc>
          <w:tcPr>
            <w:tcW w:w="961" w:type="dxa"/>
            <w:tcBorders>
              <w:top w:val="single" w:sz="8" w:space="0" w:color="000000"/>
              <w:left w:val="single" w:sz="8" w:space="0" w:color="000000"/>
              <w:bottom w:val="single" w:sz="8" w:space="0" w:color="000000"/>
              <w:right w:val="single" w:sz="8" w:space="0" w:color="000000"/>
            </w:tcBorders>
            <w:vAlign w:val="center"/>
          </w:tcPr>
          <w:p w:rsidR="00783788" w:rsidRDefault="002C6E18">
            <w:pPr>
              <w:adjustRightInd w:val="0"/>
              <w:snapToGrid w:val="0"/>
              <w:spacing w:before="29" w:line="288" w:lineRule="auto"/>
              <w:jc w:val="center"/>
              <w:rPr>
                <w:color w:val="000000"/>
                <w:sz w:val="24"/>
              </w:rPr>
            </w:pPr>
            <w:r>
              <w:rPr>
                <w:color w:val="000000"/>
                <w:sz w:val="24"/>
              </w:rPr>
              <w:t>A</w:t>
            </w:r>
          </w:p>
        </w:tc>
        <w:tc>
          <w:tcPr>
            <w:tcW w:w="3308" w:type="dxa"/>
            <w:tcBorders>
              <w:top w:val="single" w:sz="8" w:space="0" w:color="000000"/>
              <w:left w:val="single" w:sz="8" w:space="0" w:color="000000"/>
              <w:bottom w:val="single" w:sz="8" w:space="0" w:color="000000"/>
              <w:right w:val="single" w:sz="8" w:space="0" w:color="000000"/>
            </w:tcBorders>
            <w:vAlign w:val="center"/>
          </w:tcPr>
          <w:p w:rsidR="00783788" w:rsidRDefault="002C6E18" w:rsidP="00D34C1B">
            <w:pPr>
              <w:adjustRightInd w:val="0"/>
              <w:snapToGrid w:val="0"/>
              <w:spacing w:before="29" w:line="288" w:lineRule="auto"/>
              <w:jc w:val="left"/>
              <w:rPr>
                <w:color w:val="000000"/>
                <w:kern w:val="0"/>
                <w:sz w:val="24"/>
              </w:rPr>
            </w:pPr>
            <w:r>
              <w:rPr>
                <w:color w:val="000000"/>
                <w:kern w:val="0"/>
                <w:sz w:val="24"/>
              </w:rPr>
              <w:t>农、林、牧、渔业</w:t>
            </w:r>
          </w:p>
        </w:tc>
        <w:tc>
          <w:tcPr>
            <w:tcW w:w="2479" w:type="dxa"/>
            <w:tcBorders>
              <w:top w:val="single" w:sz="8" w:space="0" w:color="000000"/>
              <w:left w:val="single" w:sz="8" w:space="0" w:color="000000"/>
              <w:bottom w:val="single" w:sz="8" w:space="0" w:color="000000"/>
              <w:right w:val="single" w:sz="8" w:space="0" w:color="000000"/>
            </w:tcBorders>
          </w:tcPr>
          <w:p w:rsidR="00783788" w:rsidRDefault="002C6E18">
            <w:pPr>
              <w:adjustRightInd w:val="0"/>
              <w:snapToGrid w:val="0"/>
              <w:spacing w:before="29" w:line="288" w:lineRule="auto"/>
              <w:jc w:val="right"/>
              <w:rPr>
                <w:color w:val="000000"/>
                <w:kern w:val="0"/>
                <w:sz w:val="24"/>
              </w:rPr>
            </w:pPr>
            <w:r>
              <w:rPr>
                <w:color w:val="000000"/>
                <w:kern w:val="0"/>
                <w:sz w:val="24"/>
              </w:rPr>
              <w:t>-</w:t>
            </w:r>
          </w:p>
        </w:tc>
        <w:tc>
          <w:tcPr>
            <w:tcW w:w="2000" w:type="dxa"/>
            <w:tcBorders>
              <w:top w:val="single" w:sz="8" w:space="0" w:color="000000"/>
              <w:left w:val="single" w:sz="8" w:space="0" w:color="000000"/>
              <w:bottom w:val="single" w:sz="8" w:space="0" w:color="000000"/>
              <w:right w:val="single" w:sz="8" w:space="0" w:color="000000"/>
            </w:tcBorders>
          </w:tcPr>
          <w:p w:rsidR="00783788" w:rsidRDefault="002C6E18">
            <w:pPr>
              <w:adjustRightInd w:val="0"/>
              <w:snapToGrid w:val="0"/>
              <w:spacing w:before="29" w:line="288" w:lineRule="auto"/>
              <w:jc w:val="right"/>
              <w:rPr>
                <w:color w:val="000000"/>
                <w:kern w:val="0"/>
                <w:sz w:val="24"/>
              </w:rPr>
            </w:pPr>
            <w:r>
              <w:rPr>
                <w:color w:val="000000"/>
                <w:kern w:val="0"/>
                <w:sz w:val="24"/>
              </w:rPr>
              <w:t>-</w:t>
            </w:r>
          </w:p>
        </w:tc>
      </w:tr>
      <w:tr w:rsidR="00783788">
        <w:tc>
          <w:tcPr>
            <w:tcW w:w="961" w:type="dxa"/>
            <w:tcBorders>
              <w:top w:val="single" w:sz="8" w:space="0" w:color="000000"/>
              <w:left w:val="single" w:sz="8" w:space="0" w:color="000000"/>
              <w:bottom w:val="single" w:sz="8" w:space="0" w:color="000000"/>
              <w:right w:val="single" w:sz="8" w:space="0" w:color="000000"/>
            </w:tcBorders>
            <w:vAlign w:val="center"/>
          </w:tcPr>
          <w:p w:rsidR="00783788" w:rsidRDefault="002C6E18">
            <w:pPr>
              <w:adjustRightInd w:val="0"/>
              <w:snapToGrid w:val="0"/>
              <w:spacing w:before="29" w:line="288" w:lineRule="auto"/>
              <w:jc w:val="center"/>
              <w:rPr>
                <w:color w:val="000000"/>
                <w:sz w:val="24"/>
              </w:rPr>
            </w:pPr>
            <w:r>
              <w:rPr>
                <w:color w:val="000000"/>
                <w:sz w:val="24"/>
              </w:rPr>
              <w:t>B</w:t>
            </w:r>
          </w:p>
        </w:tc>
        <w:tc>
          <w:tcPr>
            <w:tcW w:w="3308" w:type="dxa"/>
            <w:tcBorders>
              <w:top w:val="single" w:sz="8" w:space="0" w:color="000000"/>
              <w:left w:val="single" w:sz="8" w:space="0" w:color="000000"/>
              <w:bottom w:val="single" w:sz="8" w:space="0" w:color="000000"/>
              <w:right w:val="single" w:sz="8" w:space="0" w:color="000000"/>
            </w:tcBorders>
            <w:vAlign w:val="center"/>
          </w:tcPr>
          <w:p w:rsidR="00783788" w:rsidRDefault="002C6E18" w:rsidP="00D34C1B">
            <w:pPr>
              <w:adjustRightInd w:val="0"/>
              <w:snapToGrid w:val="0"/>
              <w:spacing w:before="29" w:line="288" w:lineRule="auto"/>
              <w:jc w:val="left"/>
              <w:rPr>
                <w:color w:val="000000"/>
                <w:kern w:val="0"/>
                <w:sz w:val="24"/>
              </w:rPr>
            </w:pPr>
            <w:r>
              <w:rPr>
                <w:color w:val="000000"/>
                <w:kern w:val="0"/>
                <w:sz w:val="24"/>
              </w:rPr>
              <w:t>采矿业</w:t>
            </w:r>
          </w:p>
        </w:tc>
        <w:tc>
          <w:tcPr>
            <w:tcW w:w="2479" w:type="dxa"/>
            <w:tcBorders>
              <w:top w:val="single" w:sz="8" w:space="0" w:color="000000"/>
              <w:left w:val="single" w:sz="8" w:space="0" w:color="000000"/>
              <w:bottom w:val="single" w:sz="8" w:space="0" w:color="000000"/>
              <w:right w:val="single" w:sz="8" w:space="0" w:color="000000"/>
            </w:tcBorders>
          </w:tcPr>
          <w:p w:rsidR="00783788" w:rsidRDefault="002C6E18">
            <w:pPr>
              <w:adjustRightInd w:val="0"/>
              <w:snapToGrid w:val="0"/>
              <w:spacing w:before="29" w:line="288" w:lineRule="auto"/>
              <w:jc w:val="right"/>
              <w:rPr>
                <w:color w:val="000000"/>
                <w:kern w:val="0"/>
                <w:sz w:val="24"/>
              </w:rPr>
            </w:pPr>
            <w:r>
              <w:rPr>
                <w:color w:val="000000"/>
                <w:kern w:val="0"/>
                <w:sz w:val="24"/>
              </w:rPr>
              <w:t>-</w:t>
            </w:r>
          </w:p>
        </w:tc>
        <w:tc>
          <w:tcPr>
            <w:tcW w:w="2000" w:type="dxa"/>
            <w:tcBorders>
              <w:top w:val="single" w:sz="8" w:space="0" w:color="000000"/>
              <w:left w:val="single" w:sz="8" w:space="0" w:color="000000"/>
              <w:bottom w:val="single" w:sz="8" w:space="0" w:color="000000"/>
              <w:right w:val="single" w:sz="8" w:space="0" w:color="000000"/>
            </w:tcBorders>
          </w:tcPr>
          <w:p w:rsidR="00783788" w:rsidRDefault="002C6E18">
            <w:pPr>
              <w:adjustRightInd w:val="0"/>
              <w:snapToGrid w:val="0"/>
              <w:spacing w:before="29" w:line="288" w:lineRule="auto"/>
              <w:jc w:val="right"/>
              <w:rPr>
                <w:color w:val="000000"/>
                <w:kern w:val="0"/>
                <w:sz w:val="24"/>
              </w:rPr>
            </w:pPr>
            <w:r>
              <w:rPr>
                <w:color w:val="000000"/>
                <w:kern w:val="0"/>
                <w:sz w:val="24"/>
              </w:rPr>
              <w:t>-</w:t>
            </w:r>
          </w:p>
        </w:tc>
      </w:tr>
      <w:tr w:rsidR="00783788">
        <w:tc>
          <w:tcPr>
            <w:tcW w:w="961" w:type="dxa"/>
            <w:tcBorders>
              <w:top w:val="single" w:sz="8" w:space="0" w:color="000000"/>
              <w:left w:val="single" w:sz="8" w:space="0" w:color="000000"/>
              <w:bottom w:val="single" w:sz="8" w:space="0" w:color="000000"/>
              <w:right w:val="single" w:sz="8" w:space="0" w:color="000000"/>
            </w:tcBorders>
            <w:vAlign w:val="center"/>
          </w:tcPr>
          <w:p w:rsidR="00783788" w:rsidRDefault="002C6E18">
            <w:pPr>
              <w:adjustRightInd w:val="0"/>
              <w:snapToGrid w:val="0"/>
              <w:spacing w:before="29" w:line="288" w:lineRule="auto"/>
              <w:jc w:val="center"/>
              <w:rPr>
                <w:color w:val="000000"/>
                <w:sz w:val="24"/>
              </w:rPr>
            </w:pPr>
            <w:r>
              <w:rPr>
                <w:color w:val="000000"/>
                <w:sz w:val="24"/>
              </w:rPr>
              <w:t>C</w:t>
            </w:r>
          </w:p>
        </w:tc>
        <w:tc>
          <w:tcPr>
            <w:tcW w:w="3308" w:type="dxa"/>
            <w:tcBorders>
              <w:top w:val="single" w:sz="8" w:space="0" w:color="000000"/>
              <w:left w:val="single" w:sz="8" w:space="0" w:color="000000"/>
              <w:bottom w:val="single" w:sz="8" w:space="0" w:color="000000"/>
              <w:right w:val="single" w:sz="8" w:space="0" w:color="000000"/>
            </w:tcBorders>
            <w:vAlign w:val="center"/>
          </w:tcPr>
          <w:p w:rsidR="00783788" w:rsidRDefault="002C6E18" w:rsidP="00D34C1B">
            <w:pPr>
              <w:adjustRightInd w:val="0"/>
              <w:snapToGrid w:val="0"/>
              <w:spacing w:before="29" w:line="288" w:lineRule="auto"/>
              <w:jc w:val="left"/>
              <w:rPr>
                <w:color w:val="000000"/>
                <w:kern w:val="0"/>
                <w:sz w:val="24"/>
              </w:rPr>
            </w:pPr>
            <w:r>
              <w:rPr>
                <w:color w:val="000000"/>
                <w:kern w:val="0"/>
                <w:sz w:val="24"/>
              </w:rPr>
              <w:t>制造业</w:t>
            </w:r>
          </w:p>
        </w:tc>
        <w:tc>
          <w:tcPr>
            <w:tcW w:w="2479" w:type="dxa"/>
            <w:tcBorders>
              <w:top w:val="single" w:sz="8" w:space="0" w:color="000000"/>
              <w:left w:val="single" w:sz="8" w:space="0" w:color="000000"/>
              <w:bottom w:val="single" w:sz="8" w:space="0" w:color="000000"/>
              <w:right w:val="single" w:sz="8" w:space="0" w:color="000000"/>
            </w:tcBorders>
          </w:tcPr>
          <w:p w:rsidR="00783788" w:rsidRDefault="002C6E18">
            <w:pPr>
              <w:adjustRightInd w:val="0"/>
              <w:snapToGrid w:val="0"/>
              <w:spacing w:before="29" w:line="288" w:lineRule="auto"/>
              <w:jc w:val="right"/>
              <w:rPr>
                <w:color w:val="000000"/>
                <w:kern w:val="0"/>
                <w:sz w:val="24"/>
              </w:rPr>
            </w:pPr>
            <w:r>
              <w:rPr>
                <w:color w:val="000000"/>
                <w:kern w:val="0"/>
                <w:sz w:val="24"/>
              </w:rPr>
              <w:t>35,790,154.50</w:t>
            </w:r>
          </w:p>
        </w:tc>
        <w:tc>
          <w:tcPr>
            <w:tcW w:w="2000" w:type="dxa"/>
            <w:tcBorders>
              <w:top w:val="single" w:sz="8" w:space="0" w:color="000000"/>
              <w:left w:val="single" w:sz="8" w:space="0" w:color="000000"/>
              <w:bottom w:val="single" w:sz="8" w:space="0" w:color="000000"/>
              <w:right w:val="single" w:sz="8" w:space="0" w:color="000000"/>
            </w:tcBorders>
          </w:tcPr>
          <w:p w:rsidR="00783788" w:rsidRDefault="002C6E18">
            <w:pPr>
              <w:adjustRightInd w:val="0"/>
              <w:snapToGrid w:val="0"/>
              <w:spacing w:before="29" w:line="288" w:lineRule="auto"/>
              <w:jc w:val="right"/>
              <w:rPr>
                <w:color w:val="000000"/>
                <w:kern w:val="0"/>
                <w:sz w:val="24"/>
              </w:rPr>
            </w:pPr>
            <w:r>
              <w:rPr>
                <w:color w:val="000000"/>
                <w:kern w:val="0"/>
                <w:sz w:val="24"/>
              </w:rPr>
              <w:t>15.93</w:t>
            </w:r>
          </w:p>
        </w:tc>
      </w:tr>
      <w:tr w:rsidR="00783788">
        <w:tc>
          <w:tcPr>
            <w:tcW w:w="961" w:type="dxa"/>
            <w:tcBorders>
              <w:top w:val="single" w:sz="8" w:space="0" w:color="000000"/>
              <w:left w:val="single" w:sz="8" w:space="0" w:color="000000"/>
              <w:bottom w:val="single" w:sz="8" w:space="0" w:color="000000"/>
              <w:right w:val="single" w:sz="8" w:space="0" w:color="000000"/>
            </w:tcBorders>
            <w:vAlign w:val="center"/>
          </w:tcPr>
          <w:p w:rsidR="00783788" w:rsidRDefault="002C6E18">
            <w:pPr>
              <w:adjustRightInd w:val="0"/>
              <w:snapToGrid w:val="0"/>
              <w:spacing w:before="29" w:line="288" w:lineRule="auto"/>
              <w:jc w:val="center"/>
              <w:rPr>
                <w:color w:val="000000"/>
                <w:sz w:val="24"/>
              </w:rPr>
            </w:pPr>
            <w:r>
              <w:rPr>
                <w:color w:val="000000"/>
                <w:sz w:val="24"/>
              </w:rPr>
              <w:t>D</w:t>
            </w:r>
          </w:p>
        </w:tc>
        <w:tc>
          <w:tcPr>
            <w:tcW w:w="3308" w:type="dxa"/>
            <w:tcBorders>
              <w:top w:val="single" w:sz="8" w:space="0" w:color="000000"/>
              <w:left w:val="single" w:sz="8" w:space="0" w:color="000000"/>
              <w:bottom w:val="single" w:sz="8" w:space="0" w:color="000000"/>
              <w:right w:val="single" w:sz="8" w:space="0" w:color="000000"/>
            </w:tcBorders>
            <w:vAlign w:val="center"/>
          </w:tcPr>
          <w:p w:rsidR="00783788" w:rsidRDefault="002C6E18" w:rsidP="00D34C1B">
            <w:pPr>
              <w:adjustRightInd w:val="0"/>
              <w:snapToGrid w:val="0"/>
              <w:spacing w:before="29" w:line="288" w:lineRule="auto"/>
              <w:jc w:val="left"/>
              <w:rPr>
                <w:color w:val="000000"/>
                <w:kern w:val="0"/>
                <w:sz w:val="24"/>
              </w:rPr>
            </w:pPr>
            <w:r>
              <w:rPr>
                <w:color w:val="000000"/>
                <w:kern w:val="0"/>
                <w:sz w:val="24"/>
              </w:rPr>
              <w:t>电力、热力、燃气及水生产和供应业</w:t>
            </w:r>
          </w:p>
        </w:tc>
        <w:tc>
          <w:tcPr>
            <w:tcW w:w="2479" w:type="dxa"/>
            <w:tcBorders>
              <w:top w:val="single" w:sz="8" w:space="0" w:color="000000"/>
              <w:left w:val="single" w:sz="8" w:space="0" w:color="000000"/>
              <w:bottom w:val="single" w:sz="8" w:space="0" w:color="000000"/>
              <w:right w:val="single" w:sz="8" w:space="0" w:color="000000"/>
            </w:tcBorders>
          </w:tcPr>
          <w:p w:rsidR="00783788" w:rsidRDefault="002C6E18">
            <w:pPr>
              <w:adjustRightInd w:val="0"/>
              <w:snapToGrid w:val="0"/>
              <w:spacing w:before="29" w:line="288" w:lineRule="auto"/>
              <w:jc w:val="right"/>
              <w:rPr>
                <w:color w:val="000000"/>
                <w:kern w:val="0"/>
                <w:sz w:val="24"/>
              </w:rPr>
            </w:pPr>
            <w:r>
              <w:rPr>
                <w:color w:val="000000"/>
                <w:kern w:val="0"/>
                <w:sz w:val="24"/>
              </w:rPr>
              <w:t>5,557,500.00</w:t>
            </w:r>
          </w:p>
        </w:tc>
        <w:tc>
          <w:tcPr>
            <w:tcW w:w="2000" w:type="dxa"/>
            <w:tcBorders>
              <w:top w:val="single" w:sz="8" w:space="0" w:color="000000"/>
              <w:left w:val="single" w:sz="8" w:space="0" w:color="000000"/>
              <w:bottom w:val="single" w:sz="8" w:space="0" w:color="000000"/>
              <w:right w:val="single" w:sz="8" w:space="0" w:color="000000"/>
            </w:tcBorders>
          </w:tcPr>
          <w:p w:rsidR="00783788" w:rsidRDefault="002C6E18">
            <w:pPr>
              <w:adjustRightInd w:val="0"/>
              <w:snapToGrid w:val="0"/>
              <w:spacing w:before="29" w:line="288" w:lineRule="auto"/>
              <w:jc w:val="right"/>
              <w:rPr>
                <w:color w:val="000000"/>
                <w:kern w:val="0"/>
                <w:sz w:val="24"/>
              </w:rPr>
            </w:pPr>
            <w:r>
              <w:rPr>
                <w:color w:val="000000"/>
                <w:kern w:val="0"/>
                <w:sz w:val="24"/>
              </w:rPr>
              <w:t>2.47</w:t>
            </w:r>
          </w:p>
        </w:tc>
      </w:tr>
      <w:tr w:rsidR="00783788">
        <w:tc>
          <w:tcPr>
            <w:tcW w:w="961" w:type="dxa"/>
            <w:tcBorders>
              <w:top w:val="single" w:sz="8" w:space="0" w:color="000000"/>
              <w:left w:val="single" w:sz="8" w:space="0" w:color="000000"/>
              <w:bottom w:val="single" w:sz="8" w:space="0" w:color="000000"/>
              <w:right w:val="single" w:sz="8" w:space="0" w:color="000000"/>
            </w:tcBorders>
            <w:vAlign w:val="center"/>
          </w:tcPr>
          <w:p w:rsidR="00783788" w:rsidRDefault="002C6E18">
            <w:pPr>
              <w:adjustRightInd w:val="0"/>
              <w:snapToGrid w:val="0"/>
              <w:spacing w:before="29" w:line="288" w:lineRule="auto"/>
              <w:jc w:val="center"/>
              <w:rPr>
                <w:color w:val="000000"/>
                <w:sz w:val="24"/>
              </w:rPr>
            </w:pPr>
            <w:r>
              <w:rPr>
                <w:color w:val="000000"/>
                <w:sz w:val="24"/>
              </w:rPr>
              <w:t>E</w:t>
            </w:r>
          </w:p>
        </w:tc>
        <w:tc>
          <w:tcPr>
            <w:tcW w:w="3308" w:type="dxa"/>
            <w:tcBorders>
              <w:top w:val="single" w:sz="8" w:space="0" w:color="000000"/>
              <w:left w:val="single" w:sz="8" w:space="0" w:color="000000"/>
              <w:bottom w:val="single" w:sz="8" w:space="0" w:color="000000"/>
              <w:right w:val="single" w:sz="8" w:space="0" w:color="000000"/>
            </w:tcBorders>
            <w:vAlign w:val="center"/>
          </w:tcPr>
          <w:p w:rsidR="00783788" w:rsidRDefault="002C6E18" w:rsidP="00D34C1B">
            <w:pPr>
              <w:adjustRightInd w:val="0"/>
              <w:snapToGrid w:val="0"/>
              <w:spacing w:before="29" w:line="288" w:lineRule="auto"/>
              <w:jc w:val="left"/>
              <w:rPr>
                <w:color w:val="000000"/>
                <w:kern w:val="0"/>
                <w:sz w:val="24"/>
              </w:rPr>
            </w:pPr>
            <w:r>
              <w:rPr>
                <w:color w:val="000000"/>
                <w:kern w:val="0"/>
                <w:sz w:val="24"/>
              </w:rPr>
              <w:t>建筑业</w:t>
            </w:r>
          </w:p>
        </w:tc>
        <w:tc>
          <w:tcPr>
            <w:tcW w:w="2479" w:type="dxa"/>
            <w:tcBorders>
              <w:top w:val="single" w:sz="8" w:space="0" w:color="000000"/>
              <w:left w:val="single" w:sz="8" w:space="0" w:color="000000"/>
              <w:bottom w:val="single" w:sz="8" w:space="0" w:color="000000"/>
              <w:right w:val="single" w:sz="8" w:space="0" w:color="000000"/>
            </w:tcBorders>
          </w:tcPr>
          <w:p w:rsidR="00783788" w:rsidRDefault="002C6E18">
            <w:pPr>
              <w:adjustRightInd w:val="0"/>
              <w:snapToGrid w:val="0"/>
              <w:spacing w:before="29" w:line="288" w:lineRule="auto"/>
              <w:jc w:val="right"/>
              <w:rPr>
                <w:color w:val="000000"/>
                <w:kern w:val="0"/>
                <w:sz w:val="24"/>
              </w:rPr>
            </w:pPr>
            <w:r>
              <w:rPr>
                <w:color w:val="000000"/>
                <w:kern w:val="0"/>
                <w:sz w:val="24"/>
              </w:rPr>
              <w:t>16,416,100.00</w:t>
            </w:r>
          </w:p>
        </w:tc>
        <w:tc>
          <w:tcPr>
            <w:tcW w:w="2000" w:type="dxa"/>
            <w:tcBorders>
              <w:top w:val="single" w:sz="8" w:space="0" w:color="000000"/>
              <w:left w:val="single" w:sz="8" w:space="0" w:color="000000"/>
              <w:bottom w:val="single" w:sz="8" w:space="0" w:color="000000"/>
              <w:right w:val="single" w:sz="8" w:space="0" w:color="000000"/>
            </w:tcBorders>
          </w:tcPr>
          <w:p w:rsidR="00783788" w:rsidRDefault="002C6E18">
            <w:pPr>
              <w:adjustRightInd w:val="0"/>
              <w:snapToGrid w:val="0"/>
              <w:spacing w:before="29" w:line="288" w:lineRule="auto"/>
              <w:jc w:val="right"/>
              <w:rPr>
                <w:color w:val="000000"/>
                <w:kern w:val="0"/>
                <w:sz w:val="24"/>
              </w:rPr>
            </w:pPr>
            <w:r>
              <w:rPr>
                <w:color w:val="000000"/>
                <w:kern w:val="0"/>
                <w:sz w:val="24"/>
              </w:rPr>
              <w:t>7.31</w:t>
            </w:r>
          </w:p>
        </w:tc>
      </w:tr>
      <w:tr w:rsidR="00783788">
        <w:tc>
          <w:tcPr>
            <w:tcW w:w="961" w:type="dxa"/>
            <w:tcBorders>
              <w:top w:val="single" w:sz="8" w:space="0" w:color="000000"/>
              <w:left w:val="single" w:sz="8" w:space="0" w:color="000000"/>
              <w:bottom w:val="single" w:sz="8" w:space="0" w:color="000000"/>
              <w:right w:val="single" w:sz="8" w:space="0" w:color="000000"/>
            </w:tcBorders>
            <w:vAlign w:val="center"/>
          </w:tcPr>
          <w:p w:rsidR="00783788" w:rsidRDefault="002C6E18">
            <w:pPr>
              <w:adjustRightInd w:val="0"/>
              <w:snapToGrid w:val="0"/>
              <w:spacing w:before="29" w:line="288" w:lineRule="auto"/>
              <w:jc w:val="center"/>
              <w:rPr>
                <w:color w:val="000000"/>
                <w:sz w:val="24"/>
              </w:rPr>
            </w:pPr>
            <w:r>
              <w:rPr>
                <w:color w:val="000000"/>
                <w:sz w:val="24"/>
              </w:rPr>
              <w:t>F</w:t>
            </w:r>
          </w:p>
        </w:tc>
        <w:tc>
          <w:tcPr>
            <w:tcW w:w="3308" w:type="dxa"/>
            <w:tcBorders>
              <w:top w:val="single" w:sz="8" w:space="0" w:color="000000"/>
              <w:left w:val="single" w:sz="8" w:space="0" w:color="000000"/>
              <w:bottom w:val="single" w:sz="8" w:space="0" w:color="000000"/>
              <w:right w:val="single" w:sz="8" w:space="0" w:color="000000"/>
            </w:tcBorders>
            <w:vAlign w:val="center"/>
          </w:tcPr>
          <w:p w:rsidR="00783788" w:rsidRDefault="002C6E18" w:rsidP="00D34C1B">
            <w:pPr>
              <w:adjustRightInd w:val="0"/>
              <w:snapToGrid w:val="0"/>
              <w:spacing w:before="29" w:line="288" w:lineRule="auto"/>
              <w:jc w:val="left"/>
              <w:rPr>
                <w:color w:val="000000"/>
                <w:kern w:val="0"/>
                <w:sz w:val="24"/>
              </w:rPr>
            </w:pPr>
            <w:r>
              <w:rPr>
                <w:color w:val="000000"/>
                <w:kern w:val="0"/>
                <w:sz w:val="24"/>
              </w:rPr>
              <w:t>批发和零售业</w:t>
            </w:r>
          </w:p>
        </w:tc>
        <w:tc>
          <w:tcPr>
            <w:tcW w:w="2479" w:type="dxa"/>
            <w:tcBorders>
              <w:top w:val="single" w:sz="8" w:space="0" w:color="000000"/>
              <w:left w:val="single" w:sz="8" w:space="0" w:color="000000"/>
              <w:bottom w:val="single" w:sz="8" w:space="0" w:color="000000"/>
              <w:right w:val="single" w:sz="8" w:space="0" w:color="000000"/>
            </w:tcBorders>
          </w:tcPr>
          <w:p w:rsidR="00783788" w:rsidRDefault="002C6E18">
            <w:pPr>
              <w:adjustRightInd w:val="0"/>
              <w:snapToGrid w:val="0"/>
              <w:spacing w:before="29" w:line="288" w:lineRule="auto"/>
              <w:jc w:val="right"/>
              <w:rPr>
                <w:color w:val="000000"/>
                <w:kern w:val="0"/>
                <w:sz w:val="24"/>
              </w:rPr>
            </w:pPr>
            <w:r>
              <w:rPr>
                <w:color w:val="000000"/>
                <w:kern w:val="0"/>
                <w:sz w:val="24"/>
              </w:rPr>
              <w:t>-</w:t>
            </w:r>
          </w:p>
        </w:tc>
        <w:tc>
          <w:tcPr>
            <w:tcW w:w="2000" w:type="dxa"/>
            <w:tcBorders>
              <w:top w:val="single" w:sz="8" w:space="0" w:color="000000"/>
              <w:left w:val="single" w:sz="8" w:space="0" w:color="000000"/>
              <w:bottom w:val="single" w:sz="8" w:space="0" w:color="000000"/>
              <w:right w:val="single" w:sz="8" w:space="0" w:color="000000"/>
            </w:tcBorders>
          </w:tcPr>
          <w:p w:rsidR="00783788" w:rsidRDefault="002C6E18">
            <w:pPr>
              <w:adjustRightInd w:val="0"/>
              <w:snapToGrid w:val="0"/>
              <w:spacing w:before="29" w:line="288" w:lineRule="auto"/>
              <w:jc w:val="right"/>
              <w:rPr>
                <w:color w:val="000000"/>
                <w:kern w:val="0"/>
                <w:sz w:val="24"/>
              </w:rPr>
            </w:pPr>
            <w:r>
              <w:rPr>
                <w:color w:val="000000"/>
                <w:kern w:val="0"/>
                <w:sz w:val="24"/>
              </w:rPr>
              <w:t>-</w:t>
            </w:r>
          </w:p>
        </w:tc>
      </w:tr>
      <w:tr w:rsidR="00783788">
        <w:tc>
          <w:tcPr>
            <w:tcW w:w="961" w:type="dxa"/>
            <w:tcBorders>
              <w:top w:val="single" w:sz="8" w:space="0" w:color="000000"/>
              <w:left w:val="single" w:sz="8" w:space="0" w:color="000000"/>
              <w:bottom w:val="single" w:sz="8" w:space="0" w:color="000000"/>
              <w:right w:val="single" w:sz="8" w:space="0" w:color="000000"/>
            </w:tcBorders>
            <w:vAlign w:val="center"/>
          </w:tcPr>
          <w:p w:rsidR="00783788" w:rsidRDefault="002C6E18">
            <w:pPr>
              <w:adjustRightInd w:val="0"/>
              <w:snapToGrid w:val="0"/>
              <w:spacing w:before="29" w:line="288" w:lineRule="auto"/>
              <w:jc w:val="center"/>
              <w:rPr>
                <w:color w:val="000000"/>
                <w:sz w:val="24"/>
              </w:rPr>
            </w:pPr>
            <w:r>
              <w:rPr>
                <w:color w:val="000000"/>
                <w:sz w:val="24"/>
              </w:rPr>
              <w:t>G</w:t>
            </w:r>
          </w:p>
        </w:tc>
        <w:tc>
          <w:tcPr>
            <w:tcW w:w="3308" w:type="dxa"/>
            <w:tcBorders>
              <w:top w:val="single" w:sz="8" w:space="0" w:color="000000"/>
              <w:left w:val="single" w:sz="8" w:space="0" w:color="000000"/>
              <w:bottom w:val="single" w:sz="8" w:space="0" w:color="000000"/>
              <w:right w:val="single" w:sz="8" w:space="0" w:color="000000"/>
            </w:tcBorders>
            <w:vAlign w:val="center"/>
          </w:tcPr>
          <w:p w:rsidR="00783788" w:rsidRDefault="002C6E18" w:rsidP="00D34C1B">
            <w:pPr>
              <w:adjustRightInd w:val="0"/>
              <w:snapToGrid w:val="0"/>
              <w:spacing w:before="29" w:line="288" w:lineRule="auto"/>
              <w:jc w:val="left"/>
              <w:rPr>
                <w:color w:val="000000"/>
                <w:kern w:val="0"/>
                <w:sz w:val="24"/>
              </w:rPr>
            </w:pPr>
            <w:r>
              <w:rPr>
                <w:color w:val="000000"/>
                <w:kern w:val="0"/>
                <w:sz w:val="24"/>
              </w:rPr>
              <w:t>交通运输、仓储和邮政业</w:t>
            </w:r>
          </w:p>
        </w:tc>
        <w:tc>
          <w:tcPr>
            <w:tcW w:w="2479" w:type="dxa"/>
            <w:tcBorders>
              <w:top w:val="single" w:sz="8" w:space="0" w:color="000000"/>
              <w:left w:val="single" w:sz="8" w:space="0" w:color="000000"/>
              <w:bottom w:val="single" w:sz="8" w:space="0" w:color="000000"/>
              <w:right w:val="single" w:sz="8" w:space="0" w:color="000000"/>
            </w:tcBorders>
          </w:tcPr>
          <w:p w:rsidR="00783788" w:rsidRDefault="002C6E18">
            <w:pPr>
              <w:adjustRightInd w:val="0"/>
              <w:snapToGrid w:val="0"/>
              <w:spacing w:before="29" w:line="288" w:lineRule="auto"/>
              <w:jc w:val="right"/>
              <w:rPr>
                <w:color w:val="000000"/>
                <w:kern w:val="0"/>
                <w:sz w:val="24"/>
              </w:rPr>
            </w:pPr>
            <w:r>
              <w:rPr>
                <w:color w:val="000000"/>
                <w:kern w:val="0"/>
                <w:sz w:val="24"/>
              </w:rPr>
              <w:t>-</w:t>
            </w:r>
          </w:p>
        </w:tc>
        <w:tc>
          <w:tcPr>
            <w:tcW w:w="2000" w:type="dxa"/>
            <w:tcBorders>
              <w:top w:val="single" w:sz="8" w:space="0" w:color="000000"/>
              <w:left w:val="single" w:sz="8" w:space="0" w:color="000000"/>
              <w:bottom w:val="single" w:sz="8" w:space="0" w:color="000000"/>
              <w:right w:val="single" w:sz="8" w:space="0" w:color="000000"/>
            </w:tcBorders>
          </w:tcPr>
          <w:p w:rsidR="00783788" w:rsidRDefault="002C6E18">
            <w:pPr>
              <w:adjustRightInd w:val="0"/>
              <w:snapToGrid w:val="0"/>
              <w:spacing w:before="29" w:line="288" w:lineRule="auto"/>
              <w:jc w:val="right"/>
              <w:rPr>
                <w:color w:val="000000"/>
                <w:kern w:val="0"/>
                <w:sz w:val="24"/>
              </w:rPr>
            </w:pPr>
            <w:r>
              <w:rPr>
                <w:color w:val="000000"/>
                <w:kern w:val="0"/>
                <w:sz w:val="24"/>
              </w:rPr>
              <w:t>-</w:t>
            </w:r>
          </w:p>
        </w:tc>
      </w:tr>
      <w:tr w:rsidR="00783788">
        <w:tc>
          <w:tcPr>
            <w:tcW w:w="961" w:type="dxa"/>
            <w:tcBorders>
              <w:top w:val="single" w:sz="8" w:space="0" w:color="000000"/>
              <w:left w:val="single" w:sz="8" w:space="0" w:color="000000"/>
              <w:bottom w:val="single" w:sz="8" w:space="0" w:color="000000"/>
              <w:right w:val="single" w:sz="8" w:space="0" w:color="000000"/>
            </w:tcBorders>
            <w:vAlign w:val="center"/>
          </w:tcPr>
          <w:p w:rsidR="00783788" w:rsidRDefault="002C6E18">
            <w:pPr>
              <w:adjustRightInd w:val="0"/>
              <w:snapToGrid w:val="0"/>
              <w:spacing w:before="29" w:line="288" w:lineRule="auto"/>
              <w:jc w:val="center"/>
              <w:rPr>
                <w:color w:val="000000"/>
                <w:sz w:val="24"/>
              </w:rPr>
            </w:pPr>
            <w:r>
              <w:rPr>
                <w:color w:val="000000"/>
                <w:sz w:val="24"/>
              </w:rPr>
              <w:t>H</w:t>
            </w:r>
          </w:p>
        </w:tc>
        <w:tc>
          <w:tcPr>
            <w:tcW w:w="3308" w:type="dxa"/>
            <w:tcBorders>
              <w:top w:val="single" w:sz="8" w:space="0" w:color="000000"/>
              <w:left w:val="single" w:sz="8" w:space="0" w:color="000000"/>
              <w:bottom w:val="single" w:sz="8" w:space="0" w:color="000000"/>
              <w:right w:val="single" w:sz="8" w:space="0" w:color="000000"/>
            </w:tcBorders>
            <w:vAlign w:val="center"/>
          </w:tcPr>
          <w:p w:rsidR="00783788" w:rsidRDefault="002C6E18" w:rsidP="00D34C1B">
            <w:pPr>
              <w:adjustRightInd w:val="0"/>
              <w:snapToGrid w:val="0"/>
              <w:spacing w:before="29" w:line="288" w:lineRule="auto"/>
              <w:jc w:val="left"/>
              <w:rPr>
                <w:color w:val="000000"/>
                <w:kern w:val="0"/>
                <w:sz w:val="24"/>
              </w:rPr>
            </w:pPr>
            <w:r>
              <w:rPr>
                <w:color w:val="000000"/>
                <w:kern w:val="0"/>
                <w:sz w:val="24"/>
              </w:rPr>
              <w:t>住宿和餐饮业</w:t>
            </w:r>
          </w:p>
        </w:tc>
        <w:tc>
          <w:tcPr>
            <w:tcW w:w="2479" w:type="dxa"/>
            <w:tcBorders>
              <w:top w:val="single" w:sz="8" w:space="0" w:color="000000"/>
              <w:left w:val="single" w:sz="8" w:space="0" w:color="000000"/>
              <w:bottom w:val="single" w:sz="8" w:space="0" w:color="000000"/>
              <w:right w:val="single" w:sz="8" w:space="0" w:color="000000"/>
            </w:tcBorders>
          </w:tcPr>
          <w:p w:rsidR="00783788" w:rsidRDefault="002C6E18">
            <w:pPr>
              <w:adjustRightInd w:val="0"/>
              <w:snapToGrid w:val="0"/>
              <w:spacing w:before="29" w:line="288" w:lineRule="auto"/>
              <w:jc w:val="right"/>
              <w:rPr>
                <w:color w:val="000000"/>
                <w:kern w:val="0"/>
                <w:sz w:val="24"/>
              </w:rPr>
            </w:pPr>
            <w:r>
              <w:rPr>
                <w:color w:val="000000"/>
                <w:kern w:val="0"/>
                <w:sz w:val="24"/>
              </w:rPr>
              <w:t>-</w:t>
            </w:r>
          </w:p>
        </w:tc>
        <w:tc>
          <w:tcPr>
            <w:tcW w:w="2000" w:type="dxa"/>
            <w:tcBorders>
              <w:top w:val="single" w:sz="8" w:space="0" w:color="000000"/>
              <w:left w:val="single" w:sz="8" w:space="0" w:color="000000"/>
              <w:bottom w:val="single" w:sz="8" w:space="0" w:color="000000"/>
              <w:right w:val="single" w:sz="8" w:space="0" w:color="000000"/>
            </w:tcBorders>
          </w:tcPr>
          <w:p w:rsidR="00783788" w:rsidRDefault="002C6E18">
            <w:pPr>
              <w:adjustRightInd w:val="0"/>
              <w:snapToGrid w:val="0"/>
              <w:spacing w:before="29" w:line="288" w:lineRule="auto"/>
              <w:jc w:val="right"/>
              <w:rPr>
                <w:color w:val="000000"/>
                <w:kern w:val="0"/>
                <w:sz w:val="24"/>
              </w:rPr>
            </w:pPr>
            <w:r>
              <w:rPr>
                <w:color w:val="000000"/>
                <w:kern w:val="0"/>
                <w:sz w:val="24"/>
              </w:rPr>
              <w:t>-</w:t>
            </w:r>
          </w:p>
        </w:tc>
      </w:tr>
      <w:tr w:rsidR="00783788">
        <w:tc>
          <w:tcPr>
            <w:tcW w:w="961" w:type="dxa"/>
            <w:tcBorders>
              <w:top w:val="single" w:sz="8" w:space="0" w:color="000000"/>
              <w:left w:val="single" w:sz="8" w:space="0" w:color="000000"/>
              <w:bottom w:val="single" w:sz="8" w:space="0" w:color="000000"/>
              <w:right w:val="single" w:sz="8" w:space="0" w:color="000000"/>
            </w:tcBorders>
            <w:vAlign w:val="center"/>
          </w:tcPr>
          <w:p w:rsidR="00783788" w:rsidRDefault="002C6E18">
            <w:pPr>
              <w:adjustRightInd w:val="0"/>
              <w:snapToGrid w:val="0"/>
              <w:spacing w:before="29" w:line="288" w:lineRule="auto"/>
              <w:jc w:val="center"/>
              <w:rPr>
                <w:color w:val="000000"/>
                <w:sz w:val="24"/>
              </w:rPr>
            </w:pPr>
            <w:r>
              <w:rPr>
                <w:color w:val="000000"/>
                <w:sz w:val="24"/>
              </w:rPr>
              <w:t>I</w:t>
            </w:r>
          </w:p>
        </w:tc>
        <w:tc>
          <w:tcPr>
            <w:tcW w:w="3308" w:type="dxa"/>
            <w:tcBorders>
              <w:top w:val="single" w:sz="8" w:space="0" w:color="000000"/>
              <w:left w:val="single" w:sz="8" w:space="0" w:color="000000"/>
              <w:bottom w:val="single" w:sz="8" w:space="0" w:color="000000"/>
              <w:right w:val="single" w:sz="8" w:space="0" w:color="000000"/>
            </w:tcBorders>
            <w:vAlign w:val="center"/>
          </w:tcPr>
          <w:p w:rsidR="00783788" w:rsidRDefault="002C6E18" w:rsidP="00D34C1B">
            <w:pPr>
              <w:adjustRightInd w:val="0"/>
              <w:snapToGrid w:val="0"/>
              <w:spacing w:before="29" w:line="288" w:lineRule="auto"/>
              <w:jc w:val="left"/>
              <w:rPr>
                <w:color w:val="000000"/>
                <w:kern w:val="0"/>
                <w:sz w:val="24"/>
              </w:rPr>
            </w:pPr>
            <w:r>
              <w:rPr>
                <w:color w:val="000000"/>
                <w:kern w:val="0"/>
                <w:sz w:val="24"/>
              </w:rPr>
              <w:t>信息传输、软件和信息技术服务业</w:t>
            </w:r>
          </w:p>
        </w:tc>
        <w:tc>
          <w:tcPr>
            <w:tcW w:w="2479" w:type="dxa"/>
            <w:tcBorders>
              <w:top w:val="single" w:sz="8" w:space="0" w:color="000000"/>
              <w:left w:val="single" w:sz="8" w:space="0" w:color="000000"/>
              <w:bottom w:val="single" w:sz="8" w:space="0" w:color="000000"/>
              <w:right w:val="single" w:sz="8" w:space="0" w:color="000000"/>
            </w:tcBorders>
          </w:tcPr>
          <w:p w:rsidR="00783788" w:rsidRDefault="002C6E18">
            <w:pPr>
              <w:adjustRightInd w:val="0"/>
              <w:snapToGrid w:val="0"/>
              <w:spacing w:before="29" w:line="288" w:lineRule="auto"/>
              <w:jc w:val="right"/>
              <w:rPr>
                <w:color w:val="000000"/>
                <w:kern w:val="0"/>
                <w:sz w:val="24"/>
              </w:rPr>
            </w:pPr>
            <w:r>
              <w:rPr>
                <w:color w:val="000000"/>
                <w:kern w:val="0"/>
                <w:sz w:val="24"/>
              </w:rPr>
              <w:t>16,263,600.00</w:t>
            </w:r>
          </w:p>
        </w:tc>
        <w:tc>
          <w:tcPr>
            <w:tcW w:w="2000" w:type="dxa"/>
            <w:tcBorders>
              <w:top w:val="single" w:sz="8" w:space="0" w:color="000000"/>
              <w:left w:val="single" w:sz="8" w:space="0" w:color="000000"/>
              <w:bottom w:val="single" w:sz="8" w:space="0" w:color="000000"/>
              <w:right w:val="single" w:sz="8" w:space="0" w:color="000000"/>
            </w:tcBorders>
          </w:tcPr>
          <w:p w:rsidR="00783788" w:rsidRDefault="002C6E18">
            <w:pPr>
              <w:adjustRightInd w:val="0"/>
              <w:snapToGrid w:val="0"/>
              <w:spacing w:before="29" w:line="288" w:lineRule="auto"/>
              <w:jc w:val="right"/>
              <w:rPr>
                <w:color w:val="000000"/>
                <w:kern w:val="0"/>
                <w:sz w:val="24"/>
              </w:rPr>
            </w:pPr>
            <w:r>
              <w:rPr>
                <w:color w:val="000000"/>
                <w:kern w:val="0"/>
                <w:sz w:val="24"/>
              </w:rPr>
              <w:t>7.24</w:t>
            </w:r>
          </w:p>
        </w:tc>
      </w:tr>
      <w:tr w:rsidR="00783788">
        <w:tc>
          <w:tcPr>
            <w:tcW w:w="961" w:type="dxa"/>
            <w:tcBorders>
              <w:top w:val="single" w:sz="8" w:space="0" w:color="000000"/>
              <w:left w:val="single" w:sz="8" w:space="0" w:color="000000"/>
              <w:bottom w:val="single" w:sz="8" w:space="0" w:color="000000"/>
              <w:right w:val="single" w:sz="8" w:space="0" w:color="000000"/>
            </w:tcBorders>
            <w:vAlign w:val="center"/>
          </w:tcPr>
          <w:p w:rsidR="00783788" w:rsidRDefault="002C6E18">
            <w:pPr>
              <w:adjustRightInd w:val="0"/>
              <w:snapToGrid w:val="0"/>
              <w:spacing w:before="29" w:line="288" w:lineRule="auto"/>
              <w:jc w:val="center"/>
              <w:rPr>
                <w:color w:val="000000"/>
                <w:sz w:val="24"/>
              </w:rPr>
            </w:pPr>
            <w:r>
              <w:rPr>
                <w:color w:val="000000"/>
                <w:sz w:val="24"/>
              </w:rPr>
              <w:t>J</w:t>
            </w:r>
          </w:p>
        </w:tc>
        <w:tc>
          <w:tcPr>
            <w:tcW w:w="3308" w:type="dxa"/>
            <w:tcBorders>
              <w:top w:val="single" w:sz="8" w:space="0" w:color="000000"/>
              <w:left w:val="single" w:sz="8" w:space="0" w:color="000000"/>
              <w:bottom w:val="single" w:sz="8" w:space="0" w:color="000000"/>
              <w:right w:val="single" w:sz="8" w:space="0" w:color="000000"/>
            </w:tcBorders>
            <w:vAlign w:val="center"/>
          </w:tcPr>
          <w:p w:rsidR="00783788" w:rsidRDefault="002C6E18" w:rsidP="00D34C1B">
            <w:pPr>
              <w:adjustRightInd w:val="0"/>
              <w:snapToGrid w:val="0"/>
              <w:spacing w:before="29" w:line="288" w:lineRule="auto"/>
              <w:jc w:val="left"/>
              <w:rPr>
                <w:color w:val="000000"/>
                <w:kern w:val="0"/>
                <w:sz w:val="24"/>
              </w:rPr>
            </w:pPr>
            <w:r>
              <w:rPr>
                <w:color w:val="000000"/>
                <w:kern w:val="0"/>
                <w:sz w:val="24"/>
              </w:rPr>
              <w:t>金融业</w:t>
            </w:r>
          </w:p>
        </w:tc>
        <w:tc>
          <w:tcPr>
            <w:tcW w:w="2479" w:type="dxa"/>
            <w:tcBorders>
              <w:top w:val="single" w:sz="8" w:space="0" w:color="000000"/>
              <w:left w:val="single" w:sz="8" w:space="0" w:color="000000"/>
              <w:bottom w:val="single" w:sz="8" w:space="0" w:color="000000"/>
              <w:right w:val="single" w:sz="8" w:space="0" w:color="000000"/>
            </w:tcBorders>
          </w:tcPr>
          <w:p w:rsidR="00783788" w:rsidRDefault="002C6E18">
            <w:pPr>
              <w:adjustRightInd w:val="0"/>
              <w:snapToGrid w:val="0"/>
              <w:spacing w:before="29" w:line="288" w:lineRule="auto"/>
              <w:jc w:val="right"/>
              <w:rPr>
                <w:color w:val="000000"/>
                <w:kern w:val="0"/>
                <w:sz w:val="24"/>
              </w:rPr>
            </w:pPr>
            <w:r>
              <w:rPr>
                <w:color w:val="000000"/>
                <w:kern w:val="0"/>
                <w:sz w:val="24"/>
              </w:rPr>
              <w:t>55,481,100.00</w:t>
            </w:r>
          </w:p>
        </w:tc>
        <w:tc>
          <w:tcPr>
            <w:tcW w:w="2000" w:type="dxa"/>
            <w:tcBorders>
              <w:top w:val="single" w:sz="8" w:space="0" w:color="000000"/>
              <w:left w:val="single" w:sz="8" w:space="0" w:color="000000"/>
              <w:bottom w:val="single" w:sz="8" w:space="0" w:color="000000"/>
              <w:right w:val="single" w:sz="8" w:space="0" w:color="000000"/>
            </w:tcBorders>
          </w:tcPr>
          <w:p w:rsidR="00783788" w:rsidRDefault="002C6E18">
            <w:pPr>
              <w:adjustRightInd w:val="0"/>
              <w:snapToGrid w:val="0"/>
              <w:spacing w:before="29" w:line="288" w:lineRule="auto"/>
              <w:jc w:val="right"/>
              <w:rPr>
                <w:color w:val="000000"/>
                <w:kern w:val="0"/>
                <w:sz w:val="24"/>
              </w:rPr>
            </w:pPr>
            <w:r>
              <w:rPr>
                <w:color w:val="000000"/>
                <w:kern w:val="0"/>
                <w:sz w:val="24"/>
              </w:rPr>
              <w:t>24.69</w:t>
            </w:r>
          </w:p>
        </w:tc>
      </w:tr>
      <w:tr w:rsidR="00783788">
        <w:tc>
          <w:tcPr>
            <w:tcW w:w="961" w:type="dxa"/>
            <w:tcBorders>
              <w:top w:val="single" w:sz="8" w:space="0" w:color="000000"/>
              <w:left w:val="single" w:sz="8" w:space="0" w:color="000000"/>
              <w:bottom w:val="single" w:sz="8" w:space="0" w:color="000000"/>
              <w:right w:val="single" w:sz="8" w:space="0" w:color="000000"/>
            </w:tcBorders>
            <w:vAlign w:val="center"/>
          </w:tcPr>
          <w:p w:rsidR="00783788" w:rsidRDefault="002C6E18">
            <w:pPr>
              <w:adjustRightInd w:val="0"/>
              <w:snapToGrid w:val="0"/>
              <w:spacing w:before="29" w:line="288" w:lineRule="auto"/>
              <w:jc w:val="center"/>
              <w:rPr>
                <w:color w:val="000000"/>
                <w:sz w:val="24"/>
              </w:rPr>
            </w:pPr>
            <w:r>
              <w:rPr>
                <w:color w:val="000000"/>
                <w:sz w:val="24"/>
              </w:rPr>
              <w:t>K</w:t>
            </w:r>
          </w:p>
        </w:tc>
        <w:tc>
          <w:tcPr>
            <w:tcW w:w="3308" w:type="dxa"/>
            <w:tcBorders>
              <w:top w:val="single" w:sz="8" w:space="0" w:color="000000"/>
              <w:left w:val="single" w:sz="8" w:space="0" w:color="000000"/>
              <w:bottom w:val="single" w:sz="8" w:space="0" w:color="000000"/>
              <w:right w:val="single" w:sz="8" w:space="0" w:color="000000"/>
            </w:tcBorders>
            <w:vAlign w:val="center"/>
          </w:tcPr>
          <w:p w:rsidR="00783788" w:rsidRDefault="002C6E18" w:rsidP="00D34C1B">
            <w:pPr>
              <w:adjustRightInd w:val="0"/>
              <w:snapToGrid w:val="0"/>
              <w:spacing w:before="29" w:line="288" w:lineRule="auto"/>
              <w:jc w:val="left"/>
              <w:rPr>
                <w:color w:val="000000"/>
                <w:kern w:val="0"/>
                <w:sz w:val="24"/>
              </w:rPr>
            </w:pPr>
            <w:r>
              <w:rPr>
                <w:color w:val="000000"/>
                <w:kern w:val="0"/>
                <w:sz w:val="24"/>
              </w:rPr>
              <w:t>房地产业</w:t>
            </w:r>
          </w:p>
        </w:tc>
        <w:tc>
          <w:tcPr>
            <w:tcW w:w="2479" w:type="dxa"/>
            <w:tcBorders>
              <w:top w:val="single" w:sz="8" w:space="0" w:color="000000"/>
              <w:left w:val="single" w:sz="8" w:space="0" w:color="000000"/>
              <w:bottom w:val="single" w:sz="8" w:space="0" w:color="000000"/>
              <w:right w:val="single" w:sz="8" w:space="0" w:color="000000"/>
            </w:tcBorders>
          </w:tcPr>
          <w:p w:rsidR="00783788" w:rsidRDefault="002C6E18">
            <w:pPr>
              <w:adjustRightInd w:val="0"/>
              <w:snapToGrid w:val="0"/>
              <w:spacing w:before="29" w:line="288" w:lineRule="auto"/>
              <w:jc w:val="right"/>
              <w:rPr>
                <w:color w:val="000000"/>
                <w:kern w:val="0"/>
                <w:sz w:val="24"/>
              </w:rPr>
            </w:pPr>
            <w:r>
              <w:rPr>
                <w:color w:val="000000"/>
                <w:kern w:val="0"/>
                <w:sz w:val="24"/>
              </w:rPr>
              <w:t>9,857,050.00</w:t>
            </w:r>
          </w:p>
        </w:tc>
        <w:tc>
          <w:tcPr>
            <w:tcW w:w="2000" w:type="dxa"/>
            <w:tcBorders>
              <w:top w:val="single" w:sz="8" w:space="0" w:color="000000"/>
              <w:left w:val="single" w:sz="8" w:space="0" w:color="000000"/>
              <w:bottom w:val="single" w:sz="8" w:space="0" w:color="000000"/>
              <w:right w:val="single" w:sz="8" w:space="0" w:color="000000"/>
            </w:tcBorders>
          </w:tcPr>
          <w:p w:rsidR="00783788" w:rsidRDefault="002C6E18">
            <w:pPr>
              <w:adjustRightInd w:val="0"/>
              <w:snapToGrid w:val="0"/>
              <w:spacing w:before="29" w:line="288" w:lineRule="auto"/>
              <w:jc w:val="right"/>
              <w:rPr>
                <w:color w:val="000000"/>
                <w:kern w:val="0"/>
                <w:sz w:val="24"/>
              </w:rPr>
            </w:pPr>
            <w:r>
              <w:rPr>
                <w:color w:val="000000"/>
                <w:kern w:val="0"/>
                <w:sz w:val="24"/>
              </w:rPr>
              <w:t>4.39</w:t>
            </w:r>
          </w:p>
        </w:tc>
      </w:tr>
      <w:tr w:rsidR="00783788">
        <w:tc>
          <w:tcPr>
            <w:tcW w:w="961" w:type="dxa"/>
            <w:tcBorders>
              <w:top w:val="single" w:sz="8" w:space="0" w:color="000000"/>
              <w:left w:val="single" w:sz="8" w:space="0" w:color="000000"/>
              <w:bottom w:val="single" w:sz="8" w:space="0" w:color="000000"/>
              <w:right w:val="single" w:sz="8" w:space="0" w:color="000000"/>
            </w:tcBorders>
            <w:vAlign w:val="center"/>
          </w:tcPr>
          <w:p w:rsidR="00783788" w:rsidRDefault="002C6E18">
            <w:pPr>
              <w:adjustRightInd w:val="0"/>
              <w:snapToGrid w:val="0"/>
              <w:spacing w:before="29" w:line="288" w:lineRule="auto"/>
              <w:jc w:val="center"/>
              <w:rPr>
                <w:color w:val="000000"/>
                <w:sz w:val="24"/>
              </w:rPr>
            </w:pPr>
            <w:r>
              <w:rPr>
                <w:color w:val="000000"/>
                <w:sz w:val="24"/>
              </w:rPr>
              <w:t>L</w:t>
            </w:r>
          </w:p>
        </w:tc>
        <w:tc>
          <w:tcPr>
            <w:tcW w:w="3308" w:type="dxa"/>
            <w:tcBorders>
              <w:top w:val="single" w:sz="8" w:space="0" w:color="000000"/>
              <w:left w:val="single" w:sz="8" w:space="0" w:color="000000"/>
              <w:bottom w:val="single" w:sz="8" w:space="0" w:color="000000"/>
              <w:right w:val="single" w:sz="8" w:space="0" w:color="000000"/>
            </w:tcBorders>
            <w:vAlign w:val="center"/>
          </w:tcPr>
          <w:p w:rsidR="00783788" w:rsidRDefault="002C6E18" w:rsidP="00D34C1B">
            <w:pPr>
              <w:adjustRightInd w:val="0"/>
              <w:snapToGrid w:val="0"/>
              <w:spacing w:before="29" w:line="288" w:lineRule="auto"/>
              <w:jc w:val="left"/>
              <w:rPr>
                <w:color w:val="000000"/>
                <w:kern w:val="0"/>
                <w:sz w:val="24"/>
              </w:rPr>
            </w:pPr>
            <w:r>
              <w:rPr>
                <w:color w:val="000000"/>
                <w:kern w:val="0"/>
                <w:sz w:val="24"/>
              </w:rPr>
              <w:t>租赁和商务服务业</w:t>
            </w:r>
          </w:p>
        </w:tc>
        <w:tc>
          <w:tcPr>
            <w:tcW w:w="2479" w:type="dxa"/>
            <w:tcBorders>
              <w:top w:val="single" w:sz="8" w:space="0" w:color="000000"/>
              <w:left w:val="single" w:sz="8" w:space="0" w:color="000000"/>
              <w:bottom w:val="single" w:sz="8" w:space="0" w:color="000000"/>
              <w:right w:val="single" w:sz="8" w:space="0" w:color="000000"/>
            </w:tcBorders>
          </w:tcPr>
          <w:p w:rsidR="00783788" w:rsidRDefault="002C6E18">
            <w:pPr>
              <w:adjustRightInd w:val="0"/>
              <w:snapToGrid w:val="0"/>
              <w:spacing w:before="29" w:line="288" w:lineRule="auto"/>
              <w:jc w:val="right"/>
              <w:rPr>
                <w:color w:val="000000"/>
                <w:kern w:val="0"/>
                <w:sz w:val="24"/>
              </w:rPr>
            </w:pPr>
            <w:r>
              <w:rPr>
                <w:color w:val="000000"/>
                <w:kern w:val="0"/>
                <w:sz w:val="24"/>
              </w:rPr>
              <w:t>-</w:t>
            </w:r>
          </w:p>
        </w:tc>
        <w:tc>
          <w:tcPr>
            <w:tcW w:w="2000" w:type="dxa"/>
            <w:tcBorders>
              <w:top w:val="single" w:sz="8" w:space="0" w:color="000000"/>
              <w:left w:val="single" w:sz="8" w:space="0" w:color="000000"/>
              <w:bottom w:val="single" w:sz="8" w:space="0" w:color="000000"/>
              <w:right w:val="single" w:sz="8" w:space="0" w:color="000000"/>
            </w:tcBorders>
          </w:tcPr>
          <w:p w:rsidR="00783788" w:rsidRDefault="002C6E18">
            <w:pPr>
              <w:adjustRightInd w:val="0"/>
              <w:snapToGrid w:val="0"/>
              <w:spacing w:before="29" w:line="288" w:lineRule="auto"/>
              <w:jc w:val="right"/>
              <w:rPr>
                <w:color w:val="000000"/>
                <w:kern w:val="0"/>
                <w:sz w:val="24"/>
              </w:rPr>
            </w:pPr>
            <w:r>
              <w:rPr>
                <w:color w:val="000000"/>
                <w:kern w:val="0"/>
                <w:sz w:val="24"/>
              </w:rPr>
              <w:t>-</w:t>
            </w:r>
          </w:p>
        </w:tc>
      </w:tr>
      <w:tr w:rsidR="00783788">
        <w:tc>
          <w:tcPr>
            <w:tcW w:w="961" w:type="dxa"/>
            <w:tcBorders>
              <w:top w:val="single" w:sz="8" w:space="0" w:color="000000"/>
              <w:left w:val="single" w:sz="8" w:space="0" w:color="000000"/>
              <w:bottom w:val="single" w:sz="8" w:space="0" w:color="000000"/>
              <w:right w:val="single" w:sz="8" w:space="0" w:color="000000"/>
            </w:tcBorders>
            <w:vAlign w:val="center"/>
          </w:tcPr>
          <w:p w:rsidR="00783788" w:rsidRDefault="002C6E18">
            <w:pPr>
              <w:adjustRightInd w:val="0"/>
              <w:snapToGrid w:val="0"/>
              <w:spacing w:before="29" w:line="288" w:lineRule="auto"/>
              <w:jc w:val="center"/>
              <w:rPr>
                <w:color w:val="000000"/>
                <w:sz w:val="24"/>
              </w:rPr>
            </w:pPr>
            <w:r>
              <w:rPr>
                <w:color w:val="000000"/>
                <w:sz w:val="24"/>
              </w:rPr>
              <w:t>M</w:t>
            </w:r>
          </w:p>
        </w:tc>
        <w:tc>
          <w:tcPr>
            <w:tcW w:w="3308" w:type="dxa"/>
            <w:tcBorders>
              <w:top w:val="single" w:sz="8" w:space="0" w:color="000000"/>
              <w:left w:val="single" w:sz="8" w:space="0" w:color="000000"/>
              <w:bottom w:val="single" w:sz="8" w:space="0" w:color="000000"/>
              <w:right w:val="single" w:sz="8" w:space="0" w:color="000000"/>
            </w:tcBorders>
            <w:vAlign w:val="center"/>
          </w:tcPr>
          <w:p w:rsidR="00783788" w:rsidRDefault="002C6E18" w:rsidP="00D34C1B">
            <w:pPr>
              <w:adjustRightInd w:val="0"/>
              <w:snapToGrid w:val="0"/>
              <w:spacing w:before="29" w:line="288" w:lineRule="auto"/>
              <w:jc w:val="left"/>
              <w:rPr>
                <w:color w:val="000000"/>
                <w:kern w:val="0"/>
                <w:sz w:val="24"/>
              </w:rPr>
            </w:pPr>
            <w:r>
              <w:rPr>
                <w:color w:val="000000"/>
                <w:kern w:val="0"/>
                <w:sz w:val="24"/>
              </w:rPr>
              <w:t>科学研究和技术服务业</w:t>
            </w:r>
          </w:p>
        </w:tc>
        <w:tc>
          <w:tcPr>
            <w:tcW w:w="2479" w:type="dxa"/>
            <w:tcBorders>
              <w:top w:val="single" w:sz="8" w:space="0" w:color="000000"/>
              <w:left w:val="single" w:sz="8" w:space="0" w:color="000000"/>
              <w:bottom w:val="single" w:sz="8" w:space="0" w:color="000000"/>
              <w:right w:val="single" w:sz="8" w:space="0" w:color="000000"/>
            </w:tcBorders>
          </w:tcPr>
          <w:p w:rsidR="00783788" w:rsidRDefault="002C6E18">
            <w:pPr>
              <w:adjustRightInd w:val="0"/>
              <w:snapToGrid w:val="0"/>
              <w:spacing w:before="29" w:line="288" w:lineRule="auto"/>
              <w:jc w:val="right"/>
              <w:rPr>
                <w:color w:val="000000"/>
                <w:kern w:val="0"/>
                <w:sz w:val="24"/>
              </w:rPr>
            </w:pPr>
            <w:r>
              <w:rPr>
                <w:color w:val="000000"/>
                <w:kern w:val="0"/>
                <w:sz w:val="24"/>
              </w:rPr>
              <w:t>-</w:t>
            </w:r>
          </w:p>
        </w:tc>
        <w:tc>
          <w:tcPr>
            <w:tcW w:w="2000" w:type="dxa"/>
            <w:tcBorders>
              <w:top w:val="single" w:sz="8" w:space="0" w:color="000000"/>
              <w:left w:val="single" w:sz="8" w:space="0" w:color="000000"/>
              <w:bottom w:val="single" w:sz="8" w:space="0" w:color="000000"/>
              <w:right w:val="single" w:sz="8" w:space="0" w:color="000000"/>
            </w:tcBorders>
          </w:tcPr>
          <w:p w:rsidR="00783788" w:rsidRDefault="002C6E18">
            <w:pPr>
              <w:adjustRightInd w:val="0"/>
              <w:snapToGrid w:val="0"/>
              <w:spacing w:before="29" w:line="288" w:lineRule="auto"/>
              <w:jc w:val="right"/>
              <w:rPr>
                <w:color w:val="000000"/>
                <w:kern w:val="0"/>
                <w:sz w:val="24"/>
              </w:rPr>
            </w:pPr>
            <w:r>
              <w:rPr>
                <w:color w:val="000000"/>
                <w:kern w:val="0"/>
                <w:sz w:val="24"/>
              </w:rPr>
              <w:t>-</w:t>
            </w:r>
          </w:p>
        </w:tc>
      </w:tr>
      <w:tr w:rsidR="00783788">
        <w:tc>
          <w:tcPr>
            <w:tcW w:w="961" w:type="dxa"/>
            <w:tcBorders>
              <w:top w:val="single" w:sz="8" w:space="0" w:color="000000"/>
              <w:left w:val="single" w:sz="8" w:space="0" w:color="000000"/>
              <w:bottom w:val="single" w:sz="8" w:space="0" w:color="000000"/>
              <w:right w:val="single" w:sz="8" w:space="0" w:color="000000"/>
            </w:tcBorders>
            <w:vAlign w:val="center"/>
          </w:tcPr>
          <w:p w:rsidR="00783788" w:rsidRDefault="002C6E18">
            <w:pPr>
              <w:adjustRightInd w:val="0"/>
              <w:snapToGrid w:val="0"/>
              <w:spacing w:before="29" w:line="288" w:lineRule="auto"/>
              <w:jc w:val="center"/>
              <w:rPr>
                <w:color w:val="000000"/>
                <w:sz w:val="24"/>
              </w:rPr>
            </w:pPr>
            <w:r>
              <w:rPr>
                <w:color w:val="000000"/>
                <w:sz w:val="24"/>
              </w:rPr>
              <w:t>N</w:t>
            </w:r>
          </w:p>
        </w:tc>
        <w:tc>
          <w:tcPr>
            <w:tcW w:w="3308" w:type="dxa"/>
            <w:tcBorders>
              <w:top w:val="single" w:sz="8" w:space="0" w:color="000000"/>
              <w:left w:val="single" w:sz="8" w:space="0" w:color="000000"/>
              <w:bottom w:val="single" w:sz="8" w:space="0" w:color="000000"/>
              <w:right w:val="single" w:sz="8" w:space="0" w:color="000000"/>
            </w:tcBorders>
            <w:vAlign w:val="center"/>
          </w:tcPr>
          <w:p w:rsidR="00783788" w:rsidRDefault="002C6E18" w:rsidP="00D34C1B">
            <w:pPr>
              <w:adjustRightInd w:val="0"/>
              <w:snapToGrid w:val="0"/>
              <w:spacing w:before="29" w:line="288" w:lineRule="auto"/>
              <w:jc w:val="left"/>
              <w:rPr>
                <w:color w:val="000000"/>
                <w:kern w:val="0"/>
                <w:sz w:val="24"/>
              </w:rPr>
            </w:pPr>
            <w:r>
              <w:rPr>
                <w:color w:val="000000"/>
                <w:kern w:val="0"/>
                <w:sz w:val="24"/>
              </w:rPr>
              <w:t>水利、环境和公共设施管理业</w:t>
            </w:r>
          </w:p>
        </w:tc>
        <w:tc>
          <w:tcPr>
            <w:tcW w:w="2479" w:type="dxa"/>
            <w:tcBorders>
              <w:top w:val="single" w:sz="8" w:space="0" w:color="000000"/>
              <w:left w:val="single" w:sz="8" w:space="0" w:color="000000"/>
              <w:bottom w:val="single" w:sz="8" w:space="0" w:color="000000"/>
              <w:right w:val="single" w:sz="8" w:space="0" w:color="000000"/>
            </w:tcBorders>
          </w:tcPr>
          <w:p w:rsidR="00783788" w:rsidRDefault="002C6E18">
            <w:pPr>
              <w:adjustRightInd w:val="0"/>
              <w:snapToGrid w:val="0"/>
              <w:spacing w:before="29" w:line="288" w:lineRule="auto"/>
              <w:jc w:val="right"/>
              <w:rPr>
                <w:color w:val="000000"/>
                <w:kern w:val="0"/>
                <w:sz w:val="24"/>
              </w:rPr>
            </w:pPr>
            <w:r>
              <w:rPr>
                <w:color w:val="000000"/>
                <w:kern w:val="0"/>
                <w:sz w:val="24"/>
              </w:rPr>
              <w:t>4,950,000.00</w:t>
            </w:r>
          </w:p>
        </w:tc>
        <w:tc>
          <w:tcPr>
            <w:tcW w:w="2000" w:type="dxa"/>
            <w:tcBorders>
              <w:top w:val="single" w:sz="8" w:space="0" w:color="000000"/>
              <w:left w:val="single" w:sz="8" w:space="0" w:color="000000"/>
              <w:bottom w:val="single" w:sz="8" w:space="0" w:color="000000"/>
              <w:right w:val="single" w:sz="8" w:space="0" w:color="000000"/>
            </w:tcBorders>
          </w:tcPr>
          <w:p w:rsidR="00783788" w:rsidRDefault="002C6E18">
            <w:pPr>
              <w:adjustRightInd w:val="0"/>
              <w:snapToGrid w:val="0"/>
              <w:spacing w:before="29" w:line="288" w:lineRule="auto"/>
              <w:jc w:val="right"/>
              <w:rPr>
                <w:color w:val="000000"/>
                <w:kern w:val="0"/>
                <w:sz w:val="24"/>
              </w:rPr>
            </w:pPr>
            <w:r>
              <w:rPr>
                <w:color w:val="000000"/>
                <w:kern w:val="0"/>
                <w:sz w:val="24"/>
              </w:rPr>
              <w:t>2.20</w:t>
            </w:r>
          </w:p>
        </w:tc>
      </w:tr>
      <w:tr w:rsidR="00783788">
        <w:tc>
          <w:tcPr>
            <w:tcW w:w="961" w:type="dxa"/>
            <w:tcBorders>
              <w:top w:val="single" w:sz="8" w:space="0" w:color="000000"/>
              <w:left w:val="single" w:sz="8" w:space="0" w:color="000000"/>
              <w:bottom w:val="single" w:sz="8" w:space="0" w:color="000000"/>
              <w:right w:val="single" w:sz="8" w:space="0" w:color="000000"/>
            </w:tcBorders>
            <w:vAlign w:val="center"/>
          </w:tcPr>
          <w:p w:rsidR="00783788" w:rsidRDefault="002C6E18">
            <w:pPr>
              <w:adjustRightInd w:val="0"/>
              <w:snapToGrid w:val="0"/>
              <w:spacing w:before="29" w:line="288" w:lineRule="auto"/>
              <w:jc w:val="center"/>
              <w:rPr>
                <w:color w:val="000000"/>
                <w:sz w:val="24"/>
              </w:rPr>
            </w:pPr>
            <w:r>
              <w:rPr>
                <w:color w:val="000000"/>
                <w:sz w:val="24"/>
              </w:rPr>
              <w:t>O</w:t>
            </w:r>
          </w:p>
        </w:tc>
        <w:tc>
          <w:tcPr>
            <w:tcW w:w="3308" w:type="dxa"/>
            <w:tcBorders>
              <w:top w:val="single" w:sz="8" w:space="0" w:color="000000"/>
              <w:left w:val="single" w:sz="8" w:space="0" w:color="000000"/>
              <w:bottom w:val="single" w:sz="8" w:space="0" w:color="000000"/>
              <w:right w:val="single" w:sz="8" w:space="0" w:color="000000"/>
            </w:tcBorders>
            <w:vAlign w:val="center"/>
          </w:tcPr>
          <w:p w:rsidR="00783788" w:rsidRDefault="002C6E18" w:rsidP="00D34C1B">
            <w:pPr>
              <w:adjustRightInd w:val="0"/>
              <w:snapToGrid w:val="0"/>
              <w:spacing w:before="29" w:line="288" w:lineRule="auto"/>
              <w:jc w:val="left"/>
              <w:rPr>
                <w:color w:val="000000"/>
                <w:kern w:val="0"/>
                <w:sz w:val="24"/>
              </w:rPr>
            </w:pPr>
            <w:r>
              <w:rPr>
                <w:color w:val="000000"/>
                <w:kern w:val="0"/>
                <w:sz w:val="24"/>
              </w:rPr>
              <w:t>居民服务、修理和其他服务业</w:t>
            </w:r>
          </w:p>
        </w:tc>
        <w:tc>
          <w:tcPr>
            <w:tcW w:w="2479" w:type="dxa"/>
            <w:tcBorders>
              <w:top w:val="single" w:sz="8" w:space="0" w:color="000000"/>
              <w:left w:val="single" w:sz="8" w:space="0" w:color="000000"/>
              <w:bottom w:val="single" w:sz="8" w:space="0" w:color="000000"/>
              <w:right w:val="single" w:sz="8" w:space="0" w:color="000000"/>
            </w:tcBorders>
          </w:tcPr>
          <w:p w:rsidR="00783788" w:rsidRDefault="002C6E18">
            <w:pPr>
              <w:adjustRightInd w:val="0"/>
              <w:snapToGrid w:val="0"/>
              <w:spacing w:before="29" w:line="288" w:lineRule="auto"/>
              <w:jc w:val="right"/>
              <w:rPr>
                <w:color w:val="000000"/>
                <w:kern w:val="0"/>
                <w:sz w:val="24"/>
              </w:rPr>
            </w:pPr>
            <w:r>
              <w:rPr>
                <w:color w:val="000000"/>
                <w:kern w:val="0"/>
                <w:sz w:val="24"/>
              </w:rPr>
              <w:t>-</w:t>
            </w:r>
          </w:p>
        </w:tc>
        <w:tc>
          <w:tcPr>
            <w:tcW w:w="2000" w:type="dxa"/>
            <w:tcBorders>
              <w:top w:val="single" w:sz="8" w:space="0" w:color="000000"/>
              <w:left w:val="single" w:sz="8" w:space="0" w:color="000000"/>
              <w:bottom w:val="single" w:sz="8" w:space="0" w:color="000000"/>
              <w:right w:val="single" w:sz="8" w:space="0" w:color="000000"/>
            </w:tcBorders>
          </w:tcPr>
          <w:p w:rsidR="00783788" w:rsidRDefault="002C6E18">
            <w:pPr>
              <w:adjustRightInd w:val="0"/>
              <w:snapToGrid w:val="0"/>
              <w:spacing w:before="29" w:line="288" w:lineRule="auto"/>
              <w:jc w:val="right"/>
              <w:rPr>
                <w:color w:val="000000"/>
                <w:kern w:val="0"/>
                <w:sz w:val="24"/>
              </w:rPr>
            </w:pPr>
            <w:r>
              <w:rPr>
                <w:color w:val="000000"/>
                <w:kern w:val="0"/>
                <w:sz w:val="24"/>
              </w:rPr>
              <w:t>-</w:t>
            </w:r>
          </w:p>
        </w:tc>
      </w:tr>
      <w:tr w:rsidR="00783788">
        <w:tc>
          <w:tcPr>
            <w:tcW w:w="961" w:type="dxa"/>
            <w:tcBorders>
              <w:top w:val="single" w:sz="8" w:space="0" w:color="000000"/>
              <w:left w:val="single" w:sz="8" w:space="0" w:color="000000"/>
              <w:bottom w:val="single" w:sz="8" w:space="0" w:color="000000"/>
              <w:right w:val="single" w:sz="8" w:space="0" w:color="000000"/>
            </w:tcBorders>
            <w:vAlign w:val="center"/>
          </w:tcPr>
          <w:p w:rsidR="00783788" w:rsidRDefault="002C6E18">
            <w:pPr>
              <w:adjustRightInd w:val="0"/>
              <w:snapToGrid w:val="0"/>
              <w:spacing w:before="29" w:line="288" w:lineRule="auto"/>
              <w:jc w:val="center"/>
              <w:rPr>
                <w:color w:val="000000"/>
                <w:sz w:val="24"/>
              </w:rPr>
            </w:pPr>
            <w:r>
              <w:rPr>
                <w:color w:val="000000"/>
                <w:sz w:val="24"/>
              </w:rPr>
              <w:t>P</w:t>
            </w:r>
          </w:p>
        </w:tc>
        <w:tc>
          <w:tcPr>
            <w:tcW w:w="3308" w:type="dxa"/>
            <w:tcBorders>
              <w:top w:val="single" w:sz="8" w:space="0" w:color="000000"/>
              <w:left w:val="single" w:sz="8" w:space="0" w:color="000000"/>
              <w:bottom w:val="single" w:sz="8" w:space="0" w:color="000000"/>
              <w:right w:val="single" w:sz="8" w:space="0" w:color="000000"/>
            </w:tcBorders>
            <w:vAlign w:val="center"/>
          </w:tcPr>
          <w:p w:rsidR="00783788" w:rsidRDefault="002C6E18" w:rsidP="00D34C1B">
            <w:pPr>
              <w:adjustRightInd w:val="0"/>
              <w:snapToGrid w:val="0"/>
              <w:spacing w:before="29" w:line="288" w:lineRule="auto"/>
              <w:jc w:val="left"/>
              <w:rPr>
                <w:color w:val="000000"/>
                <w:kern w:val="0"/>
                <w:sz w:val="24"/>
              </w:rPr>
            </w:pPr>
            <w:r>
              <w:rPr>
                <w:color w:val="000000"/>
                <w:kern w:val="0"/>
                <w:sz w:val="24"/>
              </w:rPr>
              <w:t>教育</w:t>
            </w:r>
          </w:p>
        </w:tc>
        <w:tc>
          <w:tcPr>
            <w:tcW w:w="2479" w:type="dxa"/>
            <w:tcBorders>
              <w:top w:val="single" w:sz="8" w:space="0" w:color="000000"/>
              <w:left w:val="single" w:sz="8" w:space="0" w:color="000000"/>
              <w:bottom w:val="single" w:sz="8" w:space="0" w:color="000000"/>
              <w:right w:val="single" w:sz="8" w:space="0" w:color="000000"/>
            </w:tcBorders>
          </w:tcPr>
          <w:p w:rsidR="00783788" w:rsidRDefault="002C6E18">
            <w:pPr>
              <w:adjustRightInd w:val="0"/>
              <w:snapToGrid w:val="0"/>
              <w:spacing w:before="29" w:line="288" w:lineRule="auto"/>
              <w:jc w:val="right"/>
              <w:rPr>
                <w:color w:val="000000"/>
                <w:kern w:val="0"/>
                <w:sz w:val="24"/>
              </w:rPr>
            </w:pPr>
            <w:r>
              <w:rPr>
                <w:color w:val="000000"/>
                <w:kern w:val="0"/>
                <w:sz w:val="24"/>
              </w:rPr>
              <w:t>-</w:t>
            </w:r>
          </w:p>
        </w:tc>
        <w:tc>
          <w:tcPr>
            <w:tcW w:w="2000" w:type="dxa"/>
            <w:tcBorders>
              <w:top w:val="single" w:sz="8" w:space="0" w:color="000000"/>
              <w:left w:val="single" w:sz="8" w:space="0" w:color="000000"/>
              <w:bottom w:val="single" w:sz="8" w:space="0" w:color="000000"/>
              <w:right w:val="single" w:sz="8" w:space="0" w:color="000000"/>
            </w:tcBorders>
          </w:tcPr>
          <w:p w:rsidR="00783788" w:rsidRDefault="002C6E18">
            <w:pPr>
              <w:adjustRightInd w:val="0"/>
              <w:snapToGrid w:val="0"/>
              <w:spacing w:before="29" w:line="288" w:lineRule="auto"/>
              <w:jc w:val="right"/>
              <w:rPr>
                <w:color w:val="000000"/>
                <w:kern w:val="0"/>
                <w:sz w:val="24"/>
              </w:rPr>
            </w:pPr>
            <w:r>
              <w:rPr>
                <w:color w:val="000000"/>
                <w:kern w:val="0"/>
                <w:sz w:val="24"/>
              </w:rPr>
              <w:t>-</w:t>
            </w:r>
          </w:p>
        </w:tc>
      </w:tr>
      <w:tr w:rsidR="00783788">
        <w:tc>
          <w:tcPr>
            <w:tcW w:w="961" w:type="dxa"/>
            <w:tcBorders>
              <w:top w:val="single" w:sz="8" w:space="0" w:color="000000"/>
              <w:left w:val="single" w:sz="8" w:space="0" w:color="000000"/>
              <w:bottom w:val="single" w:sz="8" w:space="0" w:color="000000"/>
              <w:right w:val="single" w:sz="8" w:space="0" w:color="000000"/>
            </w:tcBorders>
            <w:vAlign w:val="center"/>
          </w:tcPr>
          <w:p w:rsidR="00783788" w:rsidRDefault="002C6E18">
            <w:pPr>
              <w:adjustRightInd w:val="0"/>
              <w:snapToGrid w:val="0"/>
              <w:spacing w:before="29" w:line="288" w:lineRule="auto"/>
              <w:jc w:val="center"/>
              <w:rPr>
                <w:color w:val="000000"/>
                <w:sz w:val="24"/>
              </w:rPr>
            </w:pPr>
            <w:r>
              <w:rPr>
                <w:color w:val="000000"/>
                <w:sz w:val="24"/>
              </w:rPr>
              <w:t>Q</w:t>
            </w:r>
          </w:p>
        </w:tc>
        <w:tc>
          <w:tcPr>
            <w:tcW w:w="3308" w:type="dxa"/>
            <w:tcBorders>
              <w:top w:val="single" w:sz="8" w:space="0" w:color="000000"/>
              <w:left w:val="single" w:sz="8" w:space="0" w:color="000000"/>
              <w:bottom w:val="single" w:sz="8" w:space="0" w:color="000000"/>
              <w:right w:val="single" w:sz="8" w:space="0" w:color="000000"/>
            </w:tcBorders>
            <w:vAlign w:val="center"/>
          </w:tcPr>
          <w:p w:rsidR="00783788" w:rsidRDefault="002C6E18" w:rsidP="00D34C1B">
            <w:pPr>
              <w:adjustRightInd w:val="0"/>
              <w:snapToGrid w:val="0"/>
              <w:spacing w:before="29" w:line="288" w:lineRule="auto"/>
              <w:jc w:val="left"/>
              <w:rPr>
                <w:color w:val="000000"/>
                <w:kern w:val="0"/>
                <w:sz w:val="24"/>
              </w:rPr>
            </w:pPr>
            <w:r>
              <w:rPr>
                <w:color w:val="000000"/>
                <w:kern w:val="0"/>
                <w:sz w:val="24"/>
              </w:rPr>
              <w:t>卫生和社会工作</w:t>
            </w:r>
          </w:p>
        </w:tc>
        <w:tc>
          <w:tcPr>
            <w:tcW w:w="2479" w:type="dxa"/>
            <w:tcBorders>
              <w:top w:val="single" w:sz="8" w:space="0" w:color="000000"/>
              <w:left w:val="single" w:sz="8" w:space="0" w:color="000000"/>
              <w:bottom w:val="single" w:sz="8" w:space="0" w:color="000000"/>
              <w:right w:val="single" w:sz="8" w:space="0" w:color="000000"/>
            </w:tcBorders>
          </w:tcPr>
          <w:p w:rsidR="00783788" w:rsidRDefault="002C6E18">
            <w:pPr>
              <w:adjustRightInd w:val="0"/>
              <w:snapToGrid w:val="0"/>
              <w:spacing w:before="29" w:line="288" w:lineRule="auto"/>
              <w:jc w:val="right"/>
              <w:rPr>
                <w:color w:val="000000"/>
                <w:kern w:val="0"/>
                <w:sz w:val="24"/>
              </w:rPr>
            </w:pPr>
            <w:r>
              <w:rPr>
                <w:color w:val="000000"/>
                <w:kern w:val="0"/>
                <w:sz w:val="24"/>
              </w:rPr>
              <w:t>3,675,000.00</w:t>
            </w:r>
          </w:p>
        </w:tc>
        <w:tc>
          <w:tcPr>
            <w:tcW w:w="2000" w:type="dxa"/>
            <w:tcBorders>
              <w:top w:val="single" w:sz="8" w:space="0" w:color="000000"/>
              <w:left w:val="single" w:sz="8" w:space="0" w:color="000000"/>
              <w:bottom w:val="single" w:sz="8" w:space="0" w:color="000000"/>
              <w:right w:val="single" w:sz="8" w:space="0" w:color="000000"/>
            </w:tcBorders>
          </w:tcPr>
          <w:p w:rsidR="00783788" w:rsidRDefault="002C6E18">
            <w:pPr>
              <w:adjustRightInd w:val="0"/>
              <w:snapToGrid w:val="0"/>
              <w:spacing w:before="29" w:line="288" w:lineRule="auto"/>
              <w:jc w:val="right"/>
              <w:rPr>
                <w:color w:val="000000"/>
                <w:kern w:val="0"/>
                <w:sz w:val="24"/>
              </w:rPr>
            </w:pPr>
            <w:r>
              <w:rPr>
                <w:color w:val="000000"/>
                <w:kern w:val="0"/>
                <w:sz w:val="24"/>
              </w:rPr>
              <w:t>1.64</w:t>
            </w:r>
          </w:p>
        </w:tc>
      </w:tr>
      <w:tr w:rsidR="00783788">
        <w:tc>
          <w:tcPr>
            <w:tcW w:w="961" w:type="dxa"/>
            <w:tcBorders>
              <w:top w:val="single" w:sz="8" w:space="0" w:color="000000"/>
              <w:left w:val="single" w:sz="8" w:space="0" w:color="000000"/>
              <w:bottom w:val="single" w:sz="8" w:space="0" w:color="000000"/>
              <w:right w:val="single" w:sz="8" w:space="0" w:color="000000"/>
            </w:tcBorders>
            <w:vAlign w:val="center"/>
          </w:tcPr>
          <w:p w:rsidR="00783788" w:rsidRDefault="002C6E18">
            <w:pPr>
              <w:adjustRightInd w:val="0"/>
              <w:snapToGrid w:val="0"/>
              <w:spacing w:before="29" w:line="288" w:lineRule="auto"/>
              <w:jc w:val="center"/>
              <w:rPr>
                <w:color w:val="000000"/>
                <w:sz w:val="24"/>
              </w:rPr>
            </w:pPr>
            <w:r>
              <w:rPr>
                <w:color w:val="000000"/>
                <w:sz w:val="24"/>
              </w:rPr>
              <w:t>R</w:t>
            </w:r>
          </w:p>
        </w:tc>
        <w:tc>
          <w:tcPr>
            <w:tcW w:w="3308" w:type="dxa"/>
            <w:tcBorders>
              <w:top w:val="single" w:sz="8" w:space="0" w:color="000000"/>
              <w:left w:val="single" w:sz="8" w:space="0" w:color="000000"/>
              <w:bottom w:val="single" w:sz="8" w:space="0" w:color="000000"/>
              <w:right w:val="single" w:sz="8" w:space="0" w:color="000000"/>
            </w:tcBorders>
            <w:vAlign w:val="center"/>
          </w:tcPr>
          <w:p w:rsidR="00783788" w:rsidRDefault="002C6E18" w:rsidP="00D34C1B">
            <w:pPr>
              <w:adjustRightInd w:val="0"/>
              <w:snapToGrid w:val="0"/>
              <w:spacing w:before="29" w:line="288" w:lineRule="auto"/>
              <w:jc w:val="left"/>
              <w:rPr>
                <w:color w:val="000000"/>
                <w:kern w:val="0"/>
                <w:sz w:val="24"/>
              </w:rPr>
            </w:pPr>
            <w:r>
              <w:rPr>
                <w:color w:val="000000"/>
                <w:kern w:val="0"/>
                <w:sz w:val="24"/>
              </w:rPr>
              <w:t>文化、体育和娱乐业</w:t>
            </w:r>
          </w:p>
        </w:tc>
        <w:tc>
          <w:tcPr>
            <w:tcW w:w="2479" w:type="dxa"/>
            <w:tcBorders>
              <w:top w:val="single" w:sz="8" w:space="0" w:color="000000"/>
              <w:left w:val="single" w:sz="8" w:space="0" w:color="000000"/>
              <w:bottom w:val="single" w:sz="8" w:space="0" w:color="000000"/>
              <w:right w:val="single" w:sz="8" w:space="0" w:color="000000"/>
            </w:tcBorders>
          </w:tcPr>
          <w:p w:rsidR="00783788" w:rsidRDefault="002C6E18">
            <w:pPr>
              <w:adjustRightInd w:val="0"/>
              <w:snapToGrid w:val="0"/>
              <w:spacing w:before="29" w:line="288" w:lineRule="auto"/>
              <w:jc w:val="right"/>
              <w:rPr>
                <w:color w:val="000000"/>
                <w:kern w:val="0"/>
                <w:sz w:val="24"/>
              </w:rPr>
            </w:pPr>
            <w:r>
              <w:rPr>
                <w:color w:val="000000"/>
                <w:kern w:val="0"/>
                <w:sz w:val="24"/>
              </w:rPr>
              <w:t>-</w:t>
            </w:r>
          </w:p>
        </w:tc>
        <w:tc>
          <w:tcPr>
            <w:tcW w:w="2000" w:type="dxa"/>
            <w:tcBorders>
              <w:top w:val="single" w:sz="8" w:space="0" w:color="000000"/>
              <w:left w:val="single" w:sz="8" w:space="0" w:color="000000"/>
              <w:bottom w:val="single" w:sz="8" w:space="0" w:color="000000"/>
              <w:right w:val="single" w:sz="8" w:space="0" w:color="000000"/>
            </w:tcBorders>
          </w:tcPr>
          <w:p w:rsidR="00783788" w:rsidRDefault="002C6E18">
            <w:pPr>
              <w:adjustRightInd w:val="0"/>
              <w:snapToGrid w:val="0"/>
              <w:spacing w:before="29" w:line="288" w:lineRule="auto"/>
              <w:jc w:val="right"/>
              <w:rPr>
                <w:color w:val="000000"/>
                <w:kern w:val="0"/>
                <w:sz w:val="24"/>
              </w:rPr>
            </w:pPr>
            <w:r>
              <w:rPr>
                <w:color w:val="000000"/>
                <w:kern w:val="0"/>
                <w:sz w:val="24"/>
              </w:rPr>
              <w:t>-</w:t>
            </w:r>
          </w:p>
        </w:tc>
      </w:tr>
      <w:tr w:rsidR="00783788">
        <w:tc>
          <w:tcPr>
            <w:tcW w:w="961" w:type="dxa"/>
            <w:tcBorders>
              <w:top w:val="single" w:sz="8" w:space="0" w:color="000000"/>
              <w:left w:val="single" w:sz="8" w:space="0" w:color="000000"/>
              <w:bottom w:val="single" w:sz="8" w:space="0" w:color="000000"/>
              <w:right w:val="single" w:sz="8" w:space="0" w:color="000000"/>
            </w:tcBorders>
            <w:vAlign w:val="center"/>
          </w:tcPr>
          <w:p w:rsidR="00783788" w:rsidRDefault="002C6E18">
            <w:pPr>
              <w:adjustRightInd w:val="0"/>
              <w:snapToGrid w:val="0"/>
              <w:spacing w:before="29" w:line="288" w:lineRule="auto"/>
              <w:jc w:val="center"/>
              <w:rPr>
                <w:color w:val="000000"/>
                <w:sz w:val="24"/>
              </w:rPr>
            </w:pPr>
            <w:r>
              <w:rPr>
                <w:color w:val="000000"/>
                <w:sz w:val="24"/>
              </w:rPr>
              <w:t>S</w:t>
            </w:r>
          </w:p>
        </w:tc>
        <w:tc>
          <w:tcPr>
            <w:tcW w:w="3308" w:type="dxa"/>
            <w:tcBorders>
              <w:top w:val="single" w:sz="8" w:space="0" w:color="000000"/>
              <w:left w:val="single" w:sz="8" w:space="0" w:color="000000"/>
              <w:bottom w:val="single" w:sz="8" w:space="0" w:color="000000"/>
              <w:right w:val="single" w:sz="8" w:space="0" w:color="000000"/>
            </w:tcBorders>
            <w:vAlign w:val="center"/>
          </w:tcPr>
          <w:p w:rsidR="00783788" w:rsidRDefault="002C6E18" w:rsidP="00D34C1B">
            <w:pPr>
              <w:adjustRightInd w:val="0"/>
              <w:snapToGrid w:val="0"/>
              <w:spacing w:before="29" w:line="288" w:lineRule="auto"/>
              <w:jc w:val="left"/>
              <w:rPr>
                <w:color w:val="000000"/>
                <w:kern w:val="0"/>
                <w:sz w:val="24"/>
              </w:rPr>
            </w:pPr>
            <w:r>
              <w:rPr>
                <w:color w:val="000000"/>
                <w:kern w:val="0"/>
                <w:sz w:val="24"/>
              </w:rPr>
              <w:t>综合</w:t>
            </w:r>
          </w:p>
        </w:tc>
        <w:tc>
          <w:tcPr>
            <w:tcW w:w="2479" w:type="dxa"/>
            <w:tcBorders>
              <w:top w:val="single" w:sz="8" w:space="0" w:color="000000"/>
              <w:left w:val="single" w:sz="8" w:space="0" w:color="000000"/>
              <w:bottom w:val="single" w:sz="8" w:space="0" w:color="000000"/>
              <w:right w:val="single" w:sz="8" w:space="0" w:color="000000"/>
            </w:tcBorders>
          </w:tcPr>
          <w:p w:rsidR="00783788" w:rsidRDefault="002C6E18">
            <w:pPr>
              <w:adjustRightInd w:val="0"/>
              <w:snapToGrid w:val="0"/>
              <w:spacing w:before="29" w:line="288" w:lineRule="auto"/>
              <w:jc w:val="right"/>
              <w:rPr>
                <w:color w:val="000000"/>
                <w:kern w:val="0"/>
                <w:sz w:val="24"/>
              </w:rPr>
            </w:pPr>
            <w:r>
              <w:rPr>
                <w:color w:val="000000"/>
                <w:kern w:val="0"/>
                <w:sz w:val="24"/>
              </w:rPr>
              <w:t>4,444,710.66</w:t>
            </w:r>
          </w:p>
        </w:tc>
        <w:tc>
          <w:tcPr>
            <w:tcW w:w="2000" w:type="dxa"/>
            <w:tcBorders>
              <w:top w:val="single" w:sz="8" w:space="0" w:color="000000"/>
              <w:left w:val="single" w:sz="8" w:space="0" w:color="000000"/>
              <w:bottom w:val="single" w:sz="8" w:space="0" w:color="000000"/>
              <w:right w:val="single" w:sz="8" w:space="0" w:color="000000"/>
            </w:tcBorders>
          </w:tcPr>
          <w:p w:rsidR="00783788" w:rsidRDefault="002C6E18">
            <w:pPr>
              <w:adjustRightInd w:val="0"/>
              <w:snapToGrid w:val="0"/>
              <w:spacing w:before="29" w:line="288" w:lineRule="auto"/>
              <w:jc w:val="right"/>
              <w:rPr>
                <w:color w:val="000000"/>
                <w:kern w:val="0"/>
                <w:sz w:val="24"/>
              </w:rPr>
            </w:pPr>
            <w:r>
              <w:rPr>
                <w:color w:val="000000"/>
                <w:kern w:val="0"/>
                <w:sz w:val="24"/>
              </w:rPr>
              <w:t>1.98</w:t>
            </w:r>
          </w:p>
        </w:tc>
      </w:tr>
      <w:tr w:rsidR="00783788">
        <w:tc>
          <w:tcPr>
            <w:tcW w:w="961" w:type="dxa"/>
            <w:tcBorders>
              <w:top w:val="single" w:sz="8" w:space="0" w:color="000000"/>
              <w:left w:val="single" w:sz="8" w:space="0" w:color="000000"/>
              <w:bottom w:val="single" w:sz="8" w:space="0" w:color="000000"/>
              <w:right w:val="single" w:sz="8" w:space="0" w:color="000000"/>
            </w:tcBorders>
            <w:vAlign w:val="center"/>
          </w:tcPr>
          <w:p w:rsidR="00783788" w:rsidRDefault="00783788">
            <w:pPr>
              <w:adjustRightInd w:val="0"/>
              <w:snapToGrid w:val="0"/>
              <w:spacing w:before="29" w:line="288" w:lineRule="auto"/>
              <w:jc w:val="center"/>
              <w:rPr>
                <w:color w:val="000000"/>
                <w:sz w:val="24"/>
              </w:rPr>
            </w:pPr>
          </w:p>
        </w:tc>
        <w:tc>
          <w:tcPr>
            <w:tcW w:w="3308" w:type="dxa"/>
            <w:tcBorders>
              <w:top w:val="single" w:sz="8" w:space="0" w:color="000000"/>
              <w:left w:val="single" w:sz="8" w:space="0" w:color="000000"/>
              <w:bottom w:val="single" w:sz="8" w:space="0" w:color="000000"/>
              <w:right w:val="single" w:sz="8" w:space="0" w:color="000000"/>
            </w:tcBorders>
            <w:vAlign w:val="center"/>
          </w:tcPr>
          <w:p w:rsidR="00783788" w:rsidRDefault="002C6E18">
            <w:pPr>
              <w:adjustRightInd w:val="0"/>
              <w:snapToGrid w:val="0"/>
              <w:spacing w:before="29" w:line="288" w:lineRule="auto"/>
              <w:jc w:val="center"/>
              <w:rPr>
                <w:color w:val="000000"/>
                <w:kern w:val="0"/>
                <w:sz w:val="24"/>
              </w:rPr>
            </w:pPr>
            <w:r>
              <w:rPr>
                <w:color w:val="000000"/>
                <w:kern w:val="0"/>
                <w:sz w:val="24"/>
              </w:rPr>
              <w:t>合计</w:t>
            </w:r>
          </w:p>
        </w:tc>
        <w:tc>
          <w:tcPr>
            <w:tcW w:w="2479" w:type="dxa"/>
            <w:tcBorders>
              <w:top w:val="single" w:sz="8" w:space="0" w:color="000000"/>
              <w:left w:val="single" w:sz="8" w:space="0" w:color="000000"/>
              <w:bottom w:val="single" w:sz="8" w:space="0" w:color="000000"/>
              <w:right w:val="single" w:sz="8" w:space="0" w:color="000000"/>
            </w:tcBorders>
          </w:tcPr>
          <w:p w:rsidR="00783788" w:rsidRDefault="002C6E18">
            <w:pPr>
              <w:adjustRightInd w:val="0"/>
              <w:snapToGrid w:val="0"/>
              <w:spacing w:before="29" w:line="288" w:lineRule="auto"/>
              <w:jc w:val="right"/>
              <w:rPr>
                <w:color w:val="000000"/>
                <w:kern w:val="0"/>
                <w:sz w:val="24"/>
              </w:rPr>
            </w:pPr>
            <w:r>
              <w:rPr>
                <w:color w:val="000000"/>
                <w:kern w:val="0"/>
                <w:sz w:val="24"/>
              </w:rPr>
              <w:t>152,435,215.16</w:t>
            </w:r>
          </w:p>
        </w:tc>
        <w:tc>
          <w:tcPr>
            <w:tcW w:w="2000" w:type="dxa"/>
            <w:tcBorders>
              <w:top w:val="single" w:sz="8" w:space="0" w:color="000000"/>
              <w:left w:val="single" w:sz="8" w:space="0" w:color="000000"/>
              <w:bottom w:val="single" w:sz="8" w:space="0" w:color="000000"/>
              <w:right w:val="single" w:sz="8" w:space="0" w:color="000000"/>
            </w:tcBorders>
          </w:tcPr>
          <w:p w:rsidR="00783788" w:rsidRDefault="002C6E18">
            <w:pPr>
              <w:adjustRightInd w:val="0"/>
              <w:snapToGrid w:val="0"/>
              <w:spacing w:before="29" w:line="288" w:lineRule="auto"/>
              <w:jc w:val="right"/>
              <w:rPr>
                <w:color w:val="000000"/>
                <w:kern w:val="0"/>
                <w:sz w:val="24"/>
              </w:rPr>
            </w:pPr>
            <w:r>
              <w:rPr>
                <w:color w:val="000000"/>
                <w:kern w:val="0"/>
                <w:sz w:val="24"/>
              </w:rPr>
              <w:t>67.84</w:t>
            </w:r>
          </w:p>
        </w:tc>
      </w:tr>
    </w:tbl>
    <w:p w:rsidR="00783788" w:rsidRDefault="00783788">
      <w:pPr>
        <w:spacing w:line="360" w:lineRule="auto"/>
        <w:ind w:firstLineChars="200" w:firstLine="480"/>
        <w:rPr>
          <w:sz w:val="24"/>
        </w:rPr>
      </w:pPr>
    </w:p>
    <w:p w:rsidR="00783788" w:rsidRDefault="002C6E18">
      <w:pPr>
        <w:spacing w:line="360" w:lineRule="auto"/>
        <w:ind w:firstLineChars="200" w:firstLine="480"/>
        <w:rPr>
          <w:sz w:val="24"/>
        </w:rPr>
      </w:pPr>
      <w:r>
        <w:rPr>
          <w:sz w:val="24"/>
        </w:rPr>
        <w:t>3</w:t>
      </w:r>
      <w:r>
        <w:rPr>
          <w:rFonts w:hint="eastAsia"/>
          <w:sz w:val="24"/>
        </w:rPr>
        <w:t>、</w:t>
      </w:r>
      <w:r>
        <w:rPr>
          <w:sz w:val="24"/>
        </w:rPr>
        <w:t>报告期末按公允价值占基金资产净值比例大小排序的前十名股票投资明细</w:t>
      </w:r>
    </w:p>
    <w:tbl>
      <w:tblPr>
        <w:tblW w:w="8748" w:type="dxa"/>
        <w:tblInd w:w="108" w:type="dxa"/>
        <w:tblLayout w:type="fixed"/>
        <w:tblLook w:val="04A0" w:firstRow="1" w:lastRow="0" w:firstColumn="1" w:lastColumn="0" w:noHBand="0" w:noVBand="1"/>
      </w:tblPr>
      <w:tblGrid>
        <w:gridCol w:w="905"/>
        <w:gridCol w:w="1385"/>
        <w:gridCol w:w="1338"/>
        <w:gridCol w:w="1735"/>
        <w:gridCol w:w="1784"/>
        <w:gridCol w:w="1601"/>
      </w:tblGrid>
      <w:tr w:rsidR="00783788">
        <w:tc>
          <w:tcPr>
            <w:tcW w:w="905" w:type="dxa"/>
            <w:tcBorders>
              <w:top w:val="single" w:sz="8" w:space="0" w:color="000000"/>
              <w:left w:val="single" w:sz="8" w:space="0" w:color="000000"/>
              <w:bottom w:val="single" w:sz="8" w:space="0" w:color="000000"/>
              <w:right w:val="single" w:sz="8" w:space="0" w:color="000000"/>
            </w:tcBorders>
          </w:tcPr>
          <w:p w:rsidR="00783788" w:rsidRDefault="002C6E18">
            <w:pPr>
              <w:spacing w:before="29" w:line="288" w:lineRule="auto"/>
              <w:ind w:left="17"/>
              <w:jc w:val="center"/>
              <w:rPr>
                <w:color w:val="000000"/>
                <w:sz w:val="24"/>
              </w:rPr>
            </w:pPr>
            <w:r>
              <w:rPr>
                <w:color w:val="000000"/>
                <w:sz w:val="24"/>
              </w:rPr>
              <w:t>序号</w:t>
            </w:r>
          </w:p>
        </w:tc>
        <w:tc>
          <w:tcPr>
            <w:tcW w:w="1385" w:type="dxa"/>
            <w:tcBorders>
              <w:top w:val="single" w:sz="8" w:space="0" w:color="000000"/>
              <w:left w:val="single" w:sz="8" w:space="0" w:color="000000"/>
              <w:bottom w:val="single" w:sz="8" w:space="0" w:color="000000"/>
              <w:right w:val="single" w:sz="8" w:space="0" w:color="000000"/>
            </w:tcBorders>
          </w:tcPr>
          <w:p w:rsidR="00783788" w:rsidRDefault="002C6E18">
            <w:pPr>
              <w:spacing w:before="29" w:line="288" w:lineRule="auto"/>
              <w:ind w:left="17"/>
              <w:jc w:val="center"/>
              <w:rPr>
                <w:color w:val="000000"/>
                <w:kern w:val="0"/>
                <w:sz w:val="24"/>
              </w:rPr>
            </w:pPr>
            <w:r>
              <w:rPr>
                <w:color w:val="000000"/>
                <w:kern w:val="0"/>
                <w:sz w:val="24"/>
              </w:rPr>
              <w:t>股票代码</w:t>
            </w:r>
          </w:p>
        </w:tc>
        <w:tc>
          <w:tcPr>
            <w:tcW w:w="1338" w:type="dxa"/>
            <w:tcBorders>
              <w:top w:val="single" w:sz="8" w:space="0" w:color="000000"/>
              <w:left w:val="single" w:sz="8" w:space="0" w:color="000000"/>
              <w:bottom w:val="single" w:sz="8" w:space="0" w:color="000000"/>
              <w:right w:val="single" w:sz="8" w:space="0" w:color="000000"/>
            </w:tcBorders>
          </w:tcPr>
          <w:p w:rsidR="00783788" w:rsidRDefault="002C6E18">
            <w:pPr>
              <w:spacing w:before="29" w:line="288" w:lineRule="auto"/>
              <w:ind w:left="17"/>
              <w:jc w:val="center"/>
              <w:rPr>
                <w:color w:val="000000"/>
                <w:kern w:val="0"/>
                <w:sz w:val="24"/>
              </w:rPr>
            </w:pPr>
            <w:r>
              <w:rPr>
                <w:color w:val="000000"/>
                <w:kern w:val="0"/>
                <w:sz w:val="24"/>
              </w:rPr>
              <w:t>股票名称</w:t>
            </w:r>
          </w:p>
        </w:tc>
        <w:tc>
          <w:tcPr>
            <w:tcW w:w="1735" w:type="dxa"/>
            <w:tcBorders>
              <w:top w:val="single" w:sz="8" w:space="0" w:color="000000"/>
              <w:left w:val="single" w:sz="8" w:space="0" w:color="000000"/>
              <w:bottom w:val="single" w:sz="8" w:space="0" w:color="000000"/>
              <w:right w:val="single" w:sz="8" w:space="0" w:color="000000"/>
            </w:tcBorders>
          </w:tcPr>
          <w:p w:rsidR="00783788" w:rsidRDefault="002C6E18">
            <w:pPr>
              <w:spacing w:before="29" w:line="288" w:lineRule="auto"/>
              <w:ind w:left="17"/>
              <w:jc w:val="center"/>
              <w:rPr>
                <w:color w:val="000000"/>
                <w:kern w:val="0"/>
                <w:sz w:val="24"/>
              </w:rPr>
            </w:pPr>
            <w:r>
              <w:rPr>
                <w:color w:val="000000"/>
                <w:kern w:val="0"/>
                <w:sz w:val="24"/>
              </w:rPr>
              <w:t>数量（股）</w:t>
            </w:r>
          </w:p>
        </w:tc>
        <w:tc>
          <w:tcPr>
            <w:tcW w:w="1784" w:type="dxa"/>
            <w:tcBorders>
              <w:top w:val="single" w:sz="8" w:space="0" w:color="000000"/>
              <w:left w:val="single" w:sz="8" w:space="0" w:color="000000"/>
              <w:bottom w:val="single" w:sz="8" w:space="0" w:color="000000"/>
              <w:right w:val="single" w:sz="8" w:space="0" w:color="000000"/>
            </w:tcBorders>
          </w:tcPr>
          <w:p w:rsidR="00783788" w:rsidRDefault="002C6E18">
            <w:pPr>
              <w:spacing w:before="29" w:line="288" w:lineRule="auto"/>
              <w:ind w:left="17"/>
              <w:jc w:val="center"/>
              <w:rPr>
                <w:color w:val="000000"/>
                <w:kern w:val="0"/>
                <w:sz w:val="24"/>
              </w:rPr>
            </w:pPr>
            <w:r>
              <w:rPr>
                <w:color w:val="000000"/>
                <w:kern w:val="0"/>
                <w:sz w:val="24"/>
              </w:rPr>
              <w:t>公允价值</w:t>
            </w:r>
            <w:r>
              <w:rPr>
                <w:color w:val="000000"/>
                <w:kern w:val="0"/>
                <w:sz w:val="24"/>
              </w:rPr>
              <w:t>(</w:t>
            </w:r>
            <w:r>
              <w:rPr>
                <w:color w:val="000000"/>
                <w:kern w:val="0"/>
                <w:sz w:val="24"/>
              </w:rPr>
              <w:t>元</w:t>
            </w:r>
            <w:r>
              <w:rPr>
                <w:color w:val="000000"/>
                <w:kern w:val="0"/>
                <w:sz w:val="24"/>
              </w:rPr>
              <w:t>)</w:t>
            </w:r>
          </w:p>
        </w:tc>
        <w:tc>
          <w:tcPr>
            <w:tcW w:w="1601" w:type="dxa"/>
            <w:tcBorders>
              <w:top w:val="single" w:sz="8" w:space="0" w:color="000000"/>
              <w:left w:val="single" w:sz="8" w:space="0" w:color="000000"/>
              <w:bottom w:val="single" w:sz="8" w:space="0" w:color="000000"/>
              <w:right w:val="single" w:sz="8" w:space="0" w:color="000000"/>
            </w:tcBorders>
          </w:tcPr>
          <w:p w:rsidR="00783788" w:rsidRDefault="002C6E18">
            <w:pPr>
              <w:spacing w:before="29" w:line="288" w:lineRule="auto"/>
              <w:ind w:left="17"/>
              <w:jc w:val="center"/>
              <w:rPr>
                <w:color w:val="000000"/>
                <w:kern w:val="0"/>
                <w:sz w:val="24"/>
              </w:rPr>
            </w:pPr>
            <w:r>
              <w:rPr>
                <w:color w:val="000000"/>
                <w:kern w:val="0"/>
                <w:sz w:val="24"/>
              </w:rPr>
              <w:t>占基金资产净值比例（％）</w:t>
            </w:r>
          </w:p>
        </w:tc>
      </w:tr>
      <w:tr w:rsidR="00783788">
        <w:tc>
          <w:tcPr>
            <w:tcW w:w="905" w:type="dxa"/>
            <w:tcBorders>
              <w:top w:val="single" w:sz="8" w:space="0" w:color="000000"/>
              <w:left w:val="single" w:sz="8" w:space="0" w:color="000000"/>
              <w:bottom w:val="single" w:sz="8" w:space="0" w:color="000000"/>
              <w:right w:val="single" w:sz="8" w:space="0" w:color="000000"/>
            </w:tcBorders>
          </w:tcPr>
          <w:p w:rsidR="00783788" w:rsidRDefault="002C6E18">
            <w:pPr>
              <w:spacing w:before="29" w:line="288" w:lineRule="auto"/>
              <w:ind w:left="17"/>
              <w:jc w:val="center"/>
              <w:rPr>
                <w:color w:val="000000"/>
                <w:sz w:val="24"/>
              </w:rPr>
            </w:pPr>
            <w:r>
              <w:rPr>
                <w:color w:val="000000"/>
                <w:sz w:val="24"/>
              </w:rPr>
              <w:t>1</w:t>
            </w:r>
          </w:p>
        </w:tc>
        <w:tc>
          <w:tcPr>
            <w:tcW w:w="1385" w:type="dxa"/>
            <w:tcBorders>
              <w:top w:val="single" w:sz="8" w:space="0" w:color="000000"/>
              <w:left w:val="single" w:sz="8" w:space="0" w:color="000000"/>
              <w:bottom w:val="single" w:sz="8" w:space="0" w:color="000000"/>
              <w:right w:val="single" w:sz="8" w:space="0" w:color="000000"/>
            </w:tcBorders>
          </w:tcPr>
          <w:p w:rsidR="00783788" w:rsidRDefault="002C6E18">
            <w:pPr>
              <w:spacing w:before="29" w:line="288" w:lineRule="auto"/>
              <w:ind w:left="17"/>
              <w:jc w:val="center"/>
              <w:rPr>
                <w:color w:val="000000"/>
                <w:kern w:val="0"/>
                <w:sz w:val="24"/>
              </w:rPr>
            </w:pPr>
            <w:r>
              <w:rPr>
                <w:color w:val="000000"/>
                <w:kern w:val="0"/>
                <w:sz w:val="24"/>
              </w:rPr>
              <w:t>601318</w:t>
            </w:r>
          </w:p>
        </w:tc>
        <w:tc>
          <w:tcPr>
            <w:tcW w:w="1338" w:type="dxa"/>
            <w:tcBorders>
              <w:top w:val="single" w:sz="8" w:space="0" w:color="000000"/>
              <w:left w:val="single" w:sz="8" w:space="0" w:color="000000"/>
              <w:bottom w:val="single" w:sz="8" w:space="0" w:color="000000"/>
              <w:right w:val="single" w:sz="8" w:space="0" w:color="000000"/>
            </w:tcBorders>
          </w:tcPr>
          <w:p w:rsidR="00783788" w:rsidRDefault="002C6E18">
            <w:pPr>
              <w:spacing w:before="29" w:line="288" w:lineRule="auto"/>
              <w:ind w:left="17"/>
              <w:jc w:val="center"/>
              <w:rPr>
                <w:color w:val="000000"/>
                <w:kern w:val="0"/>
                <w:sz w:val="24"/>
              </w:rPr>
            </w:pPr>
            <w:r>
              <w:rPr>
                <w:color w:val="000000"/>
                <w:kern w:val="0"/>
                <w:sz w:val="24"/>
              </w:rPr>
              <w:t>中国平安</w:t>
            </w:r>
          </w:p>
        </w:tc>
        <w:tc>
          <w:tcPr>
            <w:tcW w:w="1735" w:type="dxa"/>
            <w:tcBorders>
              <w:top w:val="single" w:sz="8" w:space="0" w:color="000000"/>
              <w:left w:val="single" w:sz="8" w:space="0" w:color="000000"/>
              <w:bottom w:val="single" w:sz="8" w:space="0" w:color="000000"/>
              <w:right w:val="single" w:sz="8" w:space="0" w:color="000000"/>
            </w:tcBorders>
          </w:tcPr>
          <w:p w:rsidR="00783788" w:rsidRDefault="002C6E18">
            <w:pPr>
              <w:spacing w:before="29" w:line="288" w:lineRule="auto"/>
              <w:ind w:left="17"/>
              <w:jc w:val="right"/>
              <w:rPr>
                <w:color w:val="000000"/>
                <w:kern w:val="0"/>
                <w:sz w:val="24"/>
              </w:rPr>
            </w:pPr>
            <w:r>
              <w:rPr>
                <w:color w:val="000000"/>
                <w:kern w:val="0"/>
                <w:sz w:val="24"/>
              </w:rPr>
              <w:t>260,000</w:t>
            </w:r>
          </w:p>
        </w:tc>
        <w:tc>
          <w:tcPr>
            <w:tcW w:w="1784" w:type="dxa"/>
            <w:tcBorders>
              <w:top w:val="single" w:sz="8" w:space="0" w:color="000000"/>
              <w:left w:val="single" w:sz="8" w:space="0" w:color="000000"/>
              <w:bottom w:val="single" w:sz="8" w:space="0" w:color="000000"/>
              <w:right w:val="single" w:sz="8" w:space="0" w:color="000000"/>
            </w:tcBorders>
          </w:tcPr>
          <w:p w:rsidR="00783788" w:rsidRDefault="002C6E18">
            <w:pPr>
              <w:spacing w:before="29" w:line="288" w:lineRule="auto"/>
              <w:ind w:left="17"/>
              <w:jc w:val="right"/>
              <w:rPr>
                <w:color w:val="000000"/>
                <w:kern w:val="0"/>
                <w:sz w:val="24"/>
              </w:rPr>
            </w:pPr>
            <w:r>
              <w:rPr>
                <w:color w:val="000000"/>
                <w:kern w:val="0"/>
                <w:sz w:val="24"/>
              </w:rPr>
              <w:t>19,424,600.00</w:t>
            </w:r>
          </w:p>
        </w:tc>
        <w:tc>
          <w:tcPr>
            <w:tcW w:w="1601" w:type="dxa"/>
            <w:tcBorders>
              <w:top w:val="single" w:sz="8" w:space="0" w:color="000000"/>
              <w:left w:val="single" w:sz="8" w:space="0" w:color="000000"/>
              <w:bottom w:val="single" w:sz="8" w:space="0" w:color="000000"/>
              <w:right w:val="single" w:sz="8" w:space="0" w:color="000000"/>
            </w:tcBorders>
          </w:tcPr>
          <w:p w:rsidR="00783788" w:rsidRDefault="002C6E18">
            <w:pPr>
              <w:spacing w:before="29" w:line="288" w:lineRule="auto"/>
              <w:ind w:left="17"/>
              <w:jc w:val="right"/>
              <w:rPr>
                <w:color w:val="000000"/>
                <w:kern w:val="0"/>
                <w:sz w:val="24"/>
              </w:rPr>
            </w:pPr>
            <w:r>
              <w:rPr>
                <w:color w:val="000000"/>
                <w:kern w:val="0"/>
                <w:sz w:val="24"/>
              </w:rPr>
              <w:t>8.64</w:t>
            </w:r>
          </w:p>
        </w:tc>
      </w:tr>
      <w:tr w:rsidR="00783788">
        <w:tc>
          <w:tcPr>
            <w:tcW w:w="905" w:type="dxa"/>
            <w:tcBorders>
              <w:top w:val="single" w:sz="8" w:space="0" w:color="000000"/>
              <w:left w:val="single" w:sz="8" w:space="0" w:color="000000"/>
              <w:bottom w:val="single" w:sz="8" w:space="0" w:color="000000"/>
              <w:right w:val="single" w:sz="8" w:space="0" w:color="000000"/>
            </w:tcBorders>
          </w:tcPr>
          <w:p w:rsidR="00783788" w:rsidRDefault="002C6E18">
            <w:pPr>
              <w:spacing w:before="29" w:line="288" w:lineRule="auto"/>
              <w:ind w:left="17"/>
              <w:jc w:val="center"/>
              <w:rPr>
                <w:color w:val="000000"/>
                <w:sz w:val="24"/>
              </w:rPr>
            </w:pPr>
            <w:r>
              <w:rPr>
                <w:color w:val="000000"/>
                <w:sz w:val="24"/>
              </w:rPr>
              <w:t>2</w:t>
            </w:r>
          </w:p>
        </w:tc>
        <w:tc>
          <w:tcPr>
            <w:tcW w:w="1385" w:type="dxa"/>
            <w:tcBorders>
              <w:top w:val="single" w:sz="8" w:space="0" w:color="000000"/>
              <w:left w:val="single" w:sz="8" w:space="0" w:color="000000"/>
              <w:bottom w:val="single" w:sz="8" w:space="0" w:color="000000"/>
              <w:right w:val="single" w:sz="8" w:space="0" w:color="000000"/>
            </w:tcBorders>
          </w:tcPr>
          <w:p w:rsidR="00783788" w:rsidRDefault="002C6E18">
            <w:pPr>
              <w:spacing w:before="29" w:line="288" w:lineRule="auto"/>
              <w:ind w:left="17"/>
              <w:jc w:val="center"/>
              <w:rPr>
                <w:color w:val="000000"/>
                <w:kern w:val="0"/>
                <w:sz w:val="24"/>
              </w:rPr>
            </w:pPr>
            <w:r>
              <w:rPr>
                <w:color w:val="000000"/>
                <w:kern w:val="0"/>
                <w:sz w:val="24"/>
              </w:rPr>
              <w:t>601336</w:t>
            </w:r>
          </w:p>
        </w:tc>
        <w:tc>
          <w:tcPr>
            <w:tcW w:w="1338" w:type="dxa"/>
            <w:tcBorders>
              <w:top w:val="single" w:sz="8" w:space="0" w:color="000000"/>
              <w:left w:val="single" w:sz="8" w:space="0" w:color="000000"/>
              <w:bottom w:val="single" w:sz="8" w:space="0" w:color="000000"/>
              <w:right w:val="single" w:sz="8" w:space="0" w:color="000000"/>
            </w:tcBorders>
          </w:tcPr>
          <w:p w:rsidR="00783788" w:rsidRDefault="002C6E18">
            <w:pPr>
              <w:spacing w:before="29" w:line="288" w:lineRule="auto"/>
              <w:ind w:left="17"/>
              <w:jc w:val="center"/>
              <w:rPr>
                <w:color w:val="000000"/>
                <w:kern w:val="0"/>
                <w:sz w:val="24"/>
              </w:rPr>
            </w:pPr>
            <w:r>
              <w:rPr>
                <w:color w:val="000000"/>
                <w:kern w:val="0"/>
                <w:sz w:val="24"/>
              </w:rPr>
              <w:t>新华保险</w:t>
            </w:r>
          </w:p>
        </w:tc>
        <w:tc>
          <w:tcPr>
            <w:tcW w:w="1735" w:type="dxa"/>
            <w:tcBorders>
              <w:top w:val="single" w:sz="8" w:space="0" w:color="000000"/>
              <w:left w:val="single" w:sz="8" w:space="0" w:color="000000"/>
              <w:bottom w:val="single" w:sz="8" w:space="0" w:color="000000"/>
              <w:right w:val="single" w:sz="8" w:space="0" w:color="000000"/>
            </w:tcBorders>
          </w:tcPr>
          <w:p w:rsidR="00783788" w:rsidRDefault="002C6E18">
            <w:pPr>
              <w:spacing w:before="29" w:line="288" w:lineRule="auto"/>
              <w:ind w:left="17"/>
              <w:jc w:val="right"/>
              <w:rPr>
                <w:color w:val="000000"/>
                <w:kern w:val="0"/>
                <w:sz w:val="24"/>
              </w:rPr>
            </w:pPr>
            <w:r>
              <w:rPr>
                <w:color w:val="000000"/>
                <w:kern w:val="0"/>
                <w:sz w:val="24"/>
              </w:rPr>
              <w:t>250,000</w:t>
            </w:r>
          </w:p>
        </w:tc>
        <w:tc>
          <w:tcPr>
            <w:tcW w:w="1784" w:type="dxa"/>
            <w:tcBorders>
              <w:top w:val="single" w:sz="8" w:space="0" w:color="000000"/>
              <w:left w:val="single" w:sz="8" w:space="0" w:color="000000"/>
              <w:bottom w:val="single" w:sz="8" w:space="0" w:color="000000"/>
              <w:right w:val="single" w:sz="8" w:space="0" w:color="000000"/>
            </w:tcBorders>
          </w:tcPr>
          <w:p w:rsidR="00783788" w:rsidRDefault="002C6E18">
            <w:pPr>
              <w:spacing w:before="29" w:line="288" w:lineRule="auto"/>
              <w:ind w:left="17"/>
              <w:jc w:val="right"/>
              <w:rPr>
                <w:color w:val="000000"/>
                <w:kern w:val="0"/>
                <w:sz w:val="24"/>
              </w:rPr>
            </w:pPr>
            <w:r>
              <w:rPr>
                <w:color w:val="000000"/>
                <w:kern w:val="0"/>
                <w:sz w:val="24"/>
              </w:rPr>
              <w:t>12,390,000.00</w:t>
            </w:r>
          </w:p>
        </w:tc>
        <w:tc>
          <w:tcPr>
            <w:tcW w:w="1601" w:type="dxa"/>
            <w:tcBorders>
              <w:top w:val="single" w:sz="8" w:space="0" w:color="000000"/>
              <w:left w:val="single" w:sz="8" w:space="0" w:color="000000"/>
              <w:bottom w:val="single" w:sz="8" w:space="0" w:color="000000"/>
              <w:right w:val="single" w:sz="8" w:space="0" w:color="000000"/>
            </w:tcBorders>
          </w:tcPr>
          <w:p w:rsidR="00783788" w:rsidRDefault="002C6E18">
            <w:pPr>
              <w:spacing w:before="29" w:line="288" w:lineRule="auto"/>
              <w:ind w:left="17"/>
              <w:jc w:val="right"/>
              <w:rPr>
                <w:color w:val="000000"/>
                <w:kern w:val="0"/>
                <w:sz w:val="24"/>
              </w:rPr>
            </w:pPr>
            <w:r>
              <w:rPr>
                <w:color w:val="000000"/>
                <w:kern w:val="0"/>
                <w:sz w:val="24"/>
              </w:rPr>
              <w:t>5.51</w:t>
            </w:r>
          </w:p>
        </w:tc>
      </w:tr>
      <w:tr w:rsidR="00783788">
        <w:tc>
          <w:tcPr>
            <w:tcW w:w="905" w:type="dxa"/>
            <w:tcBorders>
              <w:top w:val="single" w:sz="8" w:space="0" w:color="000000"/>
              <w:left w:val="single" w:sz="8" w:space="0" w:color="000000"/>
              <w:bottom w:val="single" w:sz="8" w:space="0" w:color="000000"/>
              <w:right w:val="single" w:sz="8" w:space="0" w:color="000000"/>
            </w:tcBorders>
          </w:tcPr>
          <w:p w:rsidR="00783788" w:rsidRDefault="002C6E18">
            <w:pPr>
              <w:spacing w:before="29" w:line="288" w:lineRule="auto"/>
              <w:ind w:left="17"/>
              <w:jc w:val="center"/>
              <w:rPr>
                <w:color w:val="000000"/>
                <w:sz w:val="24"/>
              </w:rPr>
            </w:pPr>
            <w:r>
              <w:rPr>
                <w:color w:val="000000"/>
                <w:sz w:val="24"/>
              </w:rPr>
              <w:t>3</w:t>
            </w:r>
          </w:p>
        </w:tc>
        <w:tc>
          <w:tcPr>
            <w:tcW w:w="1385" w:type="dxa"/>
            <w:tcBorders>
              <w:top w:val="single" w:sz="8" w:space="0" w:color="000000"/>
              <w:left w:val="single" w:sz="8" w:space="0" w:color="000000"/>
              <w:bottom w:val="single" w:sz="8" w:space="0" w:color="000000"/>
              <w:right w:val="single" w:sz="8" w:space="0" w:color="000000"/>
            </w:tcBorders>
          </w:tcPr>
          <w:p w:rsidR="00783788" w:rsidRDefault="002C6E18">
            <w:pPr>
              <w:spacing w:before="29" w:line="288" w:lineRule="auto"/>
              <w:ind w:left="17"/>
              <w:jc w:val="center"/>
              <w:rPr>
                <w:color w:val="000000"/>
                <w:kern w:val="0"/>
                <w:sz w:val="24"/>
              </w:rPr>
            </w:pPr>
            <w:r>
              <w:rPr>
                <w:color w:val="000000"/>
                <w:kern w:val="0"/>
                <w:sz w:val="24"/>
              </w:rPr>
              <w:t>600376</w:t>
            </w:r>
          </w:p>
        </w:tc>
        <w:tc>
          <w:tcPr>
            <w:tcW w:w="1338" w:type="dxa"/>
            <w:tcBorders>
              <w:top w:val="single" w:sz="8" w:space="0" w:color="000000"/>
              <w:left w:val="single" w:sz="8" w:space="0" w:color="000000"/>
              <w:bottom w:val="single" w:sz="8" w:space="0" w:color="000000"/>
              <w:right w:val="single" w:sz="8" w:space="0" w:color="000000"/>
            </w:tcBorders>
          </w:tcPr>
          <w:p w:rsidR="00783788" w:rsidRDefault="002C6E18">
            <w:pPr>
              <w:spacing w:before="29" w:line="288" w:lineRule="auto"/>
              <w:ind w:left="17"/>
              <w:jc w:val="center"/>
              <w:rPr>
                <w:color w:val="000000"/>
                <w:kern w:val="0"/>
                <w:sz w:val="24"/>
              </w:rPr>
            </w:pPr>
            <w:r>
              <w:rPr>
                <w:color w:val="000000"/>
                <w:kern w:val="0"/>
                <w:sz w:val="24"/>
              </w:rPr>
              <w:t>首开股份</w:t>
            </w:r>
          </w:p>
        </w:tc>
        <w:tc>
          <w:tcPr>
            <w:tcW w:w="1735" w:type="dxa"/>
            <w:tcBorders>
              <w:top w:val="single" w:sz="8" w:space="0" w:color="000000"/>
              <w:left w:val="single" w:sz="8" w:space="0" w:color="000000"/>
              <w:bottom w:val="single" w:sz="8" w:space="0" w:color="000000"/>
              <w:right w:val="single" w:sz="8" w:space="0" w:color="000000"/>
            </w:tcBorders>
          </w:tcPr>
          <w:p w:rsidR="00783788" w:rsidRDefault="002C6E18">
            <w:pPr>
              <w:spacing w:before="29" w:line="288" w:lineRule="auto"/>
              <w:ind w:left="17"/>
              <w:jc w:val="right"/>
              <w:rPr>
                <w:color w:val="000000"/>
                <w:kern w:val="0"/>
                <w:sz w:val="24"/>
              </w:rPr>
            </w:pPr>
            <w:r>
              <w:rPr>
                <w:color w:val="000000"/>
                <w:kern w:val="0"/>
                <w:sz w:val="24"/>
              </w:rPr>
              <w:t>800,000</w:t>
            </w:r>
          </w:p>
        </w:tc>
        <w:tc>
          <w:tcPr>
            <w:tcW w:w="1784" w:type="dxa"/>
            <w:tcBorders>
              <w:top w:val="single" w:sz="8" w:space="0" w:color="000000"/>
              <w:left w:val="single" w:sz="8" w:space="0" w:color="000000"/>
              <w:bottom w:val="single" w:sz="8" w:space="0" w:color="000000"/>
              <w:right w:val="single" w:sz="8" w:space="0" w:color="000000"/>
            </w:tcBorders>
          </w:tcPr>
          <w:p w:rsidR="00783788" w:rsidRDefault="002C6E18">
            <w:pPr>
              <w:spacing w:before="29" w:line="288" w:lineRule="auto"/>
              <w:ind w:left="17"/>
              <w:jc w:val="right"/>
              <w:rPr>
                <w:color w:val="000000"/>
                <w:kern w:val="0"/>
                <w:sz w:val="24"/>
              </w:rPr>
            </w:pPr>
            <w:r>
              <w:rPr>
                <w:color w:val="000000"/>
                <w:kern w:val="0"/>
                <w:sz w:val="24"/>
              </w:rPr>
              <w:t>8,064,000.00</w:t>
            </w:r>
          </w:p>
        </w:tc>
        <w:tc>
          <w:tcPr>
            <w:tcW w:w="1601" w:type="dxa"/>
            <w:tcBorders>
              <w:top w:val="single" w:sz="8" w:space="0" w:color="000000"/>
              <w:left w:val="single" w:sz="8" w:space="0" w:color="000000"/>
              <w:bottom w:val="single" w:sz="8" w:space="0" w:color="000000"/>
              <w:right w:val="single" w:sz="8" w:space="0" w:color="000000"/>
            </w:tcBorders>
          </w:tcPr>
          <w:p w:rsidR="00783788" w:rsidRDefault="002C6E18">
            <w:pPr>
              <w:spacing w:before="29" w:line="288" w:lineRule="auto"/>
              <w:ind w:left="17"/>
              <w:jc w:val="right"/>
              <w:rPr>
                <w:color w:val="000000"/>
                <w:kern w:val="0"/>
                <w:sz w:val="24"/>
              </w:rPr>
            </w:pPr>
            <w:r>
              <w:rPr>
                <w:color w:val="000000"/>
                <w:kern w:val="0"/>
                <w:sz w:val="24"/>
              </w:rPr>
              <w:t>3.59</w:t>
            </w:r>
          </w:p>
        </w:tc>
      </w:tr>
      <w:tr w:rsidR="00783788">
        <w:tc>
          <w:tcPr>
            <w:tcW w:w="905" w:type="dxa"/>
            <w:tcBorders>
              <w:top w:val="single" w:sz="8" w:space="0" w:color="000000"/>
              <w:left w:val="single" w:sz="8" w:space="0" w:color="000000"/>
              <w:bottom w:val="single" w:sz="8" w:space="0" w:color="000000"/>
              <w:right w:val="single" w:sz="8" w:space="0" w:color="000000"/>
            </w:tcBorders>
          </w:tcPr>
          <w:p w:rsidR="00783788" w:rsidRDefault="002C6E18">
            <w:pPr>
              <w:spacing w:before="29" w:line="288" w:lineRule="auto"/>
              <w:ind w:left="17"/>
              <w:jc w:val="center"/>
              <w:rPr>
                <w:color w:val="000000"/>
                <w:sz w:val="24"/>
              </w:rPr>
            </w:pPr>
            <w:r>
              <w:rPr>
                <w:color w:val="000000"/>
                <w:sz w:val="24"/>
              </w:rPr>
              <w:t>4</w:t>
            </w:r>
          </w:p>
        </w:tc>
        <w:tc>
          <w:tcPr>
            <w:tcW w:w="1385" w:type="dxa"/>
            <w:tcBorders>
              <w:top w:val="single" w:sz="8" w:space="0" w:color="000000"/>
              <w:left w:val="single" w:sz="8" w:space="0" w:color="000000"/>
              <w:bottom w:val="single" w:sz="8" w:space="0" w:color="000000"/>
              <w:right w:val="single" w:sz="8" w:space="0" w:color="000000"/>
            </w:tcBorders>
          </w:tcPr>
          <w:p w:rsidR="00783788" w:rsidRDefault="002C6E18">
            <w:pPr>
              <w:spacing w:before="29" w:line="288" w:lineRule="auto"/>
              <w:ind w:left="17"/>
              <w:jc w:val="center"/>
              <w:rPr>
                <w:color w:val="000000"/>
                <w:kern w:val="0"/>
                <w:sz w:val="24"/>
              </w:rPr>
            </w:pPr>
            <w:r>
              <w:rPr>
                <w:color w:val="000000"/>
                <w:kern w:val="0"/>
                <w:sz w:val="24"/>
              </w:rPr>
              <w:t>601668</w:t>
            </w:r>
          </w:p>
        </w:tc>
        <w:tc>
          <w:tcPr>
            <w:tcW w:w="1338" w:type="dxa"/>
            <w:tcBorders>
              <w:top w:val="single" w:sz="8" w:space="0" w:color="000000"/>
              <w:left w:val="single" w:sz="8" w:space="0" w:color="000000"/>
              <w:bottom w:val="single" w:sz="8" w:space="0" w:color="000000"/>
              <w:right w:val="single" w:sz="8" w:space="0" w:color="000000"/>
            </w:tcBorders>
          </w:tcPr>
          <w:p w:rsidR="00783788" w:rsidRDefault="002C6E18">
            <w:pPr>
              <w:spacing w:before="29" w:line="288" w:lineRule="auto"/>
              <w:ind w:left="17"/>
              <w:jc w:val="center"/>
              <w:rPr>
                <w:color w:val="000000"/>
                <w:kern w:val="0"/>
                <w:sz w:val="24"/>
              </w:rPr>
            </w:pPr>
            <w:r>
              <w:rPr>
                <w:color w:val="000000"/>
                <w:kern w:val="0"/>
                <w:sz w:val="24"/>
              </w:rPr>
              <w:t>中国建筑</w:t>
            </w:r>
          </w:p>
        </w:tc>
        <w:tc>
          <w:tcPr>
            <w:tcW w:w="1735" w:type="dxa"/>
            <w:tcBorders>
              <w:top w:val="single" w:sz="8" w:space="0" w:color="000000"/>
              <w:left w:val="single" w:sz="8" w:space="0" w:color="000000"/>
              <w:bottom w:val="single" w:sz="8" w:space="0" w:color="000000"/>
              <w:right w:val="single" w:sz="8" w:space="0" w:color="000000"/>
            </w:tcBorders>
          </w:tcPr>
          <w:p w:rsidR="00783788" w:rsidRDefault="002C6E18">
            <w:pPr>
              <w:spacing w:before="29" w:line="288" w:lineRule="auto"/>
              <w:ind w:left="17"/>
              <w:jc w:val="right"/>
              <w:rPr>
                <w:color w:val="000000"/>
                <w:kern w:val="0"/>
                <w:sz w:val="24"/>
              </w:rPr>
            </w:pPr>
            <w:r>
              <w:rPr>
                <w:color w:val="000000"/>
                <w:kern w:val="0"/>
                <w:sz w:val="24"/>
              </w:rPr>
              <w:t>950,000</w:t>
            </w:r>
          </w:p>
        </w:tc>
        <w:tc>
          <w:tcPr>
            <w:tcW w:w="1784" w:type="dxa"/>
            <w:tcBorders>
              <w:top w:val="single" w:sz="8" w:space="0" w:color="000000"/>
              <w:left w:val="single" w:sz="8" w:space="0" w:color="000000"/>
              <w:bottom w:val="single" w:sz="8" w:space="0" w:color="000000"/>
              <w:right w:val="single" w:sz="8" w:space="0" w:color="000000"/>
            </w:tcBorders>
          </w:tcPr>
          <w:p w:rsidR="00783788" w:rsidRDefault="002C6E18">
            <w:pPr>
              <w:spacing w:before="29" w:line="288" w:lineRule="auto"/>
              <w:ind w:left="17"/>
              <w:jc w:val="right"/>
              <w:rPr>
                <w:color w:val="000000"/>
                <w:kern w:val="0"/>
                <w:sz w:val="24"/>
              </w:rPr>
            </w:pPr>
            <w:r>
              <w:rPr>
                <w:color w:val="000000"/>
                <w:kern w:val="0"/>
                <w:sz w:val="24"/>
              </w:rPr>
              <w:t>6,916,000.00</w:t>
            </w:r>
          </w:p>
        </w:tc>
        <w:tc>
          <w:tcPr>
            <w:tcW w:w="1601" w:type="dxa"/>
            <w:tcBorders>
              <w:top w:val="single" w:sz="8" w:space="0" w:color="000000"/>
              <w:left w:val="single" w:sz="8" w:space="0" w:color="000000"/>
              <w:bottom w:val="single" w:sz="8" w:space="0" w:color="000000"/>
              <w:right w:val="single" w:sz="8" w:space="0" w:color="000000"/>
            </w:tcBorders>
          </w:tcPr>
          <w:p w:rsidR="00783788" w:rsidRDefault="002C6E18">
            <w:pPr>
              <w:spacing w:before="29" w:line="288" w:lineRule="auto"/>
              <w:ind w:left="17"/>
              <w:jc w:val="right"/>
              <w:rPr>
                <w:color w:val="000000"/>
                <w:kern w:val="0"/>
                <w:sz w:val="24"/>
              </w:rPr>
            </w:pPr>
            <w:r>
              <w:rPr>
                <w:color w:val="000000"/>
                <w:kern w:val="0"/>
                <w:sz w:val="24"/>
              </w:rPr>
              <w:t>3.08</w:t>
            </w:r>
          </w:p>
        </w:tc>
      </w:tr>
      <w:tr w:rsidR="00783788">
        <w:tc>
          <w:tcPr>
            <w:tcW w:w="905" w:type="dxa"/>
            <w:tcBorders>
              <w:top w:val="single" w:sz="8" w:space="0" w:color="000000"/>
              <w:left w:val="single" w:sz="8" w:space="0" w:color="000000"/>
              <w:bottom w:val="single" w:sz="8" w:space="0" w:color="000000"/>
              <w:right w:val="single" w:sz="8" w:space="0" w:color="000000"/>
            </w:tcBorders>
          </w:tcPr>
          <w:p w:rsidR="00783788" w:rsidRDefault="002C6E18">
            <w:pPr>
              <w:spacing w:before="29" w:line="288" w:lineRule="auto"/>
              <w:ind w:left="17"/>
              <w:jc w:val="center"/>
              <w:rPr>
                <w:color w:val="000000"/>
                <w:sz w:val="24"/>
              </w:rPr>
            </w:pPr>
            <w:r>
              <w:rPr>
                <w:color w:val="000000"/>
                <w:sz w:val="24"/>
              </w:rPr>
              <w:t>5</w:t>
            </w:r>
          </w:p>
        </w:tc>
        <w:tc>
          <w:tcPr>
            <w:tcW w:w="1385" w:type="dxa"/>
            <w:tcBorders>
              <w:top w:val="single" w:sz="8" w:space="0" w:color="000000"/>
              <w:left w:val="single" w:sz="8" w:space="0" w:color="000000"/>
              <w:bottom w:val="single" w:sz="8" w:space="0" w:color="000000"/>
              <w:right w:val="single" w:sz="8" w:space="0" w:color="000000"/>
            </w:tcBorders>
          </w:tcPr>
          <w:p w:rsidR="00783788" w:rsidRDefault="002C6E18">
            <w:pPr>
              <w:spacing w:before="29" w:line="288" w:lineRule="auto"/>
              <w:ind w:left="17"/>
              <w:jc w:val="center"/>
              <w:rPr>
                <w:color w:val="000000"/>
                <w:kern w:val="0"/>
                <w:sz w:val="24"/>
              </w:rPr>
            </w:pPr>
            <w:r>
              <w:rPr>
                <w:color w:val="000000"/>
                <w:kern w:val="0"/>
                <w:sz w:val="24"/>
              </w:rPr>
              <w:t>300166</w:t>
            </w:r>
          </w:p>
        </w:tc>
        <w:tc>
          <w:tcPr>
            <w:tcW w:w="1338" w:type="dxa"/>
            <w:tcBorders>
              <w:top w:val="single" w:sz="8" w:space="0" w:color="000000"/>
              <w:left w:val="single" w:sz="8" w:space="0" w:color="000000"/>
              <w:bottom w:val="single" w:sz="8" w:space="0" w:color="000000"/>
              <w:right w:val="single" w:sz="8" w:space="0" w:color="000000"/>
            </w:tcBorders>
          </w:tcPr>
          <w:p w:rsidR="00783788" w:rsidRDefault="002C6E18">
            <w:pPr>
              <w:spacing w:before="29" w:line="288" w:lineRule="auto"/>
              <w:ind w:left="17"/>
              <w:jc w:val="center"/>
              <w:rPr>
                <w:color w:val="000000"/>
                <w:kern w:val="0"/>
                <w:sz w:val="24"/>
              </w:rPr>
            </w:pPr>
            <w:r>
              <w:rPr>
                <w:color w:val="000000"/>
                <w:kern w:val="0"/>
                <w:sz w:val="24"/>
              </w:rPr>
              <w:t>东方国信</w:t>
            </w:r>
          </w:p>
        </w:tc>
        <w:tc>
          <w:tcPr>
            <w:tcW w:w="1735" w:type="dxa"/>
            <w:tcBorders>
              <w:top w:val="single" w:sz="8" w:space="0" w:color="000000"/>
              <w:left w:val="single" w:sz="8" w:space="0" w:color="000000"/>
              <w:bottom w:val="single" w:sz="8" w:space="0" w:color="000000"/>
              <w:right w:val="single" w:sz="8" w:space="0" w:color="000000"/>
            </w:tcBorders>
          </w:tcPr>
          <w:p w:rsidR="00783788" w:rsidRDefault="002C6E18">
            <w:pPr>
              <w:spacing w:before="29" w:line="288" w:lineRule="auto"/>
              <w:ind w:left="17"/>
              <w:jc w:val="right"/>
              <w:rPr>
                <w:color w:val="000000"/>
                <w:kern w:val="0"/>
                <w:sz w:val="24"/>
              </w:rPr>
            </w:pPr>
            <w:r>
              <w:rPr>
                <w:color w:val="000000"/>
                <w:kern w:val="0"/>
                <w:sz w:val="24"/>
              </w:rPr>
              <w:t>230,000</w:t>
            </w:r>
          </w:p>
        </w:tc>
        <w:tc>
          <w:tcPr>
            <w:tcW w:w="1784" w:type="dxa"/>
            <w:tcBorders>
              <w:top w:val="single" w:sz="8" w:space="0" w:color="000000"/>
              <w:left w:val="single" w:sz="8" w:space="0" w:color="000000"/>
              <w:bottom w:val="single" w:sz="8" w:space="0" w:color="000000"/>
              <w:right w:val="single" w:sz="8" w:space="0" w:color="000000"/>
            </w:tcBorders>
          </w:tcPr>
          <w:p w:rsidR="00783788" w:rsidRDefault="002C6E18">
            <w:pPr>
              <w:spacing w:before="29" w:line="288" w:lineRule="auto"/>
              <w:ind w:left="17"/>
              <w:jc w:val="right"/>
              <w:rPr>
                <w:color w:val="000000"/>
                <w:kern w:val="0"/>
                <w:sz w:val="24"/>
              </w:rPr>
            </w:pPr>
            <w:r>
              <w:rPr>
                <w:color w:val="000000"/>
                <w:kern w:val="0"/>
                <w:sz w:val="24"/>
              </w:rPr>
              <w:t>6,453,800.00</w:t>
            </w:r>
          </w:p>
        </w:tc>
        <w:tc>
          <w:tcPr>
            <w:tcW w:w="1601" w:type="dxa"/>
            <w:tcBorders>
              <w:top w:val="single" w:sz="8" w:space="0" w:color="000000"/>
              <w:left w:val="single" w:sz="8" w:space="0" w:color="000000"/>
              <w:bottom w:val="single" w:sz="8" w:space="0" w:color="000000"/>
              <w:right w:val="single" w:sz="8" w:space="0" w:color="000000"/>
            </w:tcBorders>
          </w:tcPr>
          <w:p w:rsidR="00783788" w:rsidRDefault="002C6E18">
            <w:pPr>
              <w:spacing w:before="29" w:line="288" w:lineRule="auto"/>
              <w:ind w:left="17"/>
              <w:jc w:val="right"/>
              <w:rPr>
                <w:color w:val="000000"/>
                <w:kern w:val="0"/>
                <w:sz w:val="24"/>
              </w:rPr>
            </w:pPr>
            <w:r>
              <w:rPr>
                <w:color w:val="000000"/>
                <w:kern w:val="0"/>
                <w:sz w:val="24"/>
              </w:rPr>
              <w:t>2.87</w:t>
            </w:r>
          </w:p>
        </w:tc>
      </w:tr>
      <w:tr w:rsidR="00783788">
        <w:tc>
          <w:tcPr>
            <w:tcW w:w="905" w:type="dxa"/>
            <w:tcBorders>
              <w:top w:val="single" w:sz="8" w:space="0" w:color="000000"/>
              <w:left w:val="single" w:sz="8" w:space="0" w:color="000000"/>
              <w:bottom w:val="single" w:sz="8" w:space="0" w:color="000000"/>
              <w:right w:val="single" w:sz="8" w:space="0" w:color="000000"/>
            </w:tcBorders>
          </w:tcPr>
          <w:p w:rsidR="00783788" w:rsidRDefault="002C6E18">
            <w:pPr>
              <w:spacing w:before="29" w:line="288" w:lineRule="auto"/>
              <w:ind w:left="17"/>
              <w:jc w:val="center"/>
              <w:rPr>
                <w:color w:val="000000"/>
                <w:sz w:val="24"/>
              </w:rPr>
            </w:pPr>
            <w:r>
              <w:rPr>
                <w:color w:val="000000"/>
                <w:sz w:val="24"/>
              </w:rPr>
              <w:t>6</w:t>
            </w:r>
          </w:p>
        </w:tc>
        <w:tc>
          <w:tcPr>
            <w:tcW w:w="1385" w:type="dxa"/>
            <w:tcBorders>
              <w:top w:val="single" w:sz="8" w:space="0" w:color="000000"/>
              <w:left w:val="single" w:sz="8" w:space="0" w:color="000000"/>
              <w:bottom w:val="single" w:sz="8" w:space="0" w:color="000000"/>
              <w:right w:val="single" w:sz="8" w:space="0" w:color="000000"/>
            </w:tcBorders>
          </w:tcPr>
          <w:p w:rsidR="00783788" w:rsidRDefault="002C6E18">
            <w:pPr>
              <w:spacing w:before="29" w:line="288" w:lineRule="auto"/>
              <w:ind w:left="17"/>
              <w:jc w:val="center"/>
              <w:rPr>
                <w:color w:val="000000"/>
                <w:kern w:val="0"/>
                <w:sz w:val="24"/>
              </w:rPr>
            </w:pPr>
            <w:r>
              <w:rPr>
                <w:color w:val="000000"/>
                <w:kern w:val="0"/>
                <w:sz w:val="24"/>
              </w:rPr>
              <w:t>600000</w:t>
            </w:r>
          </w:p>
        </w:tc>
        <w:tc>
          <w:tcPr>
            <w:tcW w:w="1338" w:type="dxa"/>
            <w:tcBorders>
              <w:top w:val="single" w:sz="8" w:space="0" w:color="000000"/>
              <w:left w:val="single" w:sz="8" w:space="0" w:color="000000"/>
              <w:bottom w:val="single" w:sz="8" w:space="0" w:color="000000"/>
              <w:right w:val="single" w:sz="8" w:space="0" w:color="000000"/>
            </w:tcBorders>
          </w:tcPr>
          <w:p w:rsidR="00783788" w:rsidRDefault="002C6E18">
            <w:pPr>
              <w:spacing w:before="29" w:line="288" w:lineRule="auto"/>
              <w:ind w:left="17"/>
              <w:jc w:val="center"/>
              <w:rPr>
                <w:color w:val="000000"/>
                <w:kern w:val="0"/>
                <w:sz w:val="24"/>
              </w:rPr>
            </w:pPr>
            <w:r>
              <w:rPr>
                <w:color w:val="000000"/>
                <w:kern w:val="0"/>
                <w:sz w:val="24"/>
              </w:rPr>
              <w:t>浦发银行</w:t>
            </w:r>
          </w:p>
        </w:tc>
        <w:tc>
          <w:tcPr>
            <w:tcW w:w="1735" w:type="dxa"/>
            <w:tcBorders>
              <w:top w:val="single" w:sz="8" w:space="0" w:color="000000"/>
              <w:left w:val="single" w:sz="8" w:space="0" w:color="000000"/>
              <w:bottom w:val="single" w:sz="8" w:space="0" w:color="000000"/>
              <w:right w:val="single" w:sz="8" w:space="0" w:color="000000"/>
            </w:tcBorders>
          </w:tcPr>
          <w:p w:rsidR="00783788" w:rsidRDefault="002C6E18">
            <w:pPr>
              <w:spacing w:before="29" w:line="288" w:lineRule="auto"/>
              <w:ind w:left="17"/>
              <w:jc w:val="right"/>
              <w:rPr>
                <w:color w:val="000000"/>
                <w:kern w:val="0"/>
                <w:sz w:val="24"/>
              </w:rPr>
            </w:pPr>
            <w:r>
              <w:rPr>
                <w:color w:val="000000"/>
                <w:kern w:val="0"/>
                <w:sz w:val="24"/>
              </w:rPr>
              <w:t>400,000</w:t>
            </w:r>
          </w:p>
        </w:tc>
        <w:tc>
          <w:tcPr>
            <w:tcW w:w="1784" w:type="dxa"/>
            <w:tcBorders>
              <w:top w:val="single" w:sz="8" w:space="0" w:color="000000"/>
              <w:left w:val="single" w:sz="8" w:space="0" w:color="000000"/>
              <w:bottom w:val="single" w:sz="8" w:space="0" w:color="000000"/>
              <w:right w:val="single" w:sz="8" w:space="0" w:color="000000"/>
            </w:tcBorders>
          </w:tcPr>
          <w:p w:rsidR="00783788" w:rsidRDefault="002C6E18">
            <w:pPr>
              <w:spacing w:before="29" w:line="288" w:lineRule="auto"/>
              <w:ind w:left="17"/>
              <w:jc w:val="right"/>
              <w:rPr>
                <w:color w:val="000000"/>
                <w:kern w:val="0"/>
                <w:sz w:val="24"/>
              </w:rPr>
            </w:pPr>
            <w:r>
              <w:rPr>
                <w:color w:val="000000"/>
                <w:kern w:val="0"/>
                <w:sz w:val="24"/>
              </w:rPr>
              <w:t>6,276,000.00</w:t>
            </w:r>
          </w:p>
        </w:tc>
        <w:tc>
          <w:tcPr>
            <w:tcW w:w="1601" w:type="dxa"/>
            <w:tcBorders>
              <w:top w:val="single" w:sz="8" w:space="0" w:color="000000"/>
              <w:left w:val="single" w:sz="8" w:space="0" w:color="000000"/>
              <w:bottom w:val="single" w:sz="8" w:space="0" w:color="000000"/>
              <w:right w:val="single" w:sz="8" w:space="0" w:color="000000"/>
            </w:tcBorders>
          </w:tcPr>
          <w:p w:rsidR="00783788" w:rsidRDefault="002C6E18">
            <w:pPr>
              <w:spacing w:before="29" w:line="288" w:lineRule="auto"/>
              <w:ind w:left="17"/>
              <w:jc w:val="right"/>
              <w:rPr>
                <w:color w:val="000000"/>
                <w:kern w:val="0"/>
                <w:sz w:val="24"/>
              </w:rPr>
            </w:pPr>
            <w:r>
              <w:rPr>
                <w:color w:val="000000"/>
                <w:kern w:val="0"/>
                <w:sz w:val="24"/>
              </w:rPr>
              <w:t>2.79</w:t>
            </w:r>
          </w:p>
        </w:tc>
      </w:tr>
      <w:tr w:rsidR="00783788">
        <w:tc>
          <w:tcPr>
            <w:tcW w:w="905" w:type="dxa"/>
            <w:tcBorders>
              <w:top w:val="single" w:sz="8" w:space="0" w:color="000000"/>
              <w:left w:val="single" w:sz="8" w:space="0" w:color="000000"/>
              <w:bottom w:val="single" w:sz="8" w:space="0" w:color="000000"/>
              <w:right w:val="single" w:sz="8" w:space="0" w:color="000000"/>
            </w:tcBorders>
          </w:tcPr>
          <w:p w:rsidR="00783788" w:rsidRDefault="002C6E18">
            <w:pPr>
              <w:spacing w:before="29" w:line="288" w:lineRule="auto"/>
              <w:ind w:left="17"/>
              <w:jc w:val="center"/>
              <w:rPr>
                <w:color w:val="000000"/>
                <w:sz w:val="24"/>
              </w:rPr>
            </w:pPr>
            <w:r>
              <w:rPr>
                <w:color w:val="000000"/>
                <w:sz w:val="24"/>
              </w:rPr>
              <w:t>7</w:t>
            </w:r>
          </w:p>
        </w:tc>
        <w:tc>
          <w:tcPr>
            <w:tcW w:w="1385" w:type="dxa"/>
            <w:tcBorders>
              <w:top w:val="single" w:sz="8" w:space="0" w:color="000000"/>
              <w:left w:val="single" w:sz="8" w:space="0" w:color="000000"/>
              <w:bottom w:val="single" w:sz="8" w:space="0" w:color="000000"/>
              <w:right w:val="single" w:sz="8" w:space="0" w:color="000000"/>
            </w:tcBorders>
          </w:tcPr>
          <w:p w:rsidR="00783788" w:rsidRDefault="002C6E18">
            <w:pPr>
              <w:spacing w:before="29" w:line="288" w:lineRule="auto"/>
              <w:ind w:left="17"/>
              <w:jc w:val="center"/>
              <w:rPr>
                <w:color w:val="000000"/>
                <w:kern w:val="0"/>
                <w:sz w:val="24"/>
              </w:rPr>
            </w:pPr>
            <w:r>
              <w:rPr>
                <w:color w:val="000000"/>
                <w:kern w:val="0"/>
                <w:sz w:val="24"/>
              </w:rPr>
              <w:t>601818</w:t>
            </w:r>
          </w:p>
        </w:tc>
        <w:tc>
          <w:tcPr>
            <w:tcW w:w="1338" w:type="dxa"/>
            <w:tcBorders>
              <w:top w:val="single" w:sz="8" w:space="0" w:color="000000"/>
              <w:left w:val="single" w:sz="8" w:space="0" w:color="000000"/>
              <w:bottom w:val="single" w:sz="8" w:space="0" w:color="000000"/>
              <w:right w:val="single" w:sz="8" w:space="0" w:color="000000"/>
            </w:tcBorders>
          </w:tcPr>
          <w:p w:rsidR="00783788" w:rsidRDefault="002C6E18">
            <w:pPr>
              <w:spacing w:before="29" w:line="288" w:lineRule="auto"/>
              <w:ind w:left="17"/>
              <w:jc w:val="center"/>
              <w:rPr>
                <w:color w:val="000000"/>
                <w:kern w:val="0"/>
                <w:sz w:val="24"/>
              </w:rPr>
            </w:pPr>
            <w:r>
              <w:rPr>
                <w:color w:val="000000"/>
                <w:kern w:val="0"/>
                <w:sz w:val="24"/>
              </w:rPr>
              <w:t>光大银行</w:t>
            </w:r>
          </w:p>
        </w:tc>
        <w:tc>
          <w:tcPr>
            <w:tcW w:w="1735" w:type="dxa"/>
            <w:tcBorders>
              <w:top w:val="single" w:sz="8" w:space="0" w:color="000000"/>
              <w:left w:val="single" w:sz="8" w:space="0" w:color="000000"/>
              <w:bottom w:val="single" w:sz="8" w:space="0" w:color="000000"/>
              <w:right w:val="single" w:sz="8" w:space="0" w:color="000000"/>
            </w:tcBorders>
          </w:tcPr>
          <w:p w:rsidR="00783788" w:rsidRDefault="002C6E18">
            <w:pPr>
              <w:spacing w:before="29" w:line="288" w:lineRule="auto"/>
              <w:ind w:left="17"/>
              <w:jc w:val="right"/>
              <w:rPr>
                <w:color w:val="000000"/>
                <w:kern w:val="0"/>
                <w:sz w:val="24"/>
              </w:rPr>
            </w:pPr>
            <w:r>
              <w:rPr>
                <w:color w:val="000000"/>
                <w:kern w:val="0"/>
                <w:sz w:val="24"/>
              </w:rPr>
              <w:t>1,200,000</w:t>
            </w:r>
          </w:p>
        </w:tc>
        <w:tc>
          <w:tcPr>
            <w:tcW w:w="1784" w:type="dxa"/>
            <w:tcBorders>
              <w:top w:val="single" w:sz="8" w:space="0" w:color="000000"/>
              <w:left w:val="single" w:sz="8" w:space="0" w:color="000000"/>
              <w:bottom w:val="single" w:sz="8" w:space="0" w:color="000000"/>
              <w:right w:val="single" w:sz="8" w:space="0" w:color="000000"/>
            </w:tcBorders>
          </w:tcPr>
          <w:p w:rsidR="00783788" w:rsidRDefault="002C6E18">
            <w:pPr>
              <w:spacing w:before="29" w:line="288" w:lineRule="auto"/>
              <w:ind w:left="17"/>
              <w:jc w:val="right"/>
              <w:rPr>
                <w:color w:val="000000"/>
                <w:kern w:val="0"/>
                <w:sz w:val="24"/>
              </w:rPr>
            </w:pPr>
            <w:r>
              <w:rPr>
                <w:color w:val="000000"/>
                <w:kern w:val="0"/>
                <w:sz w:val="24"/>
              </w:rPr>
              <w:t>5,856,000.00</w:t>
            </w:r>
          </w:p>
        </w:tc>
        <w:tc>
          <w:tcPr>
            <w:tcW w:w="1601" w:type="dxa"/>
            <w:tcBorders>
              <w:top w:val="single" w:sz="8" w:space="0" w:color="000000"/>
              <w:left w:val="single" w:sz="8" w:space="0" w:color="000000"/>
              <w:bottom w:val="single" w:sz="8" w:space="0" w:color="000000"/>
              <w:right w:val="single" w:sz="8" w:space="0" w:color="000000"/>
            </w:tcBorders>
          </w:tcPr>
          <w:p w:rsidR="00783788" w:rsidRDefault="002C6E18">
            <w:pPr>
              <w:spacing w:before="29" w:line="288" w:lineRule="auto"/>
              <w:ind w:left="17"/>
              <w:jc w:val="right"/>
              <w:rPr>
                <w:color w:val="000000"/>
                <w:kern w:val="0"/>
                <w:sz w:val="24"/>
              </w:rPr>
            </w:pPr>
            <w:r>
              <w:rPr>
                <w:color w:val="000000"/>
                <w:kern w:val="0"/>
                <w:sz w:val="24"/>
              </w:rPr>
              <w:t>2.61</w:t>
            </w:r>
          </w:p>
        </w:tc>
      </w:tr>
      <w:tr w:rsidR="00783788">
        <w:tc>
          <w:tcPr>
            <w:tcW w:w="905" w:type="dxa"/>
            <w:tcBorders>
              <w:top w:val="single" w:sz="8" w:space="0" w:color="000000"/>
              <w:left w:val="single" w:sz="8" w:space="0" w:color="000000"/>
              <w:bottom w:val="single" w:sz="8" w:space="0" w:color="000000"/>
              <w:right w:val="single" w:sz="8" w:space="0" w:color="000000"/>
            </w:tcBorders>
          </w:tcPr>
          <w:p w:rsidR="00783788" w:rsidRDefault="002C6E18">
            <w:pPr>
              <w:spacing w:before="29" w:line="288" w:lineRule="auto"/>
              <w:ind w:left="17"/>
              <w:jc w:val="center"/>
              <w:rPr>
                <w:color w:val="000000"/>
                <w:sz w:val="24"/>
              </w:rPr>
            </w:pPr>
            <w:r>
              <w:rPr>
                <w:color w:val="000000"/>
                <w:sz w:val="24"/>
              </w:rPr>
              <w:t>8</w:t>
            </w:r>
          </w:p>
        </w:tc>
        <w:tc>
          <w:tcPr>
            <w:tcW w:w="1385" w:type="dxa"/>
            <w:tcBorders>
              <w:top w:val="single" w:sz="8" w:space="0" w:color="000000"/>
              <w:left w:val="single" w:sz="8" w:space="0" w:color="000000"/>
              <w:bottom w:val="single" w:sz="8" w:space="0" w:color="000000"/>
              <w:right w:val="single" w:sz="8" w:space="0" w:color="000000"/>
            </w:tcBorders>
          </w:tcPr>
          <w:p w:rsidR="00783788" w:rsidRDefault="002C6E18">
            <w:pPr>
              <w:spacing w:before="29" w:line="288" w:lineRule="auto"/>
              <w:ind w:left="17"/>
              <w:jc w:val="center"/>
              <w:rPr>
                <w:color w:val="000000"/>
                <w:kern w:val="0"/>
                <w:sz w:val="24"/>
              </w:rPr>
            </w:pPr>
            <w:r>
              <w:rPr>
                <w:color w:val="000000"/>
                <w:kern w:val="0"/>
                <w:sz w:val="24"/>
              </w:rPr>
              <w:t>000685</w:t>
            </w:r>
          </w:p>
        </w:tc>
        <w:tc>
          <w:tcPr>
            <w:tcW w:w="1338" w:type="dxa"/>
            <w:tcBorders>
              <w:top w:val="single" w:sz="8" w:space="0" w:color="000000"/>
              <w:left w:val="single" w:sz="8" w:space="0" w:color="000000"/>
              <w:bottom w:val="single" w:sz="8" w:space="0" w:color="000000"/>
              <w:right w:val="single" w:sz="8" w:space="0" w:color="000000"/>
            </w:tcBorders>
          </w:tcPr>
          <w:p w:rsidR="00783788" w:rsidRDefault="002C6E18">
            <w:pPr>
              <w:spacing w:before="29" w:line="288" w:lineRule="auto"/>
              <w:ind w:left="17"/>
              <w:jc w:val="center"/>
              <w:rPr>
                <w:color w:val="000000"/>
                <w:kern w:val="0"/>
                <w:sz w:val="24"/>
              </w:rPr>
            </w:pPr>
            <w:r>
              <w:rPr>
                <w:color w:val="000000"/>
                <w:kern w:val="0"/>
                <w:sz w:val="24"/>
              </w:rPr>
              <w:t>中山公用</w:t>
            </w:r>
          </w:p>
        </w:tc>
        <w:tc>
          <w:tcPr>
            <w:tcW w:w="1735" w:type="dxa"/>
            <w:tcBorders>
              <w:top w:val="single" w:sz="8" w:space="0" w:color="000000"/>
              <w:left w:val="single" w:sz="8" w:space="0" w:color="000000"/>
              <w:bottom w:val="single" w:sz="8" w:space="0" w:color="000000"/>
              <w:right w:val="single" w:sz="8" w:space="0" w:color="000000"/>
            </w:tcBorders>
          </w:tcPr>
          <w:p w:rsidR="00783788" w:rsidRDefault="002C6E18">
            <w:pPr>
              <w:spacing w:before="29" w:line="288" w:lineRule="auto"/>
              <w:ind w:left="17"/>
              <w:jc w:val="right"/>
              <w:rPr>
                <w:color w:val="000000"/>
                <w:kern w:val="0"/>
                <w:sz w:val="24"/>
              </w:rPr>
            </w:pPr>
            <w:r>
              <w:rPr>
                <w:color w:val="000000"/>
                <w:kern w:val="0"/>
                <w:sz w:val="24"/>
              </w:rPr>
              <w:t>250,000</w:t>
            </w:r>
          </w:p>
        </w:tc>
        <w:tc>
          <w:tcPr>
            <w:tcW w:w="1784" w:type="dxa"/>
            <w:tcBorders>
              <w:top w:val="single" w:sz="8" w:space="0" w:color="000000"/>
              <w:left w:val="single" w:sz="8" w:space="0" w:color="000000"/>
              <w:bottom w:val="single" w:sz="8" w:space="0" w:color="000000"/>
              <w:right w:val="single" w:sz="8" w:space="0" w:color="000000"/>
            </w:tcBorders>
          </w:tcPr>
          <w:p w:rsidR="00783788" w:rsidRDefault="002C6E18">
            <w:pPr>
              <w:spacing w:before="29" w:line="288" w:lineRule="auto"/>
              <w:ind w:left="17"/>
              <w:jc w:val="right"/>
              <w:rPr>
                <w:color w:val="000000"/>
                <w:kern w:val="0"/>
                <w:sz w:val="24"/>
              </w:rPr>
            </w:pPr>
            <w:r>
              <w:rPr>
                <w:color w:val="000000"/>
                <w:kern w:val="0"/>
                <w:sz w:val="24"/>
              </w:rPr>
              <w:t>5,557,500.00</w:t>
            </w:r>
          </w:p>
        </w:tc>
        <w:tc>
          <w:tcPr>
            <w:tcW w:w="1601" w:type="dxa"/>
            <w:tcBorders>
              <w:top w:val="single" w:sz="8" w:space="0" w:color="000000"/>
              <w:left w:val="single" w:sz="8" w:space="0" w:color="000000"/>
              <w:bottom w:val="single" w:sz="8" w:space="0" w:color="000000"/>
              <w:right w:val="single" w:sz="8" w:space="0" w:color="000000"/>
            </w:tcBorders>
          </w:tcPr>
          <w:p w:rsidR="00783788" w:rsidRDefault="002C6E18">
            <w:pPr>
              <w:spacing w:before="29" w:line="288" w:lineRule="auto"/>
              <w:ind w:left="17"/>
              <w:jc w:val="right"/>
              <w:rPr>
                <w:color w:val="000000"/>
                <w:kern w:val="0"/>
                <w:sz w:val="24"/>
              </w:rPr>
            </w:pPr>
            <w:r>
              <w:rPr>
                <w:color w:val="000000"/>
                <w:kern w:val="0"/>
                <w:sz w:val="24"/>
              </w:rPr>
              <w:t>2.47</w:t>
            </w:r>
          </w:p>
        </w:tc>
      </w:tr>
      <w:tr w:rsidR="00783788">
        <w:tc>
          <w:tcPr>
            <w:tcW w:w="905" w:type="dxa"/>
            <w:tcBorders>
              <w:top w:val="single" w:sz="8" w:space="0" w:color="000000"/>
              <w:left w:val="single" w:sz="8" w:space="0" w:color="000000"/>
              <w:bottom w:val="single" w:sz="8" w:space="0" w:color="000000"/>
              <w:right w:val="single" w:sz="8" w:space="0" w:color="000000"/>
            </w:tcBorders>
          </w:tcPr>
          <w:p w:rsidR="00783788" w:rsidRDefault="002C6E18">
            <w:pPr>
              <w:spacing w:before="29" w:line="288" w:lineRule="auto"/>
              <w:ind w:left="17"/>
              <w:jc w:val="center"/>
              <w:rPr>
                <w:color w:val="000000"/>
                <w:sz w:val="24"/>
              </w:rPr>
            </w:pPr>
            <w:r>
              <w:rPr>
                <w:color w:val="000000"/>
                <w:sz w:val="24"/>
              </w:rPr>
              <w:t>9</w:t>
            </w:r>
          </w:p>
        </w:tc>
        <w:tc>
          <w:tcPr>
            <w:tcW w:w="1385" w:type="dxa"/>
            <w:tcBorders>
              <w:top w:val="single" w:sz="8" w:space="0" w:color="000000"/>
              <w:left w:val="single" w:sz="8" w:space="0" w:color="000000"/>
              <w:bottom w:val="single" w:sz="8" w:space="0" w:color="000000"/>
              <w:right w:val="single" w:sz="8" w:space="0" w:color="000000"/>
            </w:tcBorders>
          </w:tcPr>
          <w:p w:rsidR="00783788" w:rsidRDefault="002C6E18">
            <w:pPr>
              <w:spacing w:before="29" w:line="288" w:lineRule="auto"/>
              <w:ind w:left="17"/>
              <w:jc w:val="center"/>
              <w:rPr>
                <w:color w:val="000000"/>
                <w:kern w:val="0"/>
                <w:sz w:val="24"/>
              </w:rPr>
            </w:pPr>
            <w:r>
              <w:rPr>
                <w:color w:val="000000"/>
                <w:kern w:val="0"/>
                <w:sz w:val="24"/>
              </w:rPr>
              <w:t>600804</w:t>
            </w:r>
          </w:p>
        </w:tc>
        <w:tc>
          <w:tcPr>
            <w:tcW w:w="1338" w:type="dxa"/>
            <w:tcBorders>
              <w:top w:val="single" w:sz="8" w:space="0" w:color="000000"/>
              <w:left w:val="single" w:sz="8" w:space="0" w:color="000000"/>
              <w:bottom w:val="single" w:sz="8" w:space="0" w:color="000000"/>
              <w:right w:val="single" w:sz="8" w:space="0" w:color="000000"/>
            </w:tcBorders>
          </w:tcPr>
          <w:p w:rsidR="00783788" w:rsidRDefault="002C6E18">
            <w:pPr>
              <w:spacing w:before="29" w:line="288" w:lineRule="auto"/>
              <w:ind w:left="17"/>
              <w:jc w:val="center"/>
              <w:rPr>
                <w:color w:val="000000"/>
                <w:kern w:val="0"/>
                <w:sz w:val="24"/>
              </w:rPr>
            </w:pPr>
            <w:r>
              <w:rPr>
                <w:color w:val="000000"/>
                <w:kern w:val="0"/>
                <w:sz w:val="24"/>
              </w:rPr>
              <w:t>鹏博士</w:t>
            </w:r>
          </w:p>
        </w:tc>
        <w:tc>
          <w:tcPr>
            <w:tcW w:w="1735" w:type="dxa"/>
            <w:tcBorders>
              <w:top w:val="single" w:sz="8" w:space="0" w:color="000000"/>
              <w:left w:val="single" w:sz="8" w:space="0" w:color="000000"/>
              <w:bottom w:val="single" w:sz="8" w:space="0" w:color="000000"/>
              <w:right w:val="single" w:sz="8" w:space="0" w:color="000000"/>
            </w:tcBorders>
          </w:tcPr>
          <w:p w:rsidR="00783788" w:rsidRDefault="002C6E18">
            <w:pPr>
              <w:spacing w:before="29" w:line="288" w:lineRule="auto"/>
              <w:ind w:left="17"/>
              <w:jc w:val="right"/>
              <w:rPr>
                <w:color w:val="000000"/>
                <w:kern w:val="0"/>
                <w:sz w:val="24"/>
              </w:rPr>
            </w:pPr>
            <w:r>
              <w:rPr>
                <w:color w:val="000000"/>
                <w:kern w:val="0"/>
                <w:sz w:val="24"/>
              </w:rPr>
              <w:t>280,000</w:t>
            </w:r>
          </w:p>
        </w:tc>
        <w:tc>
          <w:tcPr>
            <w:tcW w:w="1784" w:type="dxa"/>
            <w:tcBorders>
              <w:top w:val="single" w:sz="8" w:space="0" w:color="000000"/>
              <w:left w:val="single" w:sz="8" w:space="0" w:color="000000"/>
              <w:bottom w:val="single" w:sz="8" w:space="0" w:color="000000"/>
              <w:right w:val="single" w:sz="8" w:space="0" w:color="000000"/>
            </w:tcBorders>
          </w:tcPr>
          <w:p w:rsidR="00783788" w:rsidRDefault="002C6E18">
            <w:pPr>
              <w:spacing w:before="29" w:line="288" w:lineRule="auto"/>
              <w:ind w:left="17"/>
              <w:jc w:val="right"/>
              <w:rPr>
                <w:color w:val="000000"/>
                <w:kern w:val="0"/>
                <w:sz w:val="24"/>
              </w:rPr>
            </w:pPr>
            <w:r>
              <w:rPr>
                <w:color w:val="000000"/>
                <w:kern w:val="0"/>
                <w:sz w:val="24"/>
              </w:rPr>
              <w:t>5,034,400.00</w:t>
            </w:r>
          </w:p>
        </w:tc>
        <w:tc>
          <w:tcPr>
            <w:tcW w:w="1601" w:type="dxa"/>
            <w:tcBorders>
              <w:top w:val="single" w:sz="8" w:space="0" w:color="000000"/>
              <w:left w:val="single" w:sz="8" w:space="0" w:color="000000"/>
              <w:bottom w:val="single" w:sz="8" w:space="0" w:color="000000"/>
              <w:right w:val="single" w:sz="8" w:space="0" w:color="000000"/>
            </w:tcBorders>
          </w:tcPr>
          <w:p w:rsidR="00783788" w:rsidRDefault="002C6E18">
            <w:pPr>
              <w:spacing w:before="29" w:line="288" w:lineRule="auto"/>
              <w:ind w:left="17"/>
              <w:jc w:val="right"/>
              <w:rPr>
                <w:color w:val="000000"/>
                <w:kern w:val="0"/>
                <w:sz w:val="24"/>
              </w:rPr>
            </w:pPr>
            <w:r>
              <w:rPr>
                <w:color w:val="000000"/>
                <w:kern w:val="0"/>
                <w:sz w:val="24"/>
              </w:rPr>
              <w:t>2.24</w:t>
            </w:r>
          </w:p>
        </w:tc>
      </w:tr>
      <w:tr w:rsidR="00783788">
        <w:tc>
          <w:tcPr>
            <w:tcW w:w="905" w:type="dxa"/>
            <w:tcBorders>
              <w:top w:val="single" w:sz="8" w:space="0" w:color="000000"/>
              <w:left w:val="single" w:sz="8" w:space="0" w:color="000000"/>
              <w:bottom w:val="single" w:sz="8" w:space="0" w:color="000000"/>
              <w:right w:val="single" w:sz="8" w:space="0" w:color="000000"/>
            </w:tcBorders>
          </w:tcPr>
          <w:p w:rsidR="00783788" w:rsidRDefault="002C6E18">
            <w:pPr>
              <w:spacing w:before="29" w:line="288" w:lineRule="auto"/>
              <w:ind w:left="17"/>
              <w:jc w:val="center"/>
              <w:rPr>
                <w:color w:val="000000"/>
                <w:sz w:val="24"/>
              </w:rPr>
            </w:pPr>
            <w:r>
              <w:rPr>
                <w:color w:val="000000"/>
                <w:sz w:val="24"/>
              </w:rPr>
              <w:t>10</w:t>
            </w:r>
          </w:p>
        </w:tc>
        <w:tc>
          <w:tcPr>
            <w:tcW w:w="1385" w:type="dxa"/>
            <w:tcBorders>
              <w:top w:val="single" w:sz="8" w:space="0" w:color="000000"/>
              <w:left w:val="single" w:sz="8" w:space="0" w:color="000000"/>
              <w:bottom w:val="single" w:sz="8" w:space="0" w:color="000000"/>
              <w:right w:val="single" w:sz="8" w:space="0" w:color="000000"/>
            </w:tcBorders>
          </w:tcPr>
          <w:p w:rsidR="00783788" w:rsidRDefault="002C6E18">
            <w:pPr>
              <w:spacing w:before="29" w:line="288" w:lineRule="auto"/>
              <w:ind w:left="17"/>
              <w:jc w:val="center"/>
              <w:rPr>
                <w:color w:val="000000"/>
                <w:kern w:val="0"/>
                <w:sz w:val="24"/>
              </w:rPr>
            </w:pPr>
            <w:r>
              <w:rPr>
                <w:color w:val="000000"/>
                <w:kern w:val="0"/>
                <w:sz w:val="24"/>
              </w:rPr>
              <w:t>000069</w:t>
            </w:r>
          </w:p>
        </w:tc>
        <w:tc>
          <w:tcPr>
            <w:tcW w:w="1338" w:type="dxa"/>
            <w:tcBorders>
              <w:top w:val="single" w:sz="8" w:space="0" w:color="000000"/>
              <w:left w:val="single" w:sz="8" w:space="0" w:color="000000"/>
              <w:bottom w:val="single" w:sz="8" w:space="0" w:color="000000"/>
              <w:right w:val="single" w:sz="8" w:space="0" w:color="000000"/>
            </w:tcBorders>
          </w:tcPr>
          <w:p w:rsidR="00783788" w:rsidRDefault="002C6E18">
            <w:pPr>
              <w:spacing w:before="29" w:line="288" w:lineRule="auto"/>
              <w:ind w:left="17"/>
              <w:jc w:val="center"/>
              <w:rPr>
                <w:color w:val="000000"/>
                <w:kern w:val="0"/>
                <w:sz w:val="24"/>
              </w:rPr>
            </w:pPr>
            <w:r>
              <w:rPr>
                <w:color w:val="000000"/>
                <w:kern w:val="0"/>
                <w:sz w:val="24"/>
              </w:rPr>
              <w:t>华侨城Ａ</w:t>
            </w:r>
          </w:p>
        </w:tc>
        <w:tc>
          <w:tcPr>
            <w:tcW w:w="1735" w:type="dxa"/>
            <w:tcBorders>
              <w:top w:val="single" w:sz="8" w:space="0" w:color="000000"/>
              <w:left w:val="single" w:sz="8" w:space="0" w:color="000000"/>
              <w:bottom w:val="single" w:sz="8" w:space="0" w:color="000000"/>
              <w:right w:val="single" w:sz="8" w:space="0" w:color="000000"/>
            </w:tcBorders>
          </w:tcPr>
          <w:p w:rsidR="00783788" w:rsidRDefault="002C6E18">
            <w:pPr>
              <w:spacing w:before="29" w:line="288" w:lineRule="auto"/>
              <w:ind w:left="17"/>
              <w:jc w:val="right"/>
              <w:rPr>
                <w:color w:val="000000"/>
                <w:kern w:val="0"/>
                <w:sz w:val="24"/>
              </w:rPr>
            </w:pPr>
            <w:r>
              <w:rPr>
                <w:color w:val="000000"/>
                <w:kern w:val="0"/>
                <w:sz w:val="24"/>
              </w:rPr>
              <w:t>600,000</w:t>
            </w:r>
          </w:p>
        </w:tc>
        <w:tc>
          <w:tcPr>
            <w:tcW w:w="1784" w:type="dxa"/>
            <w:tcBorders>
              <w:top w:val="single" w:sz="8" w:space="0" w:color="000000"/>
              <w:left w:val="single" w:sz="8" w:space="0" w:color="000000"/>
              <w:bottom w:val="single" w:sz="8" w:space="0" w:color="000000"/>
              <w:right w:val="single" w:sz="8" w:space="0" w:color="000000"/>
            </w:tcBorders>
          </w:tcPr>
          <w:p w:rsidR="00783788" w:rsidRDefault="002C6E18">
            <w:pPr>
              <w:spacing w:before="29" w:line="288" w:lineRule="auto"/>
              <w:ind w:left="17"/>
              <w:jc w:val="right"/>
              <w:rPr>
                <w:color w:val="000000"/>
                <w:kern w:val="0"/>
                <w:sz w:val="24"/>
              </w:rPr>
            </w:pPr>
            <w:r>
              <w:rPr>
                <w:color w:val="000000"/>
                <w:kern w:val="0"/>
                <w:sz w:val="24"/>
              </w:rPr>
              <w:t>4,950,000.00</w:t>
            </w:r>
          </w:p>
        </w:tc>
        <w:tc>
          <w:tcPr>
            <w:tcW w:w="1601" w:type="dxa"/>
            <w:tcBorders>
              <w:top w:val="single" w:sz="8" w:space="0" w:color="000000"/>
              <w:left w:val="single" w:sz="8" w:space="0" w:color="000000"/>
              <w:bottom w:val="single" w:sz="8" w:space="0" w:color="000000"/>
              <w:right w:val="single" w:sz="8" w:space="0" w:color="000000"/>
            </w:tcBorders>
          </w:tcPr>
          <w:p w:rsidR="00783788" w:rsidRDefault="002C6E18">
            <w:pPr>
              <w:spacing w:before="29" w:line="288" w:lineRule="auto"/>
              <w:ind w:left="17"/>
              <w:jc w:val="right"/>
              <w:rPr>
                <w:color w:val="000000"/>
                <w:kern w:val="0"/>
                <w:sz w:val="24"/>
              </w:rPr>
            </w:pPr>
            <w:r>
              <w:rPr>
                <w:color w:val="000000"/>
                <w:kern w:val="0"/>
                <w:sz w:val="24"/>
              </w:rPr>
              <w:t>2.20</w:t>
            </w:r>
          </w:p>
        </w:tc>
      </w:tr>
      <w:tr w:rsidR="00783788">
        <w:tc>
          <w:tcPr>
            <w:tcW w:w="905" w:type="dxa"/>
            <w:tcBorders>
              <w:top w:val="single" w:sz="8" w:space="0" w:color="000000"/>
              <w:left w:val="single" w:sz="8" w:space="0" w:color="000000"/>
              <w:bottom w:val="single" w:sz="8" w:space="0" w:color="000000"/>
              <w:right w:val="single" w:sz="8" w:space="0" w:color="000000"/>
            </w:tcBorders>
          </w:tcPr>
          <w:p w:rsidR="00783788" w:rsidRDefault="002C6E18">
            <w:pPr>
              <w:spacing w:before="29" w:line="288" w:lineRule="auto"/>
              <w:ind w:left="17"/>
              <w:jc w:val="center"/>
              <w:rPr>
                <w:color w:val="000000"/>
                <w:sz w:val="24"/>
              </w:rPr>
            </w:pPr>
            <w:r>
              <w:rPr>
                <w:color w:val="000000"/>
                <w:sz w:val="24"/>
              </w:rPr>
              <w:t>10</w:t>
            </w:r>
          </w:p>
        </w:tc>
        <w:tc>
          <w:tcPr>
            <w:tcW w:w="1385" w:type="dxa"/>
            <w:tcBorders>
              <w:top w:val="single" w:sz="8" w:space="0" w:color="000000"/>
              <w:left w:val="single" w:sz="8" w:space="0" w:color="000000"/>
              <w:bottom w:val="single" w:sz="8" w:space="0" w:color="000000"/>
              <w:right w:val="single" w:sz="8" w:space="0" w:color="000000"/>
            </w:tcBorders>
          </w:tcPr>
          <w:p w:rsidR="00783788" w:rsidRDefault="002C6E18">
            <w:pPr>
              <w:spacing w:before="29" w:line="288" w:lineRule="auto"/>
              <w:ind w:left="17"/>
              <w:jc w:val="center"/>
              <w:rPr>
                <w:color w:val="000000"/>
                <w:kern w:val="0"/>
                <w:sz w:val="24"/>
              </w:rPr>
            </w:pPr>
            <w:r>
              <w:rPr>
                <w:color w:val="000000"/>
                <w:kern w:val="0"/>
                <w:sz w:val="24"/>
              </w:rPr>
              <w:t>601166</w:t>
            </w:r>
          </w:p>
        </w:tc>
        <w:tc>
          <w:tcPr>
            <w:tcW w:w="1338" w:type="dxa"/>
            <w:tcBorders>
              <w:top w:val="single" w:sz="8" w:space="0" w:color="000000"/>
              <w:left w:val="single" w:sz="8" w:space="0" w:color="000000"/>
              <w:bottom w:val="single" w:sz="8" w:space="0" w:color="000000"/>
              <w:right w:val="single" w:sz="8" w:space="0" w:color="000000"/>
            </w:tcBorders>
          </w:tcPr>
          <w:p w:rsidR="00783788" w:rsidRDefault="002C6E18">
            <w:pPr>
              <w:spacing w:before="29" w:line="288" w:lineRule="auto"/>
              <w:ind w:left="17"/>
              <w:jc w:val="center"/>
              <w:rPr>
                <w:color w:val="000000"/>
                <w:kern w:val="0"/>
                <w:sz w:val="24"/>
              </w:rPr>
            </w:pPr>
            <w:r>
              <w:rPr>
                <w:color w:val="000000"/>
                <w:kern w:val="0"/>
                <w:sz w:val="24"/>
              </w:rPr>
              <w:t>兴业银行</w:t>
            </w:r>
          </w:p>
        </w:tc>
        <w:tc>
          <w:tcPr>
            <w:tcW w:w="1735" w:type="dxa"/>
            <w:tcBorders>
              <w:top w:val="single" w:sz="8" w:space="0" w:color="000000"/>
              <w:left w:val="single" w:sz="8" w:space="0" w:color="000000"/>
              <w:bottom w:val="single" w:sz="8" w:space="0" w:color="000000"/>
              <w:right w:val="single" w:sz="8" w:space="0" w:color="000000"/>
            </w:tcBorders>
          </w:tcPr>
          <w:p w:rsidR="00783788" w:rsidRDefault="002C6E18">
            <w:pPr>
              <w:spacing w:before="29" w:line="288" w:lineRule="auto"/>
              <w:ind w:left="17"/>
              <w:jc w:val="right"/>
              <w:rPr>
                <w:color w:val="000000"/>
                <w:kern w:val="0"/>
                <w:sz w:val="24"/>
              </w:rPr>
            </w:pPr>
            <w:r>
              <w:rPr>
                <w:color w:val="000000"/>
                <w:kern w:val="0"/>
                <w:sz w:val="24"/>
              </w:rPr>
              <w:t>300,000</w:t>
            </w:r>
          </w:p>
        </w:tc>
        <w:tc>
          <w:tcPr>
            <w:tcW w:w="1784" w:type="dxa"/>
            <w:tcBorders>
              <w:top w:val="single" w:sz="8" w:space="0" w:color="000000"/>
              <w:left w:val="single" w:sz="8" w:space="0" w:color="000000"/>
              <w:bottom w:val="single" w:sz="8" w:space="0" w:color="000000"/>
              <w:right w:val="single" w:sz="8" w:space="0" w:color="000000"/>
            </w:tcBorders>
          </w:tcPr>
          <w:p w:rsidR="00783788" w:rsidRDefault="002C6E18">
            <w:pPr>
              <w:spacing w:before="29" w:line="288" w:lineRule="auto"/>
              <w:ind w:left="17"/>
              <w:jc w:val="right"/>
              <w:rPr>
                <w:color w:val="000000"/>
                <w:kern w:val="0"/>
                <w:sz w:val="24"/>
              </w:rPr>
            </w:pPr>
            <w:r>
              <w:rPr>
                <w:color w:val="000000"/>
                <w:kern w:val="0"/>
                <w:sz w:val="24"/>
              </w:rPr>
              <w:t>4,950,000.00</w:t>
            </w:r>
          </w:p>
        </w:tc>
        <w:tc>
          <w:tcPr>
            <w:tcW w:w="1601" w:type="dxa"/>
            <w:tcBorders>
              <w:top w:val="single" w:sz="8" w:space="0" w:color="000000"/>
              <w:left w:val="single" w:sz="8" w:space="0" w:color="000000"/>
              <w:bottom w:val="single" w:sz="8" w:space="0" w:color="000000"/>
              <w:right w:val="single" w:sz="8" w:space="0" w:color="000000"/>
            </w:tcBorders>
          </w:tcPr>
          <w:p w:rsidR="00783788" w:rsidRDefault="002C6E18">
            <w:pPr>
              <w:spacing w:before="29" w:line="288" w:lineRule="auto"/>
              <w:ind w:left="17"/>
              <w:jc w:val="right"/>
              <w:rPr>
                <w:color w:val="000000"/>
                <w:kern w:val="0"/>
                <w:sz w:val="24"/>
              </w:rPr>
            </w:pPr>
            <w:r>
              <w:rPr>
                <w:color w:val="000000"/>
                <w:kern w:val="0"/>
                <w:sz w:val="24"/>
              </w:rPr>
              <w:t>2.20</w:t>
            </w:r>
          </w:p>
        </w:tc>
      </w:tr>
    </w:tbl>
    <w:p w:rsidR="00783788" w:rsidRDefault="00783788">
      <w:pPr>
        <w:spacing w:line="360" w:lineRule="auto"/>
        <w:ind w:firstLineChars="200" w:firstLine="480"/>
        <w:rPr>
          <w:sz w:val="24"/>
        </w:rPr>
      </w:pPr>
    </w:p>
    <w:p w:rsidR="00783788" w:rsidRDefault="002C6E18">
      <w:pPr>
        <w:spacing w:line="360" w:lineRule="auto"/>
        <w:ind w:firstLineChars="200" w:firstLine="480"/>
        <w:rPr>
          <w:sz w:val="24"/>
        </w:rPr>
      </w:pPr>
      <w:r>
        <w:rPr>
          <w:sz w:val="24"/>
        </w:rPr>
        <w:t>4</w:t>
      </w:r>
      <w:r>
        <w:rPr>
          <w:rFonts w:hint="eastAsia"/>
          <w:sz w:val="24"/>
        </w:rPr>
        <w:t>、</w:t>
      </w:r>
      <w:r>
        <w:rPr>
          <w:sz w:val="24"/>
        </w:rPr>
        <w:t>报告期末按债券品种分类的债券投资组合</w:t>
      </w:r>
    </w:p>
    <w:tbl>
      <w:tblPr>
        <w:tblW w:w="8748" w:type="dxa"/>
        <w:tblInd w:w="108" w:type="dxa"/>
        <w:tblLayout w:type="fixed"/>
        <w:tblLook w:val="04A0" w:firstRow="1" w:lastRow="0" w:firstColumn="1" w:lastColumn="0" w:noHBand="0" w:noVBand="1"/>
      </w:tblPr>
      <w:tblGrid>
        <w:gridCol w:w="921"/>
        <w:gridCol w:w="3399"/>
        <w:gridCol w:w="2463"/>
        <w:gridCol w:w="1965"/>
      </w:tblGrid>
      <w:tr w:rsidR="00783788">
        <w:tc>
          <w:tcPr>
            <w:tcW w:w="921" w:type="dxa"/>
            <w:tcBorders>
              <w:top w:val="single" w:sz="8" w:space="0" w:color="000000"/>
              <w:left w:val="single" w:sz="8" w:space="0" w:color="000000"/>
              <w:bottom w:val="single" w:sz="8" w:space="0" w:color="000000"/>
              <w:right w:val="single" w:sz="8" w:space="0" w:color="000000"/>
            </w:tcBorders>
          </w:tcPr>
          <w:p w:rsidR="00783788" w:rsidRDefault="002C6E18">
            <w:pPr>
              <w:spacing w:before="29" w:line="288" w:lineRule="auto"/>
              <w:ind w:left="17"/>
              <w:jc w:val="center"/>
              <w:rPr>
                <w:color w:val="000000"/>
                <w:sz w:val="24"/>
              </w:rPr>
            </w:pPr>
            <w:r>
              <w:rPr>
                <w:color w:val="000000"/>
                <w:sz w:val="24"/>
              </w:rPr>
              <w:t>序号</w:t>
            </w:r>
          </w:p>
        </w:tc>
        <w:tc>
          <w:tcPr>
            <w:tcW w:w="3399" w:type="dxa"/>
            <w:tcBorders>
              <w:top w:val="single" w:sz="8" w:space="0" w:color="000000"/>
              <w:left w:val="single" w:sz="8" w:space="0" w:color="000000"/>
              <w:bottom w:val="single" w:sz="8" w:space="0" w:color="000000"/>
              <w:right w:val="single" w:sz="8" w:space="0" w:color="000000"/>
            </w:tcBorders>
          </w:tcPr>
          <w:p w:rsidR="00783788" w:rsidRDefault="002C6E18">
            <w:pPr>
              <w:spacing w:before="29" w:line="288" w:lineRule="auto"/>
              <w:ind w:left="17"/>
              <w:jc w:val="center"/>
              <w:rPr>
                <w:color w:val="000000"/>
                <w:kern w:val="0"/>
                <w:sz w:val="24"/>
              </w:rPr>
            </w:pPr>
            <w:r>
              <w:rPr>
                <w:color w:val="000000"/>
                <w:kern w:val="0"/>
                <w:sz w:val="24"/>
              </w:rPr>
              <w:t>债券品种</w:t>
            </w:r>
          </w:p>
        </w:tc>
        <w:tc>
          <w:tcPr>
            <w:tcW w:w="2463" w:type="dxa"/>
            <w:tcBorders>
              <w:top w:val="single" w:sz="8" w:space="0" w:color="000000"/>
              <w:left w:val="single" w:sz="8" w:space="0" w:color="000000"/>
              <w:bottom w:val="single" w:sz="8" w:space="0" w:color="000000"/>
              <w:right w:val="single" w:sz="8" w:space="0" w:color="000000"/>
            </w:tcBorders>
          </w:tcPr>
          <w:p w:rsidR="00783788" w:rsidRDefault="002C6E18">
            <w:pPr>
              <w:spacing w:before="29" w:line="288" w:lineRule="auto"/>
              <w:ind w:left="17"/>
              <w:jc w:val="center"/>
              <w:rPr>
                <w:color w:val="000000"/>
                <w:kern w:val="0"/>
                <w:sz w:val="24"/>
              </w:rPr>
            </w:pPr>
            <w:r>
              <w:rPr>
                <w:color w:val="000000"/>
                <w:kern w:val="0"/>
                <w:sz w:val="24"/>
              </w:rPr>
              <w:t>公允价值（元）</w:t>
            </w:r>
          </w:p>
        </w:tc>
        <w:tc>
          <w:tcPr>
            <w:tcW w:w="1965" w:type="dxa"/>
            <w:tcBorders>
              <w:top w:val="single" w:sz="8" w:space="0" w:color="000000"/>
              <w:left w:val="single" w:sz="8" w:space="0" w:color="000000"/>
              <w:bottom w:val="single" w:sz="8" w:space="0" w:color="000000"/>
              <w:right w:val="single" w:sz="8" w:space="0" w:color="000000"/>
            </w:tcBorders>
          </w:tcPr>
          <w:p w:rsidR="00783788" w:rsidRDefault="002C6E18">
            <w:pPr>
              <w:spacing w:before="29" w:line="288" w:lineRule="auto"/>
              <w:ind w:left="17"/>
              <w:jc w:val="center"/>
              <w:rPr>
                <w:color w:val="000000"/>
                <w:kern w:val="0"/>
                <w:sz w:val="24"/>
              </w:rPr>
            </w:pPr>
            <w:r>
              <w:rPr>
                <w:color w:val="000000"/>
                <w:kern w:val="0"/>
                <w:sz w:val="24"/>
              </w:rPr>
              <w:t>占基金资产净值比例（％）</w:t>
            </w:r>
          </w:p>
        </w:tc>
      </w:tr>
      <w:tr w:rsidR="00783788">
        <w:tc>
          <w:tcPr>
            <w:tcW w:w="921" w:type="dxa"/>
            <w:tcBorders>
              <w:top w:val="single" w:sz="8" w:space="0" w:color="000000"/>
              <w:left w:val="single" w:sz="8" w:space="0" w:color="000000"/>
              <w:bottom w:val="single" w:sz="8" w:space="0" w:color="000000"/>
              <w:right w:val="single" w:sz="8" w:space="0" w:color="000000"/>
            </w:tcBorders>
          </w:tcPr>
          <w:p w:rsidR="00783788" w:rsidRDefault="002C6E18">
            <w:pPr>
              <w:spacing w:before="29" w:line="288" w:lineRule="auto"/>
              <w:ind w:left="17"/>
              <w:jc w:val="center"/>
              <w:rPr>
                <w:color w:val="000000"/>
                <w:sz w:val="24"/>
              </w:rPr>
            </w:pPr>
            <w:r>
              <w:rPr>
                <w:color w:val="000000"/>
                <w:sz w:val="24"/>
              </w:rPr>
              <w:t>1</w:t>
            </w:r>
          </w:p>
        </w:tc>
        <w:tc>
          <w:tcPr>
            <w:tcW w:w="3399" w:type="dxa"/>
            <w:tcBorders>
              <w:top w:val="single" w:sz="8" w:space="0" w:color="000000"/>
              <w:left w:val="single" w:sz="8" w:space="0" w:color="000000"/>
              <w:bottom w:val="single" w:sz="8" w:space="0" w:color="000000"/>
              <w:right w:val="single" w:sz="8" w:space="0" w:color="000000"/>
            </w:tcBorders>
          </w:tcPr>
          <w:p w:rsidR="00783788" w:rsidRDefault="002C6E18" w:rsidP="00D34C1B">
            <w:pPr>
              <w:spacing w:before="29" w:line="288" w:lineRule="auto"/>
              <w:ind w:left="17"/>
              <w:jc w:val="left"/>
              <w:rPr>
                <w:color w:val="000000"/>
                <w:kern w:val="0"/>
                <w:sz w:val="24"/>
              </w:rPr>
            </w:pPr>
            <w:r>
              <w:rPr>
                <w:color w:val="000000"/>
                <w:kern w:val="0"/>
                <w:sz w:val="24"/>
              </w:rPr>
              <w:t>国家债券</w:t>
            </w:r>
          </w:p>
        </w:tc>
        <w:tc>
          <w:tcPr>
            <w:tcW w:w="2463" w:type="dxa"/>
            <w:tcBorders>
              <w:top w:val="single" w:sz="8" w:space="0" w:color="000000"/>
              <w:left w:val="single" w:sz="8" w:space="0" w:color="000000"/>
              <w:bottom w:val="single" w:sz="8" w:space="0" w:color="000000"/>
              <w:right w:val="single" w:sz="8" w:space="0" w:color="000000"/>
            </w:tcBorders>
          </w:tcPr>
          <w:p w:rsidR="00783788" w:rsidRDefault="002C6E18">
            <w:pPr>
              <w:spacing w:before="29" w:line="288" w:lineRule="auto"/>
              <w:ind w:left="17"/>
              <w:jc w:val="right"/>
              <w:rPr>
                <w:color w:val="000000"/>
                <w:kern w:val="0"/>
                <w:sz w:val="24"/>
              </w:rPr>
            </w:pPr>
            <w:r>
              <w:rPr>
                <w:color w:val="000000"/>
                <w:kern w:val="0"/>
                <w:sz w:val="24"/>
              </w:rPr>
              <w:t>-</w:t>
            </w:r>
          </w:p>
        </w:tc>
        <w:tc>
          <w:tcPr>
            <w:tcW w:w="1965" w:type="dxa"/>
            <w:tcBorders>
              <w:top w:val="single" w:sz="8" w:space="0" w:color="000000"/>
              <w:left w:val="single" w:sz="8" w:space="0" w:color="000000"/>
              <w:bottom w:val="single" w:sz="8" w:space="0" w:color="000000"/>
              <w:right w:val="single" w:sz="8" w:space="0" w:color="000000"/>
            </w:tcBorders>
          </w:tcPr>
          <w:p w:rsidR="00783788" w:rsidRDefault="002C6E18">
            <w:pPr>
              <w:spacing w:before="29" w:line="288" w:lineRule="auto"/>
              <w:ind w:left="17"/>
              <w:jc w:val="right"/>
              <w:rPr>
                <w:color w:val="000000"/>
                <w:kern w:val="0"/>
                <w:sz w:val="24"/>
              </w:rPr>
            </w:pPr>
            <w:r>
              <w:rPr>
                <w:color w:val="000000"/>
                <w:kern w:val="0"/>
                <w:sz w:val="24"/>
              </w:rPr>
              <w:t>-</w:t>
            </w:r>
          </w:p>
        </w:tc>
      </w:tr>
      <w:tr w:rsidR="00783788">
        <w:tc>
          <w:tcPr>
            <w:tcW w:w="921" w:type="dxa"/>
            <w:tcBorders>
              <w:top w:val="single" w:sz="8" w:space="0" w:color="000000"/>
              <w:left w:val="single" w:sz="8" w:space="0" w:color="000000"/>
              <w:bottom w:val="single" w:sz="8" w:space="0" w:color="000000"/>
              <w:right w:val="single" w:sz="8" w:space="0" w:color="000000"/>
            </w:tcBorders>
          </w:tcPr>
          <w:p w:rsidR="00783788" w:rsidRDefault="002C6E18">
            <w:pPr>
              <w:spacing w:before="29" w:line="288" w:lineRule="auto"/>
              <w:ind w:left="17"/>
              <w:jc w:val="center"/>
              <w:rPr>
                <w:color w:val="000000"/>
                <w:sz w:val="24"/>
              </w:rPr>
            </w:pPr>
            <w:r>
              <w:rPr>
                <w:color w:val="000000"/>
                <w:sz w:val="24"/>
              </w:rPr>
              <w:t>2</w:t>
            </w:r>
          </w:p>
        </w:tc>
        <w:tc>
          <w:tcPr>
            <w:tcW w:w="3399" w:type="dxa"/>
            <w:tcBorders>
              <w:top w:val="single" w:sz="8" w:space="0" w:color="000000"/>
              <w:left w:val="single" w:sz="8" w:space="0" w:color="000000"/>
              <w:bottom w:val="single" w:sz="8" w:space="0" w:color="000000"/>
              <w:right w:val="single" w:sz="8" w:space="0" w:color="000000"/>
            </w:tcBorders>
          </w:tcPr>
          <w:p w:rsidR="00783788" w:rsidRDefault="002C6E18" w:rsidP="00D34C1B">
            <w:pPr>
              <w:spacing w:before="29" w:line="288" w:lineRule="auto"/>
              <w:ind w:left="17"/>
              <w:jc w:val="left"/>
              <w:rPr>
                <w:color w:val="000000"/>
                <w:kern w:val="0"/>
                <w:sz w:val="24"/>
              </w:rPr>
            </w:pPr>
            <w:r>
              <w:rPr>
                <w:color w:val="000000"/>
                <w:kern w:val="0"/>
                <w:sz w:val="24"/>
              </w:rPr>
              <w:t>央行票据</w:t>
            </w:r>
          </w:p>
        </w:tc>
        <w:tc>
          <w:tcPr>
            <w:tcW w:w="2463" w:type="dxa"/>
            <w:tcBorders>
              <w:top w:val="single" w:sz="8" w:space="0" w:color="000000"/>
              <w:left w:val="single" w:sz="8" w:space="0" w:color="000000"/>
              <w:bottom w:val="single" w:sz="8" w:space="0" w:color="000000"/>
              <w:right w:val="single" w:sz="8" w:space="0" w:color="000000"/>
            </w:tcBorders>
          </w:tcPr>
          <w:p w:rsidR="00783788" w:rsidRDefault="002C6E18">
            <w:pPr>
              <w:spacing w:before="29" w:line="288" w:lineRule="auto"/>
              <w:ind w:left="17"/>
              <w:jc w:val="right"/>
              <w:rPr>
                <w:color w:val="000000"/>
                <w:kern w:val="0"/>
                <w:sz w:val="24"/>
              </w:rPr>
            </w:pPr>
            <w:r>
              <w:rPr>
                <w:color w:val="000000"/>
                <w:kern w:val="0"/>
                <w:sz w:val="24"/>
              </w:rPr>
              <w:t>-</w:t>
            </w:r>
          </w:p>
        </w:tc>
        <w:tc>
          <w:tcPr>
            <w:tcW w:w="1965" w:type="dxa"/>
            <w:tcBorders>
              <w:top w:val="single" w:sz="8" w:space="0" w:color="000000"/>
              <w:left w:val="single" w:sz="8" w:space="0" w:color="000000"/>
              <w:bottom w:val="single" w:sz="8" w:space="0" w:color="000000"/>
              <w:right w:val="single" w:sz="8" w:space="0" w:color="000000"/>
            </w:tcBorders>
          </w:tcPr>
          <w:p w:rsidR="00783788" w:rsidRDefault="002C6E18">
            <w:pPr>
              <w:spacing w:before="29" w:line="288" w:lineRule="auto"/>
              <w:ind w:left="17"/>
              <w:jc w:val="right"/>
              <w:rPr>
                <w:color w:val="000000"/>
                <w:kern w:val="0"/>
                <w:sz w:val="24"/>
              </w:rPr>
            </w:pPr>
            <w:r>
              <w:rPr>
                <w:color w:val="000000"/>
                <w:kern w:val="0"/>
                <w:sz w:val="24"/>
              </w:rPr>
              <w:t>-</w:t>
            </w:r>
          </w:p>
        </w:tc>
      </w:tr>
      <w:tr w:rsidR="00783788">
        <w:tc>
          <w:tcPr>
            <w:tcW w:w="921" w:type="dxa"/>
            <w:tcBorders>
              <w:top w:val="single" w:sz="8" w:space="0" w:color="000000"/>
              <w:left w:val="single" w:sz="8" w:space="0" w:color="000000"/>
              <w:bottom w:val="single" w:sz="8" w:space="0" w:color="000000"/>
              <w:right w:val="single" w:sz="8" w:space="0" w:color="000000"/>
            </w:tcBorders>
          </w:tcPr>
          <w:p w:rsidR="00783788" w:rsidRDefault="002C6E18">
            <w:pPr>
              <w:spacing w:before="29" w:line="288" w:lineRule="auto"/>
              <w:ind w:left="17"/>
              <w:jc w:val="center"/>
              <w:rPr>
                <w:color w:val="000000"/>
                <w:sz w:val="24"/>
              </w:rPr>
            </w:pPr>
            <w:r>
              <w:rPr>
                <w:color w:val="000000"/>
                <w:sz w:val="24"/>
              </w:rPr>
              <w:t>3</w:t>
            </w:r>
          </w:p>
        </w:tc>
        <w:tc>
          <w:tcPr>
            <w:tcW w:w="3399" w:type="dxa"/>
            <w:tcBorders>
              <w:top w:val="single" w:sz="8" w:space="0" w:color="000000"/>
              <w:left w:val="single" w:sz="8" w:space="0" w:color="000000"/>
              <w:bottom w:val="single" w:sz="8" w:space="0" w:color="000000"/>
              <w:right w:val="single" w:sz="8" w:space="0" w:color="000000"/>
            </w:tcBorders>
          </w:tcPr>
          <w:p w:rsidR="00783788" w:rsidRDefault="002C6E18" w:rsidP="00D34C1B">
            <w:pPr>
              <w:spacing w:before="29" w:line="288" w:lineRule="auto"/>
              <w:ind w:left="17"/>
              <w:jc w:val="left"/>
              <w:rPr>
                <w:color w:val="000000"/>
                <w:kern w:val="0"/>
                <w:sz w:val="24"/>
              </w:rPr>
            </w:pPr>
            <w:r>
              <w:rPr>
                <w:color w:val="000000"/>
                <w:kern w:val="0"/>
                <w:sz w:val="24"/>
              </w:rPr>
              <w:t>金融债券</w:t>
            </w:r>
          </w:p>
        </w:tc>
        <w:tc>
          <w:tcPr>
            <w:tcW w:w="2463" w:type="dxa"/>
            <w:tcBorders>
              <w:top w:val="single" w:sz="8" w:space="0" w:color="000000"/>
              <w:left w:val="single" w:sz="8" w:space="0" w:color="000000"/>
              <w:bottom w:val="single" w:sz="8" w:space="0" w:color="000000"/>
              <w:right w:val="single" w:sz="8" w:space="0" w:color="000000"/>
            </w:tcBorders>
          </w:tcPr>
          <w:p w:rsidR="00783788" w:rsidRDefault="002C6E18">
            <w:pPr>
              <w:spacing w:before="29" w:line="288" w:lineRule="auto"/>
              <w:ind w:left="17"/>
              <w:jc w:val="right"/>
              <w:rPr>
                <w:color w:val="000000"/>
                <w:kern w:val="0"/>
                <w:sz w:val="24"/>
              </w:rPr>
            </w:pPr>
            <w:r>
              <w:rPr>
                <w:color w:val="000000"/>
                <w:kern w:val="0"/>
                <w:sz w:val="24"/>
              </w:rPr>
              <w:t>10,000,000.00</w:t>
            </w:r>
          </w:p>
        </w:tc>
        <w:tc>
          <w:tcPr>
            <w:tcW w:w="1965" w:type="dxa"/>
            <w:tcBorders>
              <w:top w:val="single" w:sz="8" w:space="0" w:color="000000"/>
              <w:left w:val="single" w:sz="8" w:space="0" w:color="000000"/>
              <w:bottom w:val="single" w:sz="8" w:space="0" w:color="000000"/>
              <w:right w:val="single" w:sz="8" w:space="0" w:color="000000"/>
            </w:tcBorders>
          </w:tcPr>
          <w:p w:rsidR="00783788" w:rsidRDefault="002C6E18">
            <w:pPr>
              <w:spacing w:before="29" w:line="288" w:lineRule="auto"/>
              <w:ind w:left="17"/>
              <w:jc w:val="right"/>
              <w:rPr>
                <w:color w:val="000000"/>
                <w:kern w:val="0"/>
                <w:sz w:val="24"/>
              </w:rPr>
            </w:pPr>
            <w:r>
              <w:rPr>
                <w:color w:val="000000"/>
                <w:kern w:val="0"/>
                <w:sz w:val="24"/>
              </w:rPr>
              <w:t>4.45</w:t>
            </w:r>
          </w:p>
        </w:tc>
      </w:tr>
      <w:tr w:rsidR="00783788">
        <w:tc>
          <w:tcPr>
            <w:tcW w:w="921" w:type="dxa"/>
            <w:tcBorders>
              <w:top w:val="single" w:sz="8" w:space="0" w:color="000000"/>
              <w:left w:val="single" w:sz="8" w:space="0" w:color="000000"/>
              <w:bottom w:val="single" w:sz="8" w:space="0" w:color="000000"/>
              <w:right w:val="single" w:sz="8" w:space="0" w:color="000000"/>
            </w:tcBorders>
          </w:tcPr>
          <w:p w:rsidR="00783788" w:rsidRDefault="00783788">
            <w:pPr>
              <w:spacing w:before="29" w:line="288" w:lineRule="auto"/>
              <w:ind w:left="17"/>
              <w:jc w:val="center"/>
              <w:rPr>
                <w:color w:val="000000"/>
                <w:sz w:val="24"/>
              </w:rPr>
            </w:pPr>
          </w:p>
        </w:tc>
        <w:tc>
          <w:tcPr>
            <w:tcW w:w="3399" w:type="dxa"/>
            <w:tcBorders>
              <w:top w:val="single" w:sz="8" w:space="0" w:color="000000"/>
              <w:left w:val="single" w:sz="8" w:space="0" w:color="000000"/>
              <w:bottom w:val="single" w:sz="8" w:space="0" w:color="000000"/>
              <w:right w:val="single" w:sz="8" w:space="0" w:color="000000"/>
            </w:tcBorders>
          </w:tcPr>
          <w:p w:rsidR="00783788" w:rsidRDefault="002C6E18" w:rsidP="00D34C1B">
            <w:pPr>
              <w:spacing w:before="29" w:line="288" w:lineRule="auto"/>
              <w:ind w:left="17"/>
              <w:jc w:val="left"/>
              <w:rPr>
                <w:color w:val="000000"/>
                <w:kern w:val="0"/>
                <w:sz w:val="24"/>
              </w:rPr>
            </w:pPr>
            <w:r>
              <w:rPr>
                <w:color w:val="000000"/>
                <w:kern w:val="0"/>
                <w:sz w:val="24"/>
              </w:rPr>
              <w:t>其中：政策性金融债</w:t>
            </w:r>
          </w:p>
        </w:tc>
        <w:tc>
          <w:tcPr>
            <w:tcW w:w="2463" w:type="dxa"/>
            <w:tcBorders>
              <w:top w:val="single" w:sz="8" w:space="0" w:color="000000"/>
              <w:left w:val="single" w:sz="8" w:space="0" w:color="000000"/>
              <w:bottom w:val="single" w:sz="8" w:space="0" w:color="000000"/>
              <w:right w:val="single" w:sz="8" w:space="0" w:color="000000"/>
            </w:tcBorders>
          </w:tcPr>
          <w:p w:rsidR="00783788" w:rsidRDefault="002C6E18">
            <w:pPr>
              <w:spacing w:before="29" w:line="288" w:lineRule="auto"/>
              <w:ind w:left="17"/>
              <w:jc w:val="right"/>
              <w:rPr>
                <w:color w:val="000000"/>
                <w:kern w:val="0"/>
                <w:sz w:val="24"/>
              </w:rPr>
            </w:pPr>
            <w:r>
              <w:rPr>
                <w:color w:val="000000"/>
                <w:kern w:val="0"/>
                <w:sz w:val="24"/>
              </w:rPr>
              <w:t>10,000,000.00</w:t>
            </w:r>
          </w:p>
        </w:tc>
        <w:tc>
          <w:tcPr>
            <w:tcW w:w="1965" w:type="dxa"/>
            <w:tcBorders>
              <w:top w:val="single" w:sz="8" w:space="0" w:color="000000"/>
              <w:left w:val="single" w:sz="8" w:space="0" w:color="000000"/>
              <w:bottom w:val="single" w:sz="8" w:space="0" w:color="000000"/>
              <w:right w:val="single" w:sz="8" w:space="0" w:color="000000"/>
            </w:tcBorders>
          </w:tcPr>
          <w:p w:rsidR="00783788" w:rsidRDefault="002C6E18">
            <w:pPr>
              <w:spacing w:before="29" w:line="288" w:lineRule="auto"/>
              <w:ind w:left="17"/>
              <w:jc w:val="right"/>
              <w:rPr>
                <w:color w:val="000000"/>
                <w:kern w:val="0"/>
                <w:sz w:val="24"/>
              </w:rPr>
            </w:pPr>
            <w:r>
              <w:rPr>
                <w:color w:val="000000"/>
                <w:kern w:val="0"/>
                <w:sz w:val="24"/>
              </w:rPr>
              <w:t>4.45</w:t>
            </w:r>
          </w:p>
        </w:tc>
      </w:tr>
      <w:tr w:rsidR="00783788">
        <w:tc>
          <w:tcPr>
            <w:tcW w:w="921" w:type="dxa"/>
            <w:tcBorders>
              <w:top w:val="single" w:sz="8" w:space="0" w:color="000000"/>
              <w:left w:val="single" w:sz="8" w:space="0" w:color="000000"/>
              <w:bottom w:val="single" w:sz="8" w:space="0" w:color="000000"/>
              <w:right w:val="single" w:sz="8" w:space="0" w:color="000000"/>
            </w:tcBorders>
          </w:tcPr>
          <w:p w:rsidR="00783788" w:rsidRDefault="002C6E18">
            <w:pPr>
              <w:spacing w:before="29" w:line="288" w:lineRule="auto"/>
              <w:ind w:left="17"/>
              <w:jc w:val="center"/>
              <w:rPr>
                <w:color w:val="000000"/>
                <w:sz w:val="24"/>
              </w:rPr>
            </w:pPr>
            <w:r>
              <w:rPr>
                <w:color w:val="000000"/>
                <w:sz w:val="24"/>
              </w:rPr>
              <w:t>4</w:t>
            </w:r>
          </w:p>
        </w:tc>
        <w:tc>
          <w:tcPr>
            <w:tcW w:w="3399" w:type="dxa"/>
            <w:tcBorders>
              <w:top w:val="single" w:sz="8" w:space="0" w:color="000000"/>
              <w:left w:val="single" w:sz="8" w:space="0" w:color="000000"/>
              <w:bottom w:val="single" w:sz="8" w:space="0" w:color="000000"/>
              <w:right w:val="single" w:sz="8" w:space="0" w:color="000000"/>
            </w:tcBorders>
          </w:tcPr>
          <w:p w:rsidR="00783788" w:rsidRDefault="002C6E18" w:rsidP="00D34C1B">
            <w:pPr>
              <w:spacing w:before="29" w:line="288" w:lineRule="auto"/>
              <w:ind w:left="17"/>
              <w:jc w:val="left"/>
              <w:rPr>
                <w:color w:val="000000"/>
                <w:kern w:val="0"/>
                <w:sz w:val="24"/>
              </w:rPr>
            </w:pPr>
            <w:r>
              <w:rPr>
                <w:color w:val="000000"/>
                <w:kern w:val="0"/>
                <w:sz w:val="24"/>
              </w:rPr>
              <w:t>企业债券</w:t>
            </w:r>
          </w:p>
        </w:tc>
        <w:tc>
          <w:tcPr>
            <w:tcW w:w="2463" w:type="dxa"/>
            <w:tcBorders>
              <w:top w:val="single" w:sz="8" w:space="0" w:color="000000"/>
              <w:left w:val="single" w:sz="8" w:space="0" w:color="000000"/>
              <w:bottom w:val="single" w:sz="8" w:space="0" w:color="000000"/>
              <w:right w:val="single" w:sz="8" w:space="0" w:color="000000"/>
            </w:tcBorders>
          </w:tcPr>
          <w:p w:rsidR="00783788" w:rsidRDefault="002C6E18">
            <w:pPr>
              <w:spacing w:before="29" w:line="288" w:lineRule="auto"/>
              <w:ind w:left="17"/>
              <w:jc w:val="right"/>
              <w:rPr>
                <w:color w:val="000000"/>
                <w:kern w:val="0"/>
                <w:sz w:val="24"/>
              </w:rPr>
            </w:pPr>
            <w:r>
              <w:rPr>
                <w:color w:val="000000"/>
                <w:kern w:val="0"/>
                <w:sz w:val="24"/>
              </w:rPr>
              <w:t>-</w:t>
            </w:r>
          </w:p>
        </w:tc>
        <w:tc>
          <w:tcPr>
            <w:tcW w:w="1965" w:type="dxa"/>
            <w:tcBorders>
              <w:top w:val="single" w:sz="8" w:space="0" w:color="000000"/>
              <w:left w:val="single" w:sz="8" w:space="0" w:color="000000"/>
              <w:bottom w:val="single" w:sz="8" w:space="0" w:color="000000"/>
              <w:right w:val="single" w:sz="8" w:space="0" w:color="000000"/>
            </w:tcBorders>
          </w:tcPr>
          <w:p w:rsidR="00783788" w:rsidRDefault="002C6E18">
            <w:pPr>
              <w:spacing w:before="29" w:line="288" w:lineRule="auto"/>
              <w:ind w:left="17"/>
              <w:jc w:val="right"/>
              <w:rPr>
                <w:color w:val="000000"/>
                <w:kern w:val="0"/>
                <w:sz w:val="24"/>
              </w:rPr>
            </w:pPr>
            <w:r>
              <w:rPr>
                <w:color w:val="000000"/>
                <w:kern w:val="0"/>
                <w:sz w:val="24"/>
              </w:rPr>
              <w:t>-</w:t>
            </w:r>
          </w:p>
        </w:tc>
      </w:tr>
      <w:tr w:rsidR="00783788">
        <w:tc>
          <w:tcPr>
            <w:tcW w:w="921" w:type="dxa"/>
            <w:tcBorders>
              <w:top w:val="single" w:sz="8" w:space="0" w:color="000000"/>
              <w:left w:val="single" w:sz="8" w:space="0" w:color="000000"/>
              <w:bottom w:val="single" w:sz="8" w:space="0" w:color="000000"/>
              <w:right w:val="single" w:sz="8" w:space="0" w:color="000000"/>
            </w:tcBorders>
          </w:tcPr>
          <w:p w:rsidR="00783788" w:rsidRDefault="002C6E18">
            <w:pPr>
              <w:spacing w:before="29" w:line="288" w:lineRule="auto"/>
              <w:ind w:left="17"/>
              <w:jc w:val="center"/>
              <w:rPr>
                <w:color w:val="000000"/>
                <w:sz w:val="24"/>
              </w:rPr>
            </w:pPr>
            <w:r>
              <w:rPr>
                <w:color w:val="000000"/>
                <w:sz w:val="24"/>
              </w:rPr>
              <w:t>5</w:t>
            </w:r>
          </w:p>
        </w:tc>
        <w:tc>
          <w:tcPr>
            <w:tcW w:w="3399" w:type="dxa"/>
            <w:tcBorders>
              <w:top w:val="single" w:sz="8" w:space="0" w:color="000000"/>
              <w:left w:val="single" w:sz="8" w:space="0" w:color="000000"/>
              <w:bottom w:val="single" w:sz="8" w:space="0" w:color="000000"/>
              <w:right w:val="single" w:sz="8" w:space="0" w:color="000000"/>
            </w:tcBorders>
          </w:tcPr>
          <w:p w:rsidR="00783788" w:rsidRDefault="002C6E18" w:rsidP="00D34C1B">
            <w:pPr>
              <w:spacing w:before="29" w:line="288" w:lineRule="auto"/>
              <w:ind w:left="17"/>
              <w:jc w:val="left"/>
              <w:rPr>
                <w:color w:val="000000"/>
                <w:kern w:val="0"/>
                <w:sz w:val="24"/>
              </w:rPr>
            </w:pPr>
            <w:r>
              <w:rPr>
                <w:color w:val="000000"/>
                <w:kern w:val="0"/>
                <w:sz w:val="24"/>
              </w:rPr>
              <w:t>企业短期融资券</w:t>
            </w:r>
          </w:p>
        </w:tc>
        <w:tc>
          <w:tcPr>
            <w:tcW w:w="2463" w:type="dxa"/>
            <w:tcBorders>
              <w:top w:val="single" w:sz="8" w:space="0" w:color="000000"/>
              <w:left w:val="single" w:sz="8" w:space="0" w:color="000000"/>
              <w:bottom w:val="single" w:sz="8" w:space="0" w:color="000000"/>
              <w:right w:val="single" w:sz="8" w:space="0" w:color="000000"/>
            </w:tcBorders>
          </w:tcPr>
          <w:p w:rsidR="00783788" w:rsidRDefault="002C6E18">
            <w:pPr>
              <w:spacing w:before="29" w:line="288" w:lineRule="auto"/>
              <w:ind w:left="17"/>
              <w:jc w:val="right"/>
              <w:rPr>
                <w:color w:val="000000"/>
                <w:kern w:val="0"/>
                <w:sz w:val="24"/>
              </w:rPr>
            </w:pPr>
            <w:r>
              <w:rPr>
                <w:color w:val="000000"/>
                <w:kern w:val="0"/>
                <w:sz w:val="24"/>
              </w:rPr>
              <w:t>-</w:t>
            </w:r>
          </w:p>
        </w:tc>
        <w:tc>
          <w:tcPr>
            <w:tcW w:w="1965" w:type="dxa"/>
            <w:tcBorders>
              <w:top w:val="single" w:sz="8" w:space="0" w:color="000000"/>
              <w:left w:val="single" w:sz="8" w:space="0" w:color="000000"/>
              <w:bottom w:val="single" w:sz="8" w:space="0" w:color="000000"/>
              <w:right w:val="single" w:sz="8" w:space="0" w:color="000000"/>
            </w:tcBorders>
          </w:tcPr>
          <w:p w:rsidR="00783788" w:rsidRDefault="002C6E18">
            <w:pPr>
              <w:spacing w:before="29" w:line="288" w:lineRule="auto"/>
              <w:ind w:left="17"/>
              <w:jc w:val="right"/>
              <w:rPr>
                <w:color w:val="000000"/>
                <w:kern w:val="0"/>
                <w:sz w:val="24"/>
              </w:rPr>
            </w:pPr>
            <w:r>
              <w:rPr>
                <w:color w:val="000000"/>
                <w:kern w:val="0"/>
                <w:sz w:val="24"/>
              </w:rPr>
              <w:t>-</w:t>
            </w:r>
          </w:p>
        </w:tc>
      </w:tr>
      <w:tr w:rsidR="00783788">
        <w:tc>
          <w:tcPr>
            <w:tcW w:w="921" w:type="dxa"/>
            <w:tcBorders>
              <w:top w:val="single" w:sz="8" w:space="0" w:color="000000"/>
              <w:left w:val="single" w:sz="8" w:space="0" w:color="000000"/>
              <w:bottom w:val="single" w:sz="8" w:space="0" w:color="000000"/>
              <w:right w:val="single" w:sz="8" w:space="0" w:color="000000"/>
            </w:tcBorders>
          </w:tcPr>
          <w:p w:rsidR="00783788" w:rsidRDefault="002C6E18">
            <w:pPr>
              <w:spacing w:before="29" w:line="288" w:lineRule="auto"/>
              <w:ind w:left="17"/>
              <w:jc w:val="center"/>
              <w:rPr>
                <w:color w:val="000000"/>
                <w:sz w:val="24"/>
              </w:rPr>
            </w:pPr>
            <w:r>
              <w:rPr>
                <w:color w:val="000000"/>
                <w:sz w:val="24"/>
              </w:rPr>
              <w:t>6</w:t>
            </w:r>
          </w:p>
        </w:tc>
        <w:tc>
          <w:tcPr>
            <w:tcW w:w="3399" w:type="dxa"/>
            <w:tcBorders>
              <w:top w:val="single" w:sz="8" w:space="0" w:color="000000"/>
              <w:left w:val="single" w:sz="8" w:space="0" w:color="000000"/>
              <w:bottom w:val="single" w:sz="8" w:space="0" w:color="000000"/>
              <w:right w:val="single" w:sz="8" w:space="0" w:color="000000"/>
            </w:tcBorders>
          </w:tcPr>
          <w:p w:rsidR="00783788" w:rsidRDefault="002C6E18" w:rsidP="00D34C1B">
            <w:pPr>
              <w:spacing w:before="29" w:line="288" w:lineRule="auto"/>
              <w:ind w:left="17"/>
              <w:jc w:val="left"/>
              <w:rPr>
                <w:color w:val="000000"/>
                <w:kern w:val="0"/>
                <w:sz w:val="24"/>
              </w:rPr>
            </w:pPr>
            <w:r>
              <w:rPr>
                <w:color w:val="000000"/>
                <w:kern w:val="0"/>
                <w:sz w:val="24"/>
              </w:rPr>
              <w:t>中期票据</w:t>
            </w:r>
          </w:p>
        </w:tc>
        <w:tc>
          <w:tcPr>
            <w:tcW w:w="2463" w:type="dxa"/>
            <w:tcBorders>
              <w:top w:val="single" w:sz="8" w:space="0" w:color="000000"/>
              <w:left w:val="single" w:sz="8" w:space="0" w:color="000000"/>
              <w:bottom w:val="single" w:sz="8" w:space="0" w:color="000000"/>
              <w:right w:val="single" w:sz="8" w:space="0" w:color="000000"/>
            </w:tcBorders>
          </w:tcPr>
          <w:p w:rsidR="00783788" w:rsidRDefault="002C6E18">
            <w:pPr>
              <w:spacing w:before="29" w:line="288" w:lineRule="auto"/>
              <w:ind w:left="17"/>
              <w:jc w:val="right"/>
              <w:rPr>
                <w:color w:val="000000"/>
                <w:kern w:val="0"/>
                <w:sz w:val="24"/>
              </w:rPr>
            </w:pPr>
            <w:r>
              <w:rPr>
                <w:color w:val="000000"/>
                <w:kern w:val="0"/>
                <w:sz w:val="24"/>
              </w:rPr>
              <w:t>-</w:t>
            </w:r>
          </w:p>
        </w:tc>
        <w:tc>
          <w:tcPr>
            <w:tcW w:w="1965" w:type="dxa"/>
            <w:tcBorders>
              <w:top w:val="single" w:sz="8" w:space="0" w:color="000000"/>
              <w:left w:val="single" w:sz="8" w:space="0" w:color="000000"/>
              <w:bottom w:val="single" w:sz="8" w:space="0" w:color="000000"/>
              <w:right w:val="single" w:sz="8" w:space="0" w:color="000000"/>
            </w:tcBorders>
          </w:tcPr>
          <w:p w:rsidR="00783788" w:rsidRDefault="002C6E18">
            <w:pPr>
              <w:spacing w:before="29" w:line="288" w:lineRule="auto"/>
              <w:ind w:left="17"/>
              <w:jc w:val="right"/>
              <w:rPr>
                <w:color w:val="000000"/>
                <w:kern w:val="0"/>
                <w:sz w:val="24"/>
              </w:rPr>
            </w:pPr>
            <w:r>
              <w:rPr>
                <w:color w:val="000000"/>
                <w:kern w:val="0"/>
                <w:sz w:val="24"/>
              </w:rPr>
              <w:t>-</w:t>
            </w:r>
          </w:p>
        </w:tc>
      </w:tr>
      <w:tr w:rsidR="00783788">
        <w:tc>
          <w:tcPr>
            <w:tcW w:w="921" w:type="dxa"/>
            <w:tcBorders>
              <w:top w:val="single" w:sz="8" w:space="0" w:color="000000"/>
              <w:left w:val="single" w:sz="8" w:space="0" w:color="000000"/>
              <w:bottom w:val="single" w:sz="8" w:space="0" w:color="000000"/>
              <w:right w:val="single" w:sz="8" w:space="0" w:color="000000"/>
            </w:tcBorders>
          </w:tcPr>
          <w:p w:rsidR="00783788" w:rsidRDefault="002C6E18">
            <w:pPr>
              <w:spacing w:before="29" w:line="288" w:lineRule="auto"/>
              <w:ind w:left="17"/>
              <w:jc w:val="center"/>
              <w:rPr>
                <w:color w:val="000000"/>
                <w:sz w:val="24"/>
              </w:rPr>
            </w:pPr>
            <w:r>
              <w:rPr>
                <w:color w:val="000000"/>
                <w:sz w:val="24"/>
              </w:rPr>
              <w:t>7</w:t>
            </w:r>
          </w:p>
        </w:tc>
        <w:tc>
          <w:tcPr>
            <w:tcW w:w="3399" w:type="dxa"/>
            <w:tcBorders>
              <w:top w:val="single" w:sz="8" w:space="0" w:color="000000"/>
              <w:left w:val="single" w:sz="8" w:space="0" w:color="000000"/>
              <w:bottom w:val="single" w:sz="8" w:space="0" w:color="000000"/>
              <w:right w:val="single" w:sz="8" w:space="0" w:color="000000"/>
            </w:tcBorders>
          </w:tcPr>
          <w:p w:rsidR="00783788" w:rsidRDefault="002C6E18" w:rsidP="00D34C1B">
            <w:pPr>
              <w:spacing w:before="29" w:line="288" w:lineRule="auto"/>
              <w:ind w:left="17"/>
              <w:jc w:val="left"/>
              <w:rPr>
                <w:color w:val="000000"/>
                <w:kern w:val="0"/>
                <w:sz w:val="24"/>
              </w:rPr>
            </w:pPr>
            <w:r>
              <w:rPr>
                <w:color w:val="000000"/>
                <w:kern w:val="0"/>
                <w:sz w:val="24"/>
              </w:rPr>
              <w:t>可转债</w:t>
            </w:r>
          </w:p>
        </w:tc>
        <w:tc>
          <w:tcPr>
            <w:tcW w:w="2463" w:type="dxa"/>
            <w:tcBorders>
              <w:top w:val="single" w:sz="8" w:space="0" w:color="000000"/>
              <w:left w:val="single" w:sz="8" w:space="0" w:color="000000"/>
              <w:bottom w:val="single" w:sz="8" w:space="0" w:color="000000"/>
              <w:right w:val="single" w:sz="8" w:space="0" w:color="000000"/>
            </w:tcBorders>
          </w:tcPr>
          <w:p w:rsidR="00783788" w:rsidRDefault="002C6E18">
            <w:pPr>
              <w:spacing w:before="29" w:line="288" w:lineRule="auto"/>
              <w:ind w:left="17"/>
              <w:jc w:val="right"/>
              <w:rPr>
                <w:color w:val="000000"/>
                <w:kern w:val="0"/>
                <w:sz w:val="24"/>
              </w:rPr>
            </w:pPr>
            <w:r>
              <w:rPr>
                <w:color w:val="000000"/>
                <w:kern w:val="0"/>
                <w:sz w:val="24"/>
              </w:rPr>
              <w:t>54,595,062.00</w:t>
            </w:r>
          </w:p>
        </w:tc>
        <w:tc>
          <w:tcPr>
            <w:tcW w:w="1965" w:type="dxa"/>
            <w:tcBorders>
              <w:top w:val="single" w:sz="8" w:space="0" w:color="000000"/>
              <w:left w:val="single" w:sz="8" w:space="0" w:color="000000"/>
              <w:bottom w:val="single" w:sz="8" w:space="0" w:color="000000"/>
              <w:right w:val="single" w:sz="8" w:space="0" w:color="000000"/>
            </w:tcBorders>
          </w:tcPr>
          <w:p w:rsidR="00783788" w:rsidRDefault="002C6E18">
            <w:pPr>
              <w:spacing w:before="29" w:line="288" w:lineRule="auto"/>
              <w:ind w:left="17"/>
              <w:jc w:val="right"/>
              <w:rPr>
                <w:color w:val="000000"/>
                <w:kern w:val="0"/>
                <w:sz w:val="24"/>
              </w:rPr>
            </w:pPr>
            <w:r>
              <w:rPr>
                <w:color w:val="000000"/>
                <w:kern w:val="0"/>
                <w:sz w:val="24"/>
              </w:rPr>
              <w:t>24.30</w:t>
            </w:r>
          </w:p>
        </w:tc>
      </w:tr>
      <w:tr w:rsidR="00783788">
        <w:tc>
          <w:tcPr>
            <w:tcW w:w="921" w:type="dxa"/>
            <w:tcBorders>
              <w:top w:val="single" w:sz="8" w:space="0" w:color="000000"/>
              <w:left w:val="single" w:sz="8" w:space="0" w:color="000000"/>
              <w:bottom w:val="single" w:sz="8" w:space="0" w:color="000000"/>
              <w:right w:val="single" w:sz="8" w:space="0" w:color="000000"/>
            </w:tcBorders>
          </w:tcPr>
          <w:p w:rsidR="00783788" w:rsidRDefault="002C6E18">
            <w:pPr>
              <w:spacing w:before="29" w:line="288" w:lineRule="auto"/>
              <w:ind w:left="17"/>
              <w:jc w:val="center"/>
              <w:rPr>
                <w:color w:val="000000"/>
                <w:sz w:val="24"/>
              </w:rPr>
            </w:pPr>
            <w:r>
              <w:rPr>
                <w:color w:val="000000"/>
                <w:sz w:val="24"/>
              </w:rPr>
              <w:t>8</w:t>
            </w:r>
          </w:p>
        </w:tc>
        <w:tc>
          <w:tcPr>
            <w:tcW w:w="3399" w:type="dxa"/>
            <w:tcBorders>
              <w:top w:val="single" w:sz="8" w:space="0" w:color="000000"/>
              <w:left w:val="single" w:sz="8" w:space="0" w:color="000000"/>
              <w:bottom w:val="single" w:sz="8" w:space="0" w:color="000000"/>
              <w:right w:val="single" w:sz="8" w:space="0" w:color="000000"/>
            </w:tcBorders>
          </w:tcPr>
          <w:p w:rsidR="00783788" w:rsidRDefault="002C6E18" w:rsidP="00D34C1B">
            <w:pPr>
              <w:spacing w:before="29" w:line="288" w:lineRule="auto"/>
              <w:ind w:left="17"/>
              <w:jc w:val="left"/>
              <w:rPr>
                <w:color w:val="000000"/>
                <w:kern w:val="0"/>
                <w:sz w:val="24"/>
              </w:rPr>
            </w:pPr>
            <w:r>
              <w:rPr>
                <w:color w:val="000000"/>
                <w:kern w:val="0"/>
                <w:sz w:val="24"/>
              </w:rPr>
              <w:t>其他</w:t>
            </w:r>
          </w:p>
        </w:tc>
        <w:tc>
          <w:tcPr>
            <w:tcW w:w="2463" w:type="dxa"/>
            <w:tcBorders>
              <w:top w:val="single" w:sz="8" w:space="0" w:color="000000"/>
              <w:left w:val="single" w:sz="8" w:space="0" w:color="000000"/>
              <w:bottom w:val="single" w:sz="8" w:space="0" w:color="000000"/>
              <w:right w:val="single" w:sz="8" w:space="0" w:color="000000"/>
            </w:tcBorders>
          </w:tcPr>
          <w:p w:rsidR="00783788" w:rsidRDefault="002C6E18">
            <w:pPr>
              <w:spacing w:before="29" w:line="288" w:lineRule="auto"/>
              <w:ind w:left="17"/>
              <w:jc w:val="right"/>
              <w:rPr>
                <w:color w:val="000000"/>
                <w:kern w:val="0"/>
                <w:sz w:val="24"/>
              </w:rPr>
            </w:pPr>
            <w:r>
              <w:rPr>
                <w:color w:val="000000"/>
                <w:kern w:val="0"/>
                <w:sz w:val="24"/>
              </w:rPr>
              <w:t>-</w:t>
            </w:r>
          </w:p>
        </w:tc>
        <w:tc>
          <w:tcPr>
            <w:tcW w:w="1965" w:type="dxa"/>
            <w:tcBorders>
              <w:top w:val="single" w:sz="8" w:space="0" w:color="000000"/>
              <w:left w:val="single" w:sz="8" w:space="0" w:color="000000"/>
              <w:bottom w:val="single" w:sz="8" w:space="0" w:color="000000"/>
              <w:right w:val="single" w:sz="8" w:space="0" w:color="000000"/>
            </w:tcBorders>
          </w:tcPr>
          <w:p w:rsidR="00783788" w:rsidRDefault="002C6E18">
            <w:pPr>
              <w:spacing w:before="29" w:line="288" w:lineRule="auto"/>
              <w:ind w:left="17"/>
              <w:jc w:val="right"/>
              <w:rPr>
                <w:color w:val="000000"/>
                <w:kern w:val="0"/>
                <w:sz w:val="24"/>
              </w:rPr>
            </w:pPr>
            <w:r>
              <w:rPr>
                <w:color w:val="000000"/>
                <w:kern w:val="0"/>
                <w:sz w:val="24"/>
              </w:rPr>
              <w:t>-</w:t>
            </w:r>
          </w:p>
        </w:tc>
      </w:tr>
      <w:tr w:rsidR="00783788">
        <w:tc>
          <w:tcPr>
            <w:tcW w:w="921" w:type="dxa"/>
            <w:tcBorders>
              <w:top w:val="single" w:sz="8" w:space="0" w:color="000000"/>
              <w:left w:val="single" w:sz="8" w:space="0" w:color="000000"/>
              <w:bottom w:val="single" w:sz="8" w:space="0" w:color="000000"/>
              <w:right w:val="single" w:sz="8" w:space="0" w:color="000000"/>
            </w:tcBorders>
          </w:tcPr>
          <w:p w:rsidR="00783788" w:rsidRDefault="002C6E18">
            <w:pPr>
              <w:spacing w:before="29" w:line="288" w:lineRule="auto"/>
              <w:ind w:left="17"/>
              <w:jc w:val="center"/>
              <w:rPr>
                <w:color w:val="000000"/>
                <w:sz w:val="24"/>
              </w:rPr>
            </w:pPr>
            <w:r>
              <w:rPr>
                <w:color w:val="000000"/>
                <w:sz w:val="24"/>
              </w:rPr>
              <w:t>9</w:t>
            </w:r>
          </w:p>
        </w:tc>
        <w:tc>
          <w:tcPr>
            <w:tcW w:w="3399" w:type="dxa"/>
            <w:tcBorders>
              <w:top w:val="single" w:sz="8" w:space="0" w:color="000000"/>
              <w:left w:val="single" w:sz="8" w:space="0" w:color="000000"/>
              <w:bottom w:val="single" w:sz="8" w:space="0" w:color="000000"/>
              <w:right w:val="single" w:sz="8" w:space="0" w:color="000000"/>
            </w:tcBorders>
          </w:tcPr>
          <w:p w:rsidR="00783788" w:rsidRDefault="002C6E18">
            <w:pPr>
              <w:spacing w:before="29" w:line="288" w:lineRule="auto"/>
              <w:ind w:left="17"/>
              <w:jc w:val="center"/>
              <w:rPr>
                <w:color w:val="000000"/>
                <w:kern w:val="0"/>
                <w:sz w:val="24"/>
              </w:rPr>
            </w:pPr>
            <w:r>
              <w:rPr>
                <w:color w:val="000000"/>
                <w:kern w:val="0"/>
                <w:sz w:val="24"/>
              </w:rPr>
              <w:t>合计</w:t>
            </w:r>
          </w:p>
        </w:tc>
        <w:tc>
          <w:tcPr>
            <w:tcW w:w="2463" w:type="dxa"/>
            <w:tcBorders>
              <w:top w:val="single" w:sz="8" w:space="0" w:color="000000"/>
              <w:left w:val="single" w:sz="8" w:space="0" w:color="000000"/>
              <w:bottom w:val="single" w:sz="8" w:space="0" w:color="000000"/>
              <w:right w:val="single" w:sz="8" w:space="0" w:color="000000"/>
            </w:tcBorders>
          </w:tcPr>
          <w:p w:rsidR="00783788" w:rsidRDefault="002C6E18">
            <w:pPr>
              <w:spacing w:before="29" w:line="288" w:lineRule="auto"/>
              <w:ind w:left="17"/>
              <w:jc w:val="right"/>
              <w:rPr>
                <w:color w:val="000000"/>
                <w:kern w:val="0"/>
                <w:sz w:val="24"/>
              </w:rPr>
            </w:pPr>
            <w:r>
              <w:rPr>
                <w:color w:val="000000"/>
                <w:kern w:val="0"/>
                <w:sz w:val="24"/>
              </w:rPr>
              <w:t>64,595,062.00</w:t>
            </w:r>
          </w:p>
        </w:tc>
        <w:tc>
          <w:tcPr>
            <w:tcW w:w="1965" w:type="dxa"/>
            <w:tcBorders>
              <w:top w:val="single" w:sz="8" w:space="0" w:color="000000"/>
              <w:left w:val="single" w:sz="8" w:space="0" w:color="000000"/>
              <w:bottom w:val="single" w:sz="8" w:space="0" w:color="000000"/>
              <w:right w:val="single" w:sz="8" w:space="0" w:color="000000"/>
            </w:tcBorders>
          </w:tcPr>
          <w:p w:rsidR="00783788" w:rsidRDefault="002C6E18">
            <w:pPr>
              <w:spacing w:before="29" w:line="288" w:lineRule="auto"/>
              <w:ind w:left="17"/>
              <w:jc w:val="right"/>
              <w:rPr>
                <w:color w:val="000000"/>
                <w:kern w:val="0"/>
                <w:sz w:val="24"/>
              </w:rPr>
            </w:pPr>
            <w:r>
              <w:rPr>
                <w:color w:val="000000"/>
                <w:kern w:val="0"/>
                <w:sz w:val="24"/>
              </w:rPr>
              <w:t>28.75</w:t>
            </w:r>
          </w:p>
        </w:tc>
      </w:tr>
    </w:tbl>
    <w:p w:rsidR="00783788" w:rsidRDefault="00783788">
      <w:pPr>
        <w:spacing w:line="360" w:lineRule="auto"/>
        <w:ind w:firstLineChars="200" w:firstLine="480"/>
        <w:rPr>
          <w:sz w:val="24"/>
        </w:rPr>
      </w:pPr>
    </w:p>
    <w:p w:rsidR="00783788" w:rsidRDefault="002C6E18">
      <w:pPr>
        <w:spacing w:line="360" w:lineRule="auto"/>
        <w:ind w:firstLineChars="200" w:firstLine="480"/>
        <w:rPr>
          <w:sz w:val="24"/>
        </w:rPr>
      </w:pPr>
      <w:r>
        <w:rPr>
          <w:sz w:val="24"/>
        </w:rPr>
        <w:t>5</w:t>
      </w:r>
      <w:r>
        <w:rPr>
          <w:rFonts w:hint="eastAsia"/>
          <w:sz w:val="24"/>
        </w:rPr>
        <w:t>、</w:t>
      </w:r>
      <w:r>
        <w:rPr>
          <w:sz w:val="24"/>
        </w:rPr>
        <w:t>报告期末按公允价值占基金资产净值比例大小排</w:t>
      </w:r>
      <w:r>
        <w:rPr>
          <w:rFonts w:hint="eastAsia"/>
          <w:sz w:val="24"/>
        </w:rPr>
        <w:t>序</w:t>
      </w:r>
      <w:r>
        <w:rPr>
          <w:sz w:val="24"/>
        </w:rPr>
        <w:t>的前五名债券投资明细</w:t>
      </w:r>
    </w:p>
    <w:tbl>
      <w:tblPr>
        <w:tblW w:w="8748" w:type="dxa"/>
        <w:tblInd w:w="108" w:type="dxa"/>
        <w:tblLayout w:type="fixed"/>
        <w:tblLook w:val="04A0" w:firstRow="1" w:lastRow="0" w:firstColumn="1" w:lastColumn="0" w:noHBand="0" w:noVBand="1"/>
      </w:tblPr>
      <w:tblGrid>
        <w:gridCol w:w="897"/>
        <w:gridCol w:w="1316"/>
        <w:gridCol w:w="1733"/>
        <w:gridCol w:w="1437"/>
        <w:gridCol w:w="1782"/>
        <w:gridCol w:w="1583"/>
      </w:tblGrid>
      <w:tr w:rsidR="00783788">
        <w:tc>
          <w:tcPr>
            <w:tcW w:w="897" w:type="dxa"/>
            <w:tcBorders>
              <w:top w:val="single" w:sz="8" w:space="0" w:color="000000"/>
              <w:left w:val="single" w:sz="8" w:space="0" w:color="000000"/>
              <w:bottom w:val="single" w:sz="8" w:space="0" w:color="000000"/>
              <w:right w:val="single" w:sz="8" w:space="0" w:color="000000"/>
            </w:tcBorders>
          </w:tcPr>
          <w:p w:rsidR="00783788" w:rsidRDefault="002C6E18">
            <w:pPr>
              <w:spacing w:before="29" w:line="288" w:lineRule="auto"/>
              <w:ind w:left="17"/>
              <w:jc w:val="center"/>
              <w:rPr>
                <w:color w:val="000000"/>
                <w:sz w:val="24"/>
              </w:rPr>
            </w:pPr>
            <w:r>
              <w:rPr>
                <w:color w:val="000000"/>
                <w:sz w:val="24"/>
              </w:rPr>
              <w:t>序号</w:t>
            </w:r>
          </w:p>
        </w:tc>
        <w:tc>
          <w:tcPr>
            <w:tcW w:w="1316" w:type="dxa"/>
            <w:tcBorders>
              <w:top w:val="single" w:sz="8" w:space="0" w:color="000000"/>
              <w:left w:val="single" w:sz="8" w:space="0" w:color="000000"/>
              <w:bottom w:val="single" w:sz="8" w:space="0" w:color="000000"/>
              <w:right w:val="single" w:sz="8" w:space="0" w:color="000000"/>
            </w:tcBorders>
          </w:tcPr>
          <w:p w:rsidR="00783788" w:rsidRDefault="002C6E18">
            <w:pPr>
              <w:spacing w:before="29" w:line="288" w:lineRule="auto"/>
              <w:ind w:left="17"/>
              <w:jc w:val="center"/>
              <w:rPr>
                <w:color w:val="000000"/>
                <w:kern w:val="0"/>
                <w:sz w:val="24"/>
              </w:rPr>
            </w:pPr>
            <w:r>
              <w:rPr>
                <w:color w:val="000000"/>
                <w:kern w:val="0"/>
                <w:sz w:val="24"/>
              </w:rPr>
              <w:t>债券代码</w:t>
            </w:r>
          </w:p>
        </w:tc>
        <w:tc>
          <w:tcPr>
            <w:tcW w:w="1733" w:type="dxa"/>
            <w:tcBorders>
              <w:top w:val="single" w:sz="8" w:space="0" w:color="000000"/>
              <w:left w:val="single" w:sz="8" w:space="0" w:color="000000"/>
              <w:bottom w:val="single" w:sz="8" w:space="0" w:color="000000"/>
              <w:right w:val="single" w:sz="8" w:space="0" w:color="000000"/>
            </w:tcBorders>
          </w:tcPr>
          <w:p w:rsidR="00783788" w:rsidRDefault="002C6E18">
            <w:pPr>
              <w:spacing w:before="29" w:line="288" w:lineRule="auto"/>
              <w:ind w:left="17"/>
              <w:jc w:val="center"/>
              <w:rPr>
                <w:color w:val="000000"/>
                <w:kern w:val="0"/>
                <w:sz w:val="24"/>
              </w:rPr>
            </w:pPr>
            <w:r>
              <w:rPr>
                <w:color w:val="000000"/>
                <w:kern w:val="0"/>
                <w:sz w:val="24"/>
              </w:rPr>
              <w:t>债券名称</w:t>
            </w:r>
          </w:p>
        </w:tc>
        <w:tc>
          <w:tcPr>
            <w:tcW w:w="1437" w:type="dxa"/>
            <w:tcBorders>
              <w:top w:val="single" w:sz="8" w:space="0" w:color="000000"/>
              <w:left w:val="single" w:sz="8" w:space="0" w:color="000000"/>
              <w:bottom w:val="single" w:sz="8" w:space="0" w:color="000000"/>
              <w:right w:val="single" w:sz="8" w:space="0" w:color="000000"/>
            </w:tcBorders>
          </w:tcPr>
          <w:p w:rsidR="00783788" w:rsidRDefault="002C6E18">
            <w:pPr>
              <w:spacing w:before="29" w:line="288" w:lineRule="auto"/>
              <w:ind w:left="17"/>
              <w:jc w:val="center"/>
              <w:rPr>
                <w:color w:val="000000"/>
                <w:kern w:val="0"/>
                <w:sz w:val="24"/>
              </w:rPr>
            </w:pPr>
            <w:r>
              <w:rPr>
                <w:color w:val="000000"/>
                <w:kern w:val="0"/>
                <w:sz w:val="24"/>
              </w:rPr>
              <w:t>数量（张）</w:t>
            </w:r>
          </w:p>
        </w:tc>
        <w:tc>
          <w:tcPr>
            <w:tcW w:w="1782" w:type="dxa"/>
            <w:tcBorders>
              <w:top w:val="single" w:sz="8" w:space="0" w:color="000000"/>
              <w:left w:val="single" w:sz="8" w:space="0" w:color="000000"/>
              <w:bottom w:val="single" w:sz="8" w:space="0" w:color="000000"/>
              <w:right w:val="single" w:sz="8" w:space="0" w:color="000000"/>
            </w:tcBorders>
          </w:tcPr>
          <w:p w:rsidR="00783788" w:rsidRDefault="002C6E18">
            <w:pPr>
              <w:spacing w:before="29" w:line="288" w:lineRule="auto"/>
              <w:ind w:left="17"/>
              <w:jc w:val="center"/>
              <w:rPr>
                <w:color w:val="000000"/>
                <w:kern w:val="0"/>
                <w:sz w:val="24"/>
              </w:rPr>
            </w:pPr>
            <w:r>
              <w:rPr>
                <w:color w:val="000000"/>
                <w:kern w:val="0"/>
                <w:sz w:val="24"/>
              </w:rPr>
              <w:t>公允价值</w:t>
            </w:r>
            <w:r>
              <w:rPr>
                <w:color w:val="000000"/>
                <w:kern w:val="0"/>
                <w:sz w:val="24"/>
              </w:rPr>
              <w:t>(</w:t>
            </w:r>
            <w:r>
              <w:rPr>
                <w:color w:val="000000"/>
                <w:kern w:val="0"/>
                <w:sz w:val="24"/>
              </w:rPr>
              <w:t>元</w:t>
            </w:r>
            <w:r>
              <w:rPr>
                <w:color w:val="000000"/>
                <w:kern w:val="0"/>
                <w:sz w:val="24"/>
              </w:rPr>
              <w:t>)</w:t>
            </w:r>
          </w:p>
        </w:tc>
        <w:tc>
          <w:tcPr>
            <w:tcW w:w="1583" w:type="dxa"/>
            <w:tcBorders>
              <w:top w:val="single" w:sz="8" w:space="0" w:color="000000"/>
              <w:left w:val="single" w:sz="8" w:space="0" w:color="000000"/>
              <w:bottom w:val="single" w:sz="8" w:space="0" w:color="000000"/>
              <w:right w:val="single" w:sz="8" w:space="0" w:color="000000"/>
            </w:tcBorders>
          </w:tcPr>
          <w:p w:rsidR="00783788" w:rsidRDefault="002C6E18">
            <w:pPr>
              <w:spacing w:before="29" w:line="288" w:lineRule="auto"/>
              <w:ind w:left="17"/>
              <w:jc w:val="center"/>
              <w:rPr>
                <w:color w:val="000000"/>
                <w:kern w:val="0"/>
                <w:sz w:val="24"/>
              </w:rPr>
            </w:pPr>
            <w:r>
              <w:rPr>
                <w:color w:val="000000"/>
                <w:kern w:val="0"/>
                <w:sz w:val="24"/>
              </w:rPr>
              <w:t>占基金资产净值比例（％）</w:t>
            </w:r>
          </w:p>
        </w:tc>
      </w:tr>
      <w:tr w:rsidR="00783788">
        <w:tc>
          <w:tcPr>
            <w:tcW w:w="897" w:type="dxa"/>
            <w:tcBorders>
              <w:top w:val="single" w:sz="8" w:space="0" w:color="000000"/>
              <w:left w:val="single" w:sz="8" w:space="0" w:color="000000"/>
              <w:bottom w:val="single" w:sz="8" w:space="0" w:color="000000"/>
              <w:right w:val="single" w:sz="8" w:space="0" w:color="000000"/>
            </w:tcBorders>
          </w:tcPr>
          <w:p w:rsidR="00783788" w:rsidRDefault="002C6E18">
            <w:pPr>
              <w:spacing w:before="29" w:line="288" w:lineRule="auto"/>
              <w:ind w:left="17"/>
              <w:jc w:val="center"/>
              <w:rPr>
                <w:color w:val="000000"/>
                <w:sz w:val="24"/>
              </w:rPr>
            </w:pPr>
            <w:r>
              <w:rPr>
                <w:color w:val="000000"/>
                <w:sz w:val="24"/>
              </w:rPr>
              <w:t>1</w:t>
            </w:r>
          </w:p>
        </w:tc>
        <w:tc>
          <w:tcPr>
            <w:tcW w:w="1316" w:type="dxa"/>
            <w:tcBorders>
              <w:top w:val="single" w:sz="8" w:space="0" w:color="000000"/>
              <w:left w:val="single" w:sz="8" w:space="0" w:color="000000"/>
              <w:bottom w:val="single" w:sz="8" w:space="0" w:color="000000"/>
              <w:right w:val="single" w:sz="8" w:space="0" w:color="000000"/>
            </w:tcBorders>
          </w:tcPr>
          <w:p w:rsidR="00783788" w:rsidRDefault="002C6E18">
            <w:pPr>
              <w:spacing w:before="29" w:line="288" w:lineRule="auto"/>
              <w:ind w:left="17"/>
              <w:jc w:val="center"/>
              <w:rPr>
                <w:color w:val="000000"/>
                <w:kern w:val="0"/>
                <w:sz w:val="24"/>
              </w:rPr>
            </w:pPr>
            <w:r>
              <w:rPr>
                <w:color w:val="000000"/>
                <w:kern w:val="0"/>
                <w:sz w:val="24"/>
              </w:rPr>
              <w:t>110020</w:t>
            </w:r>
          </w:p>
        </w:tc>
        <w:tc>
          <w:tcPr>
            <w:tcW w:w="1733" w:type="dxa"/>
            <w:tcBorders>
              <w:top w:val="single" w:sz="8" w:space="0" w:color="000000"/>
              <w:left w:val="single" w:sz="8" w:space="0" w:color="000000"/>
              <w:bottom w:val="single" w:sz="8" w:space="0" w:color="000000"/>
              <w:right w:val="single" w:sz="8" w:space="0" w:color="000000"/>
            </w:tcBorders>
          </w:tcPr>
          <w:p w:rsidR="00783788" w:rsidRDefault="002C6E18">
            <w:pPr>
              <w:spacing w:before="29" w:line="288" w:lineRule="auto"/>
              <w:ind w:left="17"/>
              <w:jc w:val="center"/>
              <w:rPr>
                <w:color w:val="000000"/>
                <w:kern w:val="0"/>
                <w:sz w:val="24"/>
              </w:rPr>
            </w:pPr>
            <w:r>
              <w:rPr>
                <w:color w:val="000000"/>
                <w:kern w:val="0"/>
                <w:sz w:val="24"/>
              </w:rPr>
              <w:t>南山转债</w:t>
            </w:r>
          </w:p>
        </w:tc>
        <w:tc>
          <w:tcPr>
            <w:tcW w:w="1437" w:type="dxa"/>
            <w:tcBorders>
              <w:top w:val="single" w:sz="8" w:space="0" w:color="000000"/>
              <w:left w:val="single" w:sz="8" w:space="0" w:color="000000"/>
              <w:bottom w:val="single" w:sz="8" w:space="0" w:color="000000"/>
              <w:right w:val="single" w:sz="8" w:space="0" w:color="000000"/>
            </w:tcBorders>
          </w:tcPr>
          <w:p w:rsidR="00783788" w:rsidRDefault="002C6E18">
            <w:pPr>
              <w:spacing w:before="29" w:line="288" w:lineRule="auto"/>
              <w:ind w:left="17"/>
              <w:jc w:val="right"/>
              <w:rPr>
                <w:color w:val="000000"/>
                <w:kern w:val="0"/>
                <w:sz w:val="24"/>
              </w:rPr>
            </w:pPr>
            <w:r>
              <w:rPr>
                <w:color w:val="000000"/>
                <w:kern w:val="0"/>
                <w:sz w:val="24"/>
              </w:rPr>
              <w:t>115,000</w:t>
            </w:r>
          </w:p>
        </w:tc>
        <w:tc>
          <w:tcPr>
            <w:tcW w:w="1782" w:type="dxa"/>
            <w:tcBorders>
              <w:top w:val="single" w:sz="8" w:space="0" w:color="000000"/>
              <w:left w:val="single" w:sz="8" w:space="0" w:color="000000"/>
              <w:bottom w:val="single" w:sz="8" w:space="0" w:color="000000"/>
              <w:right w:val="single" w:sz="8" w:space="0" w:color="000000"/>
            </w:tcBorders>
          </w:tcPr>
          <w:p w:rsidR="00783788" w:rsidRDefault="002C6E18">
            <w:pPr>
              <w:spacing w:before="29" w:line="288" w:lineRule="auto"/>
              <w:ind w:left="17"/>
              <w:jc w:val="right"/>
              <w:rPr>
                <w:color w:val="000000"/>
                <w:kern w:val="0"/>
                <w:sz w:val="24"/>
              </w:rPr>
            </w:pPr>
            <w:r>
              <w:rPr>
                <w:color w:val="000000"/>
                <w:kern w:val="0"/>
                <w:sz w:val="24"/>
              </w:rPr>
              <w:t>16,055,150.00</w:t>
            </w:r>
          </w:p>
        </w:tc>
        <w:tc>
          <w:tcPr>
            <w:tcW w:w="1583" w:type="dxa"/>
            <w:tcBorders>
              <w:top w:val="single" w:sz="8" w:space="0" w:color="000000"/>
              <w:left w:val="single" w:sz="8" w:space="0" w:color="000000"/>
              <w:bottom w:val="single" w:sz="8" w:space="0" w:color="000000"/>
              <w:right w:val="single" w:sz="8" w:space="0" w:color="000000"/>
            </w:tcBorders>
          </w:tcPr>
          <w:p w:rsidR="00783788" w:rsidRDefault="002C6E18">
            <w:pPr>
              <w:spacing w:before="29" w:line="288" w:lineRule="auto"/>
              <w:ind w:left="17"/>
              <w:jc w:val="right"/>
              <w:rPr>
                <w:color w:val="000000"/>
                <w:kern w:val="0"/>
                <w:sz w:val="24"/>
              </w:rPr>
            </w:pPr>
            <w:r>
              <w:rPr>
                <w:color w:val="000000"/>
                <w:kern w:val="0"/>
                <w:sz w:val="24"/>
              </w:rPr>
              <w:t>7.15</w:t>
            </w:r>
          </w:p>
        </w:tc>
      </w:tr>
      <w:tr w:rsidR="00783788">
        <w:tc>
          <w:tcPr>
            <w:tcW w:w="897" w:type="dxa"/>
            <w:tcBorders>
              <w:top w:val="single" w:sz="8" w:space="0" w:color="000000"/>
              <w:left w:val="single" w:sz="8" w:space="0" w:color="000000"/>
              <w:bottom w:val="single" w:sz="8" w:space="0" w:color="000000"/>
              <w:right w:val="single" w:sz="8" w:space="0" w:color="000000"/>
            </w:tcBorders>
          </w:tcPr>
          <w:p w:rsidR="00783788" w:rsidRDefault="002C6E18">
            <w:pPr>
              <w:spacing w:before="29" w:line="288" w:lineRule="auto"/>
              <w:ind w:left="17"/>
              <w:jc w:val="center"/>
              <w:rPr>
                <w:color w:val="000000"/>
                <w:sz w:val="24"/>
              </w:rPr>
            </w:pPr>
            <w:r>
              <w:rPr>
                <w:color w:val="000000"/>
                <w:sz w:val="24"/>
              </w:rPr>
              <w:t>2</w:t>
            </w:r>
          </w:p>
        </w:tc>
        <w:tc>
          <w:tcPr>
            <w:tcW w:w="1316" w:type="dxa"/>
            <w:tcBorders>
              <w:top w:val="single" w:sz="8" w:space="0" w:color="000000"/>
              <w:left w:val="single" w:sz="8" w:space="0" w:color="000000"/>
              <w:bottom w:val="single" w:sz="8" w:space="0" w:color="000000"/>
              <w:right w:val="single" w:sz="8" w:space="0" w:color="000000"/>
            </w:tcBorders>
          </w:tcPr>
          <w:p w:rsidR="00783788" w:rsidRDefault="002C6E18">
            <w:pPr>
              <w:spacing w:before="29" w:line="288" w:lineRule="auto"/>
              <w:ind w:left="17"/>
              <w:jc w:val="center"/>
              <w:rPr>
                <w:color w:val="000000"/>
                <w:kern w:val="0"/>
                <w:sz w:val="24"/>
              </w:rPr>
            </w:pPr>
            <w:r>
              <w:rPr>
                <w:color w:val="000000"/>
                <w:kern w:val="0"/>
                <w:sz w:val="24"/>
              </w:rPr>
              <w:t>113007</w:t>
            </w:r>
          </w:p>
        </w:tc>
        <w:tc>
          <w:tcPr>
            <w:tcW w:w="1733" w:type="dxa"/>
            <w:tcBorders>
              <w:top w:val="single" w:sz="8" w:space="0" w:color="000000"/>
              <w:left w:val="single" w:sz="8" w:space="0" w:color="000000"/>
              <w:bottom w:val="single" w:sz="8" w:space="0" w:color="000000"/>
              <w:right w:val="single" w:sz="8" w:space="0" w:color="000000"/>
            </w:tcBorders>
          </w:tcPr>
          <w:p w:rsidR="00783788" w:rsidRDefault="002C6E18">
            <w:pPr>
              <w:spacing w:before="29" w:line="288" w:lineRule="auto"/>
              <w:ind w:left="17"/>
              <w:jc w:val="center"/>
              <w:rPr>
                <w:color w:val="000000"/>
                <w:kern w:val="0"/>
                <w:sz w:val="24"/>
              </w:rPr>
            </w:pPr>
            <w:r>
              <w:rPr>
                <w:color w:val="000000"/>
                <w:kern w:val="0"/>
                <w:sz w:val="24"/>
              </w:rPr>
              <w:t>吉视转债</w:t>
            </w:r>
          </w:p>
        </w:tc>
        <w:tc>
          <w:tcPr>
            <w:tcW w:w="1437" w:type="dxa"/>
            <w:tcBorders>
              <w:top w:val="single" w:sz="8" w:space="0" w:color="000000"/>
              <w:left w:val="single" w:sz="8" w:space="0" w:color="000000"/>
              <w:bottom w:val="single" w:sz="8" w:space="0" w:color="000000"/>
              <w:right w:val="single" w:sz="8" w:space="0" w:color="000000"/>
            </w:tcBorders>
          </w:tcPr>
          <w:p w:rsidR="00783788" w:rsidRDefault="002C6E18">
            <w:pPr>
              <w:spacing w:before="29" w:line="288" w:lineRule="auto"/>
              <w:ind w:left="17"/>
              <w:jc w:val="right"/>
              <w:rPr>
                <w:color w:val="000000"/>
                <w:kern w:val="0"/>
                <w:sz w:val="24"/>
              </w:rPr>
            </w:pPr>
            <w:r>
              <w:rPr>
                <w:color w:val="000000"/>
                <w:kern w:val="0"/>
                <w:sz w:val="24"/>
              </w:rPr>
              <w:t>91,900</w:t>
            </w:r>
          </w:p>
        </w:tc>
        <w:tc>
          <w:tcPr>
            <w:tcW w:w="1782" w:type="dxa"/>
            <w:tcBorders>
              <w:top w:val="single" w:sz="8" w:space="0" w:color="000000"/>
              <w:left w:val="single" w:sz="8" w:space="0" w:color="000000"/>
              <w:bottom w:val="single" w:sz="8" w:space="0" w:color="000000"/>
              <w:right w:val="single" w:sz="8" w:space="0" w:color="000000"/>
            </w:tcBorders>
          </w:tcPr>
          <w:p w:rsidR="00783788" w:rsidRDefault="002C6E18">
            <w:pPr>
              <w:spacing w:before="29" w:line="288" w:lineRule="auto"/>
              <w:ind w:left="17"/>
              <w:jc w:val="right"/>
              <w:rPr>
                <w:color w:val="000000"/>
                <w:kern w:val="0"/>
                <w:sz w:val="24"/>
              </w:rPr>
            </w:pPr>
            <w:r>
              <w:rPr>
                <w:color w:val="000000"/>
                <w:kern w:val="0"/>
                <w:sz w:val="24"/>
              </w:rPr>
              <w:t>11,466,363.00</w:t>
            </w:r>
          </w:p>
        </w:tc>
        <w:tc>
          <w:tcPr>
            <w:tcW w:w="1583" w:type="dxa"/>
            <w:tcBorders>
              <w:top w:val="single" w:sz="8" w:space="0" w:color="000000"/>
              <w:left w:val="single" w:sz="8" w:space="0" w:color="000000"/>
              <w:bottom w:val="single" w:sz="8" w:space="0" w:color="000000"/>
              <w:right w:val="single" w:sz="8" w:space="0" w:color="000000"/>
            </w:tcBorders>
          </w:tcPr>
          <w:p w:rsidR="00783788" w:rsidRDefault="002C6E18">
            <w:pPr>
              <w:spacing w:before="29" w:line="288" w:lineRule="auto"/>
              <w:ind w:left="17"/>
              <w:jc w:val="right"/>
              <w:rPr>
                <w:color w:val="000000"/>
                <w:kern w:val="0"/>
                <w:sz w:val="24"/>
              </w:rPr>
            </w:pPr>
            <w:r>
              <w:rPr>
                <w:color w:val="000000"/>
                <w:kern w:val="0"/>
                <w:sz w:val="24"/>
              </w:rPr>
              <w:t>5.10</w:t>
            </w:r>
          </w:p>
        </w:tc>
      </w:tr>
      <w:tr w:rsidR="00783788">
        <w:tc>
          <w:tcPr>
            <w:tcW w:w="897" w:type="dxa"/>
            <w:tcBorders>
              <w:top w:val="single" w:sz="8" w:space="0" w:color="000000"/>
              <w:left w:val="single" w:sz="8" w:space="0" w:color="000000"/>
              <w:bottom w:val="single" w:sz="8" w:space="0" w:color="000000"/>
              <w:right w:val="single" w:sz="8" w:space="0" w:color="000000"/>
            </w:tcBorders>
          </w:tcPr>
          <w:p w:rsidR="00783788" w:rsidRDefault="002C6E18">
            <w:pPr>
              <w:spacing w:before="29" w:line="288" w:lineRule="auto"/>
              <w:ind w:left="17"/>
              <w:jc w:val="center"/>
              <w:rPr>
                <w:color w:val="000000"/>
                <w:sz w:val="24"/>
              </w:rPr>
            </w:pPr>
            <w:r>
              <w:rPr>
                <w:color w:val="000000"/>
                <w:sz w:val="24"/>
              </w:rPr>
              <w:t>3</w:t>
            </w:r>
          </w:p>
        </w:tc>
        <w:tc>
          <w:tcPr>
            <w:tcW w:w="1316" w:type="dxa"/>
            <w:tcBorders>
              <w:top w:val="single" w:sz="8" w:space="0" w:color="000000"/>
              <w:left w:val="single" w:sz="8" w:space="0" w:color="000000"/>
              <w:bottom w:val="single" w:sz="8" w:space="0" w:color="000000"/>
              <w:right w:val="single" w:sz="8" w:space="0" w:color="000000"/>
            </w:tcBorders>
          </w:tcPr>
          <w:p w:rsidR="00783788" w:rsidRDefault="002C6E18">
            <w:pPr>
              <w:spacing w:before="29" w:line="288" w:lineRule="auto"/>
              <w:ind w:left="17"/>
              <w:jc w:val="center"/>
              <w:rPr>
                <w:color w:val="000000"/>
                <w:kern w:val="0"/>
                <w:sz w:val="24"/>
              </w:rPr>
            </w:pPr>
            <w:r>
              <w:rPr>
                <w:color w:val="000000"/>
                <w:kern w:val="0"/>
                <w:sz w:val="24"/>
              </w:rPr>
              <w:t>113001</w:t>
            </w:r>
          </w:p>
        </w:tc>
        <w:tc>
          <w:tcPr>
            <w:tcW w:w="1733" w:type="dxa"/>
            <w:tcBorders>
              <w:top w:val="single" w:sz="8" w:space="0" w:color="000000"/>
              <w:left w:val="single" w:sz="8" w:space="0" w:color="000000"/>
              <w:bottom w:val="single" w:sz="8" w:space="0" w:color="000000"/>
              <w:right w:val="single" w:sz="8" w:space="0" w:color="000000"/>
            </w:tcBorders>
          </w:tcPr>
          <w:p w:rsidR="00783788" w:rsidRDefault="002C6E18">
            <w:pPr>
              <w:spacing w:before="29" w:line="288" w:lineRule="auto"/>
              <w:ind w:left="17"/>
              <w:jc w:val="center"/>
              <w:rPr>
                <w:color w:val="000000"/>
                <w:kern w:val="0"/>
                <w:sz w:val="24"/>
              </w:rPr>
            </w:pPr>
            <w:r>
              <w:rPr>
                <w:color w:val="000000"/>
                <w:kern w:val="0"/>
                <w:sz w:val="24"/>
              </w:rPr>
              <w:t>中行转债</w:t>
            </w:r>
          </w:p>
        </w:tc>
        <w:tc>
          <w:tcPr>
            <w:tcW w:w="1437" w:type="dxa"/>
            <w:tcBorders>
              <w:top w:val="single" w:sz="8" w:space="0" w:color="000000"/>
              <w:left w:val="single" w:sz="8" w:space="0" w:color="000000"/>
              <w:bottom w:val="single" w:sz="8" w:space="0" w:color="000000"/>
              <w:right w:val="single" w:sz="8" w:space="0" w:color="000000"/>
            </w:tcBorders>
          </w:tcPr>
          <w:p w:rsidR="00783788" w:rsidRDefault="002C6E18">
            <w:pPr>
              <w:spacing w:before="29" w:line="288" w:lineRule="auto"/>
              <w:ind w:left="17"/>
              <w:jc w:val="right"/>
              <w:rPr>
                <w:color w:val="000000"/>
                <w:kern w:val="0"/>
                <w:sz w:val="24"/>
              </w:rPr>
            </w:pPr>
            <w:r>
              <w:rPr>
                <w:color w:val="000000"/>
                <w:kern w:val="0"/>
                <w:sz w:val="24"/>
              </w:rPr>
              <w:t>71,930</w:t>
            </w:r>
          </w:p>
        </w:tc>
        <w:tc>
          <w:tcPr>
            <w:tcW w:w="1782" w:type="dxa"/>
            <w:tcBorders>
              <w:top w:val="single" w:sz="8" w:space="0" w:color="000000"/>
              <w:left w:val="single" w:sz="8" w:space="0" w:color="000000"/>
              <w:bottom w:val="single" w:sz="8" w:space="0" w:color="000000"/>
              <w:right w:val="single" w:sz="8" w:space="0" w:color="000000"/>
            </w:tcBorders>
          </w:tcPr>
          <w:p w:rsidR="00783788" w:rsidRDefault="002C6E18">
            <w:pPr>
              <w:spacing w:before="29" w:line="288" w:lineRule="auto"/>
              <w:ind w:left="17"/>
              <w:jc w:val="right"/>
              <w:rPr>
                <w:color w:val="000000"/>
                <w:kern w:val="0"/>
                <w:sz w:val="24"/>
              </w:rPr>
            </w:pPr>
            <w:r>
              <w:rPr>
                <w:color w:val="000000"/>
                <w:kern w:val="0"/>
                <w:sz w:val="24"/>
              </w:rPr>
              <w:t>11,263,518.70</w:t>
            </w:r>
          </w:p>
        </w:tc>
        <w:tc>
          <w:tcPr>
            <w:tcW w:w="1583" w:type="dxa"/>
            <w:tcBorders>
              <w:top w:val="single" w:sz="8" w:space="0" w:color="000000"/>
              <w:left w:val="single" w:sz="8" w:space="0" w:color="000000"/>
              <w:bottom w:val="single" w:sz="8" w:space="0" w:color="000000"/>
              <w:right w:val="single" w:sz="8" w:space="0" w:color="000000"/>
            </w:tcBorders>
          </w:tcPr>
          <w:p w:rsidR="00783788" w:rsidRDefault="002C6E18">
            <w:pPr>
              <w:spacing w:before="29" w:line="288" w:lineRule="auto"/>
              <w:ind w:left="17"/>
              <w:jc w:val="right"/>
              <w:rPr>
                <w:color w:val="000000"/>
                <w:kern w:val="0"/>
                <w:sz w:val="24"/>
              </w:rPr>
            </w:pPr>
            <w:r>
              <w:rPr>
                <w:color w:val="000000"/>
                <w:kern w:val="0"/>
                <w:sz w:val="24"/>
              </w:rPr>
              <w:t>5.01</w:t>
            </w:r>
          </w:p>
        </w:tc>
      </w:tr>
      <w:tr w:rsidR="00783788">
        <w:tc>
          <w:tcPr>
            <w:tcW w:w="897" w:type="dxa"/>
            <w:tcBorders>
              <w:top w:val="single" w:sz="8" w:space="0" w:color="000000"/>
              <w:left w:val="single" w:sz="8" w:space="0" w:color="000000"/>
              <w:bottom w:val="single" w:sz="8" w:space="0" w:color="000000"/>
              <w:right w:val="single" w:sz="8" w:space="0" w:color="000000"/>
            </w:tcBorders>
          </w:tcPr>
          <w:p w:rsidR="00783788" w:rsidRDefault="002C6E18">
            <w:pPr>
              <w:spacing w:before="29" w:line="288" w:lineRule="auto"/>
              <w:ind w:left="17"/>
              <w:jc w:val="center"/>
              <w:rPr>
                <w:color w:val="000000"/>
                <w:sz w:val="24"/>
              </w:rPr>
            </w:pPr>
            <w:r>
              <w:rPr>
                <w:color w:val="000000"/>
                <w:sz w:val="24"/>
              </w:rPr>
              <w:t>4</w:t>
            </w:r>
          </w:p>
        </w:tc>
        <w:tc>
          <w:tcPr>
            <w:tcW w:w="1316" w:type="dxa"/>
            <w:tcBorders>
              <w:top w:val="single" w:sz="8" w:space="0" w:color="000000"/>
              <w:left w:val="single" w:sz="8" w:space="0" w:color="000000"/>
              <w:bottom w:val="single" w:sz="8" w:space="0" w:color="000000"/>
              <w:right w:val="single" w:sz="8" w:space="0" w:color="000000"/>
            </w:tcBorders>
          </w:tcPr>
          <w:p w:rsidR="00783788" w:rsidRDefault="002C6E18">
            <w:pPr>
              <w:spacing w:before="29" w:line="288" w:lineRule="auto"/>
              <w:ind w:left="17"/>
              <w:jc w:val="center"/>
              <w:rPr>
                <w:color w:val="000000"/>
                <w:kern w:val="0"/>
                <w:sz w:val="24"/>
              </w:rPr>
            </w:pPr>
            <w:r>
              <w:rPr>
                <w:color w:val="000000"/>
                <w:kern w:val="0"/>
                <w:sz w:val="24"/>
              </w:rPr>
              <w:t>140213</w:t>
            </w:r>
          </w:p>
        </w:tc>
        <w:tc>
          <w:tcPr>
            <w:tcW w:w="1733" w:type="dxa"/>
            <w:tcBorders>
              <w:top w:val="single" w:sz="8" w:space="0" w:color="000000"/>
              <w:left w:val="single" w:sz="8" w:space="0" w:color="000000"/>
              <w:bottom w:val="single" w:sz="8" w:space="0" w:color="000000"/>
              <w:right w:val="single" w:sz="8" w:space="0" w:color="000000"/>
            </w:tcBorders>
          </w:tcPr>
          <w:p w:rsidR="00783788" w:rsidRDefault="002C6E18">
            <w:pPr>
              <w:spacing w:before="29" w:line="288" w:lineRule="auto"/>
              <w:ind w:left="17"/>
              <w:jc w:val="center"/>
              <w:rPr>
                <w:color w:val="000000"/>
                <w:kern w:val="0"/>
                <w:sz w:val="24"/>
              </w:rPr>
            </w:pPr>
            <w:r>
              <w:rPr>
                <w:color w:val="000000"/>
                <w:kern w:val="0"/>
                <w:sz w:val="24"/>
              </w:rPr>
              <w:t>14</w:t>
            </w:r>
            <w:r>
              <w:rPr>
                <w:color w:val="000000"/>
                <w:kern w:val="0"/>
                <w:sz w:val="24"/>
              </w:rPr>
              <w:t>国开</w:t>
            </w:r>
            <w:r>
              <w:rPr>
                <w:color w:val="000000"/>
                <w:kern w:val="0"/>
                <w:sz w:val="24"/>
              </w:rPr>
              <w:t>13</w:t>
            </w:r>
          </w:p>
        </w:tc>
        <w:tc>
          <w:tcPr>
            <w:tcW w:w="1437" w:type="dxa"/>
            <w:tcBorders>
              <w:top w:val="single" w:sz="8" w:space="0" w:color="000000"/>
              <w:left w:val="single" w:sz="8" w:space="0" w:color="000000"/>
              <w:bottom w:val="single" w:sz="8" w:space="0" w:color="000000"/>
              <w:right w:val="single" w:sz="8" w:space="0" w:color="000000"/>
            </w:tcBorders>
          </w:tcPr>
          <w:p w:rsidR="00783788" w:rsidRDefault="002C6E18">
            <w:pPr>
              <w:spacing w:before="29" w:line="288" w:lineRule="auto"/>
              <w:ind w:left="17"/>
              <w:jc w:val="right"/>
              <w:rPr>
                <w:color w:val="000000"/>
                <w:kern w:val="0"/>
                <w:sz w:val="24"/>
              </w:rPr>
            </w:pPr>
            <w:r>
              <w:rPr>
                <w:color w:val="000000"/>
                <w:kern w:val="0"/>
                <w:sz w:val="24"/>
              </w:rPr>
              <w:t>100,000</w:t>
            </w:r>
          </w:p>
        </w:tc>
        <w:tc>
          <w:tcPr>
            <w:tcW w:w="1782" w:type="dxa"/>
            <w:tcBorders>
              <w:top w:val="single" w:sz="8" w:space="0" w:color="000000"/>
              <w:left w:val="single" w:sz="8" w:space="0" w:color="000000"/>
              <w:bottom w:val="single" w:sz="8" w:space="0" w:color="000000"/>
              <w:right w:val="single" w:sz="8" w:space="0" w:color="000000"/>
            </w:tcBorders>
          </w:tcPr>
          <w:p w:rsidR="00783788" w:rsidRDefault="002C6E18">
            <w:pPr>
              <w:spacing w:before="29" w:line="288" w:lineRule="auto"/>
              <w:ind w:left="17"/>
              <w:jc w:val="right"/>
              <w:rPr>
                <w:color w:val="000000"/>
                <w:kern w:val="0"/>
                <w:sz w:val="24"/>
              </w:rPr>
            </w:pPr>
            <w:r>
              <w:rPr>
                <w:color w:val="000000"/>
                <w:kern w:val="0"/>
                <w:sz w:val="24"/>
              </w:rPr>
              <w:t>10,000,000.00</w:t>
            </w:r>
          </w:p>
        </w:tc>
        <w:tc>
          <w:tcPr>
            <w:tcW w:w="1583" w:type="dxa"/>
            <w:tcBorders>
              <w:top w:val="single" w:sz="8" w:space="0" w:color="000000"/>
              <w:left w:val="single" w:sz="8" w:space="0" w:color="000000"/>
              <w:bottom w:val="single" w:sz="8" w:space="0" w:color="000000"/>
              <w:right w:val="single" w:sz="8" w:space="0" w:color="000000"/>
            </w:tcBorders>
          </w:tcPr>
          <w:p w:rsidR="00783788" w:rsidRDefault="002C6E18">
            <w:pPr>
              <w:spacing w:before="29" w:line="288" w:lineRule="auto"/>
              <w:ind w:left="17"/>
              <w:jc w:val="right"/>
              <w:rPr>
                <w:color w:val="000000"/>
                <w:kern w:val="0"/>
                <w:sz w:val="24"/>
              </w:rPr>
            </w:pPr>
            <w:r>
              <w:rPr>
                <w:color w:val="000000"/>
                <w:kern w:val="0"/>
                <w:sz w:val="24"/>
              </w:rPr>
              <w:t>4.45</w:t>
            </w:r>
          </w:p>
        </w:tc>
      </w:tr>
      <w:tr w:rsidR="00783788">
        <w:tc>
          <w:tcPr>
            <w:tcW w:w="897" w:type="dxa"/>
            <w:tcBorders>
              <w:top w:val="single" w:sz="8" w:space="0" w:color="000000"/>
              <w:left w:val="single" w:sz="8" w:space="0" w:color="000000"/>
              <w:bottom w:val="single" w:sz="8" w:space="0" w:color="000000"/>
              <w:right w:val="single" w:sz="8" w:space="0" w:color="000000"/>
            </w:tcBorders>
          </w:tcPr>
          <w:p w:rsidR="00783788" w:rsidRDefault="002C6E18">
            <w:pPr>
              <w:spacing w:before="29" w:line="288" w:lineRule="auto"/>
              <w:ind w:left="17"/>
              <w:jc w:val="center"/>
              <w:rPr>
                <w:color w:val="000000"/>
                <w:sz w:val="24"/>
              </w:rPr>
            </w:pPr>
            <w:r>
              <w:rPr>
                <w:color w:val="000000"/>
                <w:sz w:val="24"/>
              </w:rPr>
              <w:t>5</w:t>
            </w:r>
          </w:p>
        </w:tc>
        <w:tc>
          <w:tcPr>
            <w:tcW w:w="1316" w:type="dxa"/>
            <w:tcBorders>
              <w:top w:val="single" w:sz="8" w:space="0" w:color="000000"/>
              <w:left w:val="single" w:sz="8" w:space="0" w:color="000000"/>
              <w:bottom w:val="single" w:sz="8" w:space="0" w:color="000000"/>
              <w:right w:val="single" w:sz="8" w:space="0" w:color="000000"/>
            </w:tcBorders>
          </w:tcPr>
          <w:p w:rsidR="00783788" w:rsidRDefault="002C6E18">
            <w:pPr>
              <w:spacing w:before="29" w:line="288" w:lineRule="auto"/>
              <w:ind w:left="17"/>
              <w:jc w:val="center"/>
              <w:rPr>
                <w:color w:val="000000"/>
                <w:kern w:val="0"/>
                <w:sz w:val="24"/>
              </w:rPr>
            </w:pPr>
            <w:r>
              <w:rPr>
                <w:color w:val="000000"/>
                <w:kern w:val="0"/>
                <w:sz w:val="24"/>
              </w:rPr>
              <w:t>110023</w:t>
            </w:r>
          </w:p>
        </w:tc>
        <w:tc>
          <w:tcPr>
            <w:tcW w:w="1733" w:type="dxa"/>
            <w:tcBorders>
              <w:top w:val="single" w:sz="8" w:space="0" w:color="000000"/>
              <w:left w:val="single" w:sz="8" w:space="0" w:color="000000"/>
              <w:bottom w:val="single" w:sz="8" w:space="0" w:color="000000"/>
              <w:right w:val="single" w:sz="8" w:space="0" w:color="000000"/>
            </w:tcBorders>
          </w:tcPr>
          <w:p w:rsidR="00783788" w:rsidRDefault="002C6E18">
            <w:pPr>
              <w:spacing w:before="29" w:line="288" w:lineRule="auto"/>
              <w:ind w:left="17"/>
              <w:jc w:val="center"/>
              <w:rPr>
                <w:color w:val="000000"/>
                <w:kern w:val="0"/>
                <w:sz w:val="24"/>
              </w:rPr>
            </w:pPr>
            <w:r>
              <w:rPr>
                <w:color w:val="000000"/>
                <w:kern w:val="0"/>
                <w:sz w:val="24"/>
              </w:rPr>
              <w:t>民生转债</w:t>
            </w:r>
          </w:p>
        </w:tc>
        <w:tc>
          <w:tcPr>
            <w:tcW w:w="1437" w:type="dxa"/>
            <w:tcBorders>
              <w:top w:val="single" w:sz="8" w:space="0" w:color="000000"/>
              <w:left w:val="single" w:sz="8" w:space="0" w:color="000000"/>
              <w:bottom w:val="single" w:sz="8" w:space="0" w:color="000000"/>
              <w:right w:val="single" w:sz="8" w:space="0" w:color="000000"/>
            </w:tcBorders>
          </w:tcPr>
          <w:p w:rsidR="00783788" w:rsidRDefault="002C6E18">
            <w:pPr>
              <w:spacing w:before="29" w:line="288" w:lineRule="auto"/>
              <w:ind w:left="17"/>
              <w:jc w:val="right"/>
              <w:rPr>
                <w:color w:val="000000"/>
                <w:kern w:val="0"/>
                <w:sz w:val="24"/>
              </w:rPr>
            </w:pPr>
            <w:r>
              <w:rPr>
                <w:color w:val="000000"/>
                <w:kern w:val="0"/>
                <w:sz w:val="24"/>
              </w:rPr>
              <w:t>38,890</w:t>
            </w:r>
          </w:p>
        </w:tc>
        <w:tc>
          <w:tcPr>
            <w:tcW w:w="1782" w:type="dxa"/>
            <w:tcBorders>
              <w:top w:val="single" w:sz="8" w:space="0" w:color="000000"/>
              <w:left w:val="single" w:sz="8" w:space="0" w:color="000000"/>
              <w:bottom w:val="single" w:sz="8" w:space="0" w:color="000000"/>
              <w:right w:val="single" w:sz="8" w:space="0" w:color="000000"/>
            </w:tcBorders>
          </w:tcPr>
          <w:p w:rsidR="00783788" w:rsidRDefault="002C6E18">
            <w:pPr>
              <w:spacing w:before="29" w:line="288" w:lineRule="auto"/>
              <w:ind w:left="17"/>
              <w:jc w:val="right"/>
              <w:rPr>
                <w:color w:val="000000"/>
                <w:kern w:val="0"/>
                <w:sz w:val="24"/>
              </w:rPr>
            </w:pPr>
            <w:r>
              <w:rPr>
                <w:color w:val="000000"/>
                <w:kern w:val="0"/>
                <w:sz w:val="24"/>
              </w:rPr>
              <w:t>5,377,320.30</w:t>
            </w:r>
          </w:p>
        </w:tc>
        <w:tc>
          <w:tcPr>
            <w:tcW w:w="1583" w:type="dxa"/>
            <w:tcBorders>
              <w:top w:val="single" w:sz="8" w:space="0" w:color="000000"/>
              <w:left w:val="single" w:sz="8" w:space="0" w:color="000000"/>
              <w:bottom w:val="single" w:sz="8" w:space="0" w:color="000000"/>
              <w:right w:val="single" w:sz="8" w:space="0" w:color="000000"/>
            </w:tcBorders>
          </w:tcPr>
          <w:p w:rsidR="00783788" w:rsidRDefault="002C6E18">
            <w:pPr>
              <w:spacing w:before="29" w:line="288" w:lineRule="auto"/>
              <w:ind w:left="17"/>
              <w:jc w:val="right"/>
              <w:rPr>
                <w:color w:val="000000"/>
                <w:kern w:val="0"/>
                <w:sz w:val="24"/>
              </w:rPr>
            </w:pPr>
            <w:r>
              <w:rPr>
                <w:color w:val="000000"/>
                <w:kern w:val="0"/>
                <w:sz w:val="24"/>
              </w:rPr>
              <w:t>2.39</w:t>
            </w:r>
          </w:p>
        </w:tc>
      </w:tr>
    </w:tbl>
    <w:p w:rsidR="00783788" w:rsidRDefault="00783788">
      <w:pPr>
        <w:spacing w:line="360" w:lineRule="auto"/>
        <w:ind w:firstLineChars="200" w:firstLine="480"/>
        <w:rPr>
          <w:sz w:val="24"/>
        </w:rPr>
      </w:pPr>
    </w:p>
    <w:p w:rsidR="00783788" w:rsidRDefault="002C6E18">
      <w:pPr>
        <w:spacing w:line="360" w:lineRule="auto"/>
        <w:ind w:firstLineChars="200" w:firstLine="480"/>
        <w:rPr>
          <w:sz w:val="24"/>
        </w:rPr>
      </w:pPr>
      <w:r>
        <w:rPr>
          <w:sz w:val="24"/>
        </w:rPr>
        <w:t>6</w:t>
      </w:r>
      <w:r>
        <w:rPr>
          <w:rFonts w:hint="eastAsia"/>
          <w:sz w:val="24"/>
        </w:rPr>
        <w:t>、</w:t>
      </w:r>
      <w:r>
        <w:rPr>
          <w:sz w:val="24"/>
        </w:rPr>
        <w:t>报告期末按公允价值占基金资产净值比例大小排</w:t>
      </w:r>
      <w:r>
        <w:rPr>
          <w:rFonts w:hint="eastAsia"/>
          <w:sz w:val="24"/>
        </w:rPr>
        <w:t>序</w:t>
      </w:r>
      <w:r>
        <w:rPr>
          <w:sz w:val="24"/>
        </w:rPr>
        <w:t>的前十名资产支持证券投资明细</w:t>
      </w:r>
    </w:p>
    <w:p w:rsidR="00783788" w:rsidRDefault="002C6E18">
      <w:pPr>
        <w:spacing w:line="360" w:lineRule="auto"/>
        <w:ind w:firstLineChars="200" w:firstLine="480"/>
        <w:rPr>
          <w:sz w:val="24"/>
        </w:rPr>
      </w:pPr>
      <w:r>
        <w:rPr>
          <w:rFonts w:hint="eastAsia"/>
          <w:sz w:val="24"/>
        </w:rPr>
        <w:t>本基金本报告期末未持有资产支持证券。</w:t>
      </w:r>
    </w:p>
    <w:p w:rsidR="00783788" w:rsidRDefault="00783788">
      <w:pPr>
        <w:spacing w:line="360" w:lineRule="auto"/>
        <w:ind w:firstLineChars="200" w:firstLine="480"/>
        <w:rPr>
          <w:sz w:val="24"/>
        </w:rPr>
      </w:pPr>
    </w:p>
    <w:p w:rsidR="00783788" w:rsidRDefault="002C6E18">
      <w:pPr>
        <w:autoSpaceDE w:val="0"/>
        <w:autoSpaceDN w:val="0"/>
        <w:adjustRightInd w:val="0"/>
        <w:spacing w:before="29" w:line="288" w:lineRule="auto"/>
        <w:ind w:firstLineChars="200" w:firstLine="480"/>
        <w:jc w:val="left"/>
        <w:rPr>
          <w:sz w:val="24"/>
        </w:rPr>
      </w:pPr>
      <w:r>
        <w:rPr>
          <w:sz w:val="24"/>
        </w:rPr>
        <w:t>7</w:t>
      </w:r>
      <w:r>
        <w:rPr>
          <w:rFonts w:hint="eastAsia"/>
          <w:sz w:val="24"/>
        </w:rPr>
        <w:t>、</w:t>
      </w:r>
      <w:r>
        <w:rPr>
          <w:sz w:val="24"/>
        </w:rPr>
        <w:t>报告期末按公允价值占基金资产净值比例大小排序的前五名贵金属投资明细</w:t>
      </w:r>
    </w:p>
    <w:p w:rsidR="00783788" w:rsidRDefault="002C6E18">
      <w:pPr>
        <w:spacing w:line="360" w:lineRule="auto"/>
        <w:ind w:firstLineChars="200" w:firstLine="480"/>
        <w:rPr>
          <w:sz w:val="24"/>
        </w:rPr>
      </w:pPr>
      <w:r>
        <w:rPr>
          <w:sz w:val="24"/>
        </w:rPr>
        <w:t>本基金本报告期末未持有贵金属。</w:t>
      </w:r>
    </w:p>
    <w:p w:rsidR="00783788" w:rsidRDefault="00783788">
      <w:pPr>
        <w:spacing w:line="360" w:lineRule="auto"/>
        <w:ind w:firstLineChars="200" w:firstLine="480"/>
        <w:rPr>
          <w:sz w:val="24"/>
        </w:rPr>
      </w:pPr>
    </w:p>
    <w:p w:rsidR="00783788" w:rsidRDefault="002C6E18">
      <w:pPr>
        <w:autoSpaceDE w:val="0"/>
        <w:autoSpaceDN w:val="0"/>
        <w:adjustRightInd w:val="0"/>
        <w:spacing w:before="29" w:line="288" w:lineRule="auto"/>
        <w:ind w:firstLineChars="200" w:firstLine="480"/>
        <w:jc w:val="left"/>
        <w:rPr>
          <w:sz w:val="24"/>
        </w:rPr>
      </w:pPr>
      <w:r>
        <w:rPr>
          <w:sz w:val="24"/>
        </w:rPr>
        <w:t>8</w:t>
      </w:r>
      <w:r>
        <w:rPr>
          <w:rFonts w:hint="eastAsia"/>
          <w:sz w:val="24"/>
        </w:rPr>
        <w:t>、报告期末按公允价值占基金资产净值比例大小排序的前五名权证投资明细</w:t>
      </w:r>
    </w:p>
    <w:p w:rsidR="00783788" w:rsidRDefault="002C6E18">
      <w:pPr>
        <w:autoSpaceDE w:val="0"/>
        <w:autoSpaceDN w:val="0"/>
        <w:adjustRightInd w:val="0"/>
        <w:spacing w:before="29" w:line="288" w:lineRule="auto"/>
        <w:ind w:firstLineChars="200" w:firstLine="480"/>
        <w:jc w:val="left"/>
        <w:rPr>
          <w:sz w:val="24"/>
        </w:rPr>
      </w:pPr>
      <w:r>
        <w:rPr>
          <w:rFonts w:hint="eastAsia"/>
          <w:sz w:val="24"/>
        </w:rPr>
        <w:t>本基金本报告期末未持有权证。</w:t>
      </w:r>
    </w:p>
    <w:p w:rsidR="00783788" w:rsidRDefault="00783788">
      <w:pPr>
        <w:spacing w:line="360" w:lineRule="auto"/>
        <w:ind w:firstLineChars="200" w:firstLine="480"/>
        <w:rPr>
          <w:sz w:val="24"/>
        </w:rPr>
      </w:pPr>
    </w:p>
    <w:p w:rsidR="00783788" w:rsidRDefault="002C6E18">
      <w:pPr>
        <w:autoSpaceDE w:val="0"/>
        <w:autoSpaceDN w:val="0"/>
        <w:adjustRightInd w:val="0"/>
        <w:spacing w:before="29" w:line="288" w:lineRule="auto"/>
        <w:ind w:firstLineChars="200" w:firstLine="480"/>
        <w:jc w:val="left"/>
        <w:rPr>
          <w:sz w:val="24"/>
        </w:rPr>
      </w:pPr>
      <w:r>
        <w:rPr>
          <w:rFonts w:hint="eastAsia"/>
          <w:sz w:val="24"/>
        </w:rPr>
        <w:t>9</w:t>
      </w:r>
      <w:r>
        <w:rPr>
          <w:rFonts w:hint="eastAsia"/>
          <w:sz w:val="24"/>
        </w:rPr>
        <w:t>、报告期末本基金投资的股指期货交易情况说明</w:t>
      </w:r>
    </w:p>
    <w:p w:rsidR="00783788" w:rsidRDefault="002C6E18">
      <w:pPr>
        <w:autoSpaceDE w:val="0"/>
        <w:autoSpaceDN w:val="0"/>
        <w:adjustRightInd w:val="0"/>
        <w:spacing w:before="29" w:line="288" w:lineRule="auto"/>
        <w:ind w:firstLineChars="200" w:firstLine="480"/>
        <w:jc w:val="left"/>
        <w:rPr>
          <w:sz w:val="24"/>
        </w:rPr>
      </w:pPr>
      <w:r>
        <w:rPr>
          <w:rFonts w:hint="eastAsia"/>
          <w:sz w:val="24"/>
        </w:rPr>
        <w:t>本基金本报告期末未持有股指期货。</w:t>
      </w:r>
    </w:p>
    <w:p w:rsidR="00783788" w:rsidRDefault="00783788">
      <w:pPr>
        <w:autoSpaceDE w:val="0"/>
        <w:autoSpaceDN w:val="0"/>
        <w:adjustRightInd w:val="0"/>
        <w:spacing w:before="29" w:line="288" w:lineRule="auto"/>
        <w:jc w:val="left"/>
        <w:rPr>
          <w:color w:val="000000"/>
          <w:sz w:val="24"/>
          <w:szCs w:val="24"/>
        </w:rPr>
      </w:pPr>
    </w:p>
    <w:p w:rsidR="00783788" w:rsidRDefault="002C6E18">
      <w:pPr>
        <w:autoSpaceDE w:val="0"/>
        <w:autoSpaceDN w:val="0"/>
        <w:adjustRightInd w:val="0"/>
        <w:spacing w:before="29" w:line="288" w:lineRule="auto"/>
        <w:ind w:firstLineChars="200" w:firstLine="480"/>
        <w:jc w:val="left"/>
        <w:rPr>
          <w:sz w:val="24"/>
        </w:rPr>
      </w:pPr>
      <w:r>
        <w:rPr>
          <w:rFonts w:hint="eastAsia"/>
          <w:color w:val="000000"/>
          <w:sz w:val="24"/>
          <w:szCs w:val="24"/>
        </w:rPr>
        <w:t>10</w:t>
      </w:r>
      <w:r>
        <w:rPr>
          <w:rFonts w:hint="eastAsia"/>
          <w:color w:val="000000"/>
          <w:sz w:val="24"/>
          <w:szCs w:val="24"/>
        </w:rPr>
        <w:t>、</w:t>
      </w:r>
      <w:r>
        <w:rPr>
          <w:rFonts w:hint="eastAsia"/>
          <w:sz w:val="24"/>
        </w:rPr>
        <w:t>报告期末本基金投资的国债期货交易情况说明</w:t>
      </w:r>
    </w:p>
    <w:p w:rsidR="00783788" w:rsidRDefault="002C6E18">
      <w:pPr>
        <w:autoSpaceDE w:val="0"/>
        <w:autoSpaceDN w:val="0"/>
        <w:adjustRightInd w:val="0"/>
        <w:spacing w:before="29" w:line="288" w:lineRule="auto"/>
        <w:ind w:firstLineChars="200" w:firstLine="480"/>
        <w:jc w:val="left"/>
        <w:rPr>
          <w:sz w:val="24"/>
        </w:rPr>
      </w:pPr>
      <w:r>
        <w:rPr>
          <w:rFonts w:hint="eastAsia"/>
          <w:sz w:val="24"/>
        </w:rPr>
        <w:t>本基金本报告期末未持有国债期货。</w:t>
      </w:r>
    </w:p>
    <w:p w:rsidR="00783788" w:rsidRDefault="00783788">
      <w:pPr>
        <w:autoSpaceDE w:val="0"/>
        <w:autoSpaceDN w:val="0"/>
        <w:adjustRightInd w:val="0"/>
        <w:spacing w:before="29" w:line="288" w:lineRule="auto"/>
        <w:jc w:val="left"/>
        <w:rPr>
          <w:color w:val="000000"/>
          <w:sz w:val="24"/>
          <w:szCs w:val="24"/>
        </w:rPr>
      </w:pPr>
    </w:p>
    <w:p w:rsidR="00783788" w:rsidRDefault="002C6E18">
      <w:pPr>
        <w:spacing w:line="360" w:lineRule="auto"/>
        <w:ind w:firstLineChars="200" w:firstLine="480"/>
        <w:rPr>
          <w:sz w:val="24"/>
        </w:rPr>
      </w:pPr>
      <w:r>
        <w:rPr>
          <w:rFonts w:hint="eastAsia"/>
          <w:sz w:val="24"/>
        </w:rPr>
        <w:t>11</w:t>
      </w:r>
      <w:r>
        <w:rPr>
          <w:rFonts w:hint="eastAsia"/>
          <w:sz w:val="24"/>
        </w:rPr>
        <w:t>、</w:t>
      </w:r>
      <w:r>
        <w:rPr>
          <w:sz w:val="24"/>
        </w:rPr>
        <w:t>投资组合报告附注</w:t>
      </w:r>
    </w:p>
    <w:p w:rsidR="00783788" w:rsidRDefault="002C6E18">
      <w:pPr>
        <w:spacing w:line="360" w:lineRule="auto"/>
        <w:ind w:firstLineChars="200" w:firstLine="480"/>
        <w:rPr>
          <w:color w:val="000000"/>
          <w:kern w:val="0"/>
          <w:sz w:val="24"/>
        </w:rPr>
      </w:pPr>
      <w:r>
        <w:rPr>
          <w:rFonts w:hint="eastAsia"/>
          <w:sz w:val="24"/>
        </w:rPr>
        <w:t>11.1</w:t>
      </w:r>
      <w:r>
        <w:rPr>
          <w:rFonts w:hint="eastAsia"/>
          <w:color w:val="000000"/>
          <w:kern w:val="0"/>
          <w:sz w:val="24"/>
        </w:rPr>
        <w:t>报告期内本基金投资的前十名证券的发行主体未被监管部门立案调查，在本报告编制日前一年内本基金投资的前十名证券的发行主体未受到公开谴责和处罚。</w:t>
      </w:r>
    </w:p>
    <w:p w:rsidR="00783788" w:rsidRDefault="002C6E18">
      <w:pPr>
        <w:spacing w:line="360" w:lineRule="auto"/>
        <w:ind w:firstLineChars="200" w:firstLine="480"/>
        <w:rPr>
          <w:color w:val="000000"/>
          <w:kern w:val="0"/>
          <w:sz w:val="24"/>
        </w:rPr>
      </w:pPr>
      <w:r>
        <w:rPr>
          <w:rFonts w:hint="eastAsia"/>
          <w:sz w:val="24"/>
        </w:rPr>
        <w:t>11.2</w:t>
      </w:r>
      <w:r>
        <w:rPr>
          <w:rFonts w:hint="eastAsia"/>
          <w:color w:val="000000"/>
          <w:kern w:val="0"/>
          <w:sz w:val="24"/>
        </w:rPr>
        <w:t>本基金投资的前十名股票中，没有超出基金合同规定的备选股票库之外的股票。</w:t>
      </w:r>
    </w:p>
    <w:p w:rsidR="00783788" w:rsidRDefault="002C6E18">
      <w:pPr>
        <w:spacing w:line="360" w:lineRule="auto"/>
        <w:ind w:firstLineChars="200" w:firstLine="480"/>
        <w:rPr>
          <w:sz w:val="24"/>
        </w:rPr>
      </w:pPr>
      <w:r>
        <w:rPr>
          <w:rFonts w:hint="eastAsia"/>
          <w:sz w:val="24"/>
        </w:rPr>
        <w:t xml:space="preserve">11.3 </w:t>
      </w:r>
      <w:r>
        <w:rPr>
          <w:rFonts w:hint="eastAsia"/>
          <w:sz w:val="24"/>
        </w:rPr>
        <w:t>其他资产构成</w:t>
      </w:r>
    </w:p>
    <w:tbl>
      <w:tblPr>
        <w:tblpPr w:leftFromText="180" w:rightFromText="180" w:vertAnchor="text" w:horzAnchor="margin" w:tblpXSpec="center" w:tblpY="265"/>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 w:type="dxa"/>
          <w:bottom w:w="-1" w:type="dxa"/>
        </w:tblCellMar>
        <w:tblLook w:val="04A0" w:firstRow="1" w:lastRow="0" w:firstColumn="1" w:lastColumn="0" w:noHBand="0" w:noVBand="1"/>
      </w:tblPr>
      <w:tblGrid>
        <w:gridCol w:w="1287"/>
        <w:gridCol w:w="2573"/>
        <w:gridCol w:w="5008"/>
      </w:tblGrid>
      <w:tr w:rsidR="00783788" w:rsidTr="00F45BDB">
        <w:trPr>
          <w:jc w:val="center"/>
        </w:trPr>
        <w:tc>
          <w:tcPr>
            <w:tcW w:w="1287" w:type="dxa"/>
            <w:shd w:val="clear" w:color="auto" w:fill="auto"/>
            <w:vAlign w:val="center"/>
          </w:tcPr>
          <w:p w:rsidR="00783788" w:rsidRPr="00F45BDB" w:rsidRDefault="002C6E18" w:rsidP="00F45BDB">
            <w:pPr>
              <w:autoSpaceDE w:val="0"/>
              <w:autoSpaceDN w:val="0"/>
              <w:adjustRightInd w:val="0"/>
              <w:spacing w:before="29" w:line="288" w:lineRule="auto"/>
              <w:ind w:left="17"/>
              <w:jc w:val="center"/>
              <w:rPr>
                <w:color w:val="000000"/>
                <w:sz w:val="24"/>
                <w:szCs w:val="24"/>
              </w:rPr>
            </w:pPr>
            <w:r w:rsidRPr="00F45BDB">
              <w:rPr>
                <w:color w:val="000000"/>
                <w:sz w:val="24"/>
                <w:szCs w:val="24"/>
              </w:rPr>
              <w:t>序号</w:t>
            </w:r>
          </w:p>
        </w:tc>
        <w:tc>
          <w:tcPr>
            <w:tcW w:w="2573" w:type="dxa"/>
            <w:shd w:val="clear" w:color="auto" w:fill="auto"/>
            <w:vAlign w:val="center"/>
          </w:tcPr>
          <w:p w:rsidR="00783788" w:rsidRPr="00F45BDB" w:rsidRDefault="002C6E18" w:rsidP="00F45BDB">
            <w:pPr>
              <w:autoSpaceDE w:val="0"/>
              <w:autoSpaceDN w:val="0"/>
              <w:adjustRightInd w:val="0"/>
              <w:spacing w:before="29" w:line="288" w:lineRule="auto"/>
              <w:ind w:left="17"/>
              <w:jc w:val="center"/>
              <w:rPr>
                <w:color w:val="000000"/>
                <w:sz w:val="24"/>
                <w:szCs w:val="24"/>
              </w:rPr>
            </w:pPr>
            <w:r w:rsidRPr="00F45BDB">
              <w:rPr>
                <w:color w:val="000000"/>
                <w:sz w:val="24"/>
                <w:szCs w:val="24"/>
              </w:rPr>
              <w:t>名称</w:t>
            </w:r>
          </w:p>
        </w:tc>
        <w:tc>
          <w:tcPr>
            <w:tcW w:w="5008" w:type="dxa"/>
            <w:shd w:val="clear" w:color="auto" w:fill="auto"/>
            <w:vAlign w:val="center"/>
          </w:tcPr>
          <w:p w:rsidR="00783788" w:rsidRPr="00F45BDB" w:rsidRDefault="002C6E18" w:rsidP="00F45BDB">
            <w:pPr>
              <w:autoSpaceDE w:val="0"/>
              <w:autoSpaceDN w:val="0"/>
              <w:adjustRightInd w:val="0"/>
              <w:spacing w:before="29" w:line="288" w:lineRule="auto"/>
              <w:ind w:left="17"/>
              <w:jc w:val="center"/>
              <w:rPr>
                <w:color w:val="000000"/>
                <w:sz w:val="24"/>
                <w:szCs w:val="24"/>
              </w:rPr>
            </w:pPr>
            <w:r w:rsidRPr="00F45BDB">
              <w:rPr>
                <w:color w:val="000000"/>
                <w:sz w:val="24"/>
                <w:szCs w:val="24"/>
              </w:rPr>
              <w:t>金额</w:t>
            </w:r>
            <w:r w:rsidRPr="00F45BDB">
              <w:rPr>
                <w:color w:val="000000"/>
                <w:sz w:val="24"/>
              </w:rPr>
              <w:t>（元）</w:t>
            </w:r>
          </w:p>
        </w:tc>
      </w:tr>
      <w:tr w:rsidR="00783788" w:rsidTr="00F45BDB">
        <w:trPr>
          <w:jc w:val="center"/>
        </w:trPr>
        <w:tc>
          <w:tcPr>
            <w:tcW w:w="1287" w:type="dxa"/>
            <w:shd w:val="clear" w:color="auto" w:fill="auto"/>
            <w:vAlign w:val="center"/>
          </w:tcPr>
          <w:p w:rsidR="00783788" w:rsidRPr="00F45BDB" w:rsidRDefault="002C6E18" w:rsidP="00F45BDB">
            <w:pPr>
              <w:autoSpaceDE w:val="0"/>
              <w:autoSpaceDN w:val="0"/>
              <w:adjustRightInd w:val="0"/>
              <w:spacing w:before="29" w:line="288" w:lineRule="auto"/>
              <w:ind w:left="15"/>
              <w:jc w:val="center"/>
              <w:rPr>
                <w:color w:val="000000"/>
                <w:sz w:val="24"/>
                <w:szCs w:val="24"/>
              </w:rPr>
            </w:pPr>
            <w:r w:rsidRPr="00F45BDB">
              <w:rPr>
                <w:color w:val="000000"/>
                <w:sz w:val="24"/>
                <w:szCs w:val="24"/>
              </w:rPr>
              <w:t>1</w:t>
            </w:r>
          </w:p>
        </w:tc>
        <w:tc>
          <w:tcPr>
            <w:tcW w:w="2573" w:type="dxa"/>
            <w:shd w:val="clear" w:color="auto" w:fill="auto"/>
            <w:vAlign w:val="center"/>
          </w:tcPr>
          <w:p w:rsidR="00783788" w:rsidRPr="00F45BDB" w:rsidRDefault="002C6E18" w:rsidP="00F45BDB">
            <w:pPr>
              <w:autoSpaceDE w:val="0"/>
              <w:autoSpaceDN w:val="0"/>
              <w:adjustRightInd w:val="0"/>
              <w:spacing w:before="29" w:line="288" w:lineRule="auto"/>
              <w:ind w:left="15"/>
              <w:jc w:val="left"/>
              <w:rPr>
                <w:color w:val="000000"/>
                <w:sz w:val="24"/>
                <w:szCs w:val="24"/>
              </w:rPr>
            </w:pPr>
            <w:r w:rsidRPr="00F45BDB">
              <w:rPr>
                <w:color w:val="000000"/>
                <w:sz w:val="24"/>
                <w:szCs w:val="24"/>
              </w:rPr>
              <w:t>存出保证金</w:t>
            </w:r>
          </w:p>
        </w:tc>
        <w:tc>
          <w:tcPr>
            <w:tcW w:w="5008" w:type="dxa"/>
            <w:shd w:val="clear" w:color="auto" w:fill="auto"/>
            <w:vAlign w:val="center"/>
          </w:tcPr>
          <w:p w:rsidR="00783788" w:rsidRPr="00F45BDB" w:rsidRDefault="002C6E18" w:rsidP="00F45BDB">
            <w:pPr>
              <w:autoSpaceDE w:val="0"/>
              <w:autoSpaceDN w:val="0"/>
              <w:adjustRightInd w:val="0"/>
              <w:spacing w:before="29" w:line="288" w:lineRule="auto"/>
              <w:ind w:left="15"/>
              <w:jc w:val="right"/>
              <w:rPr>
                <w:color w:val="000000"/>
                <w:sz w:val="24"/>
                <w:szCs w:val="24"/>
              </w:rPr>
            </w:pPr>
            <w:r w:rsidRPr="00F45BDB">
              <w:rPr>
                <w:color w:val="000000"/>
                <w:sz w:val="24"/>
                <w:szCs w:val="24"/>
              </w:rPr>
              <w:t>133,411.94</w:t>
            </w:r>
          </w:p>
        </w:tc>
      </w:tr>
      <w:tr w:rsidR="00783788" w:rsidTr="00F45BDB">
        <w:trPr>
          <w:jc w:val="center"/>
        </w:trPr>
        <w:tc>
          <w:tcPr>
            <w:tcW w:w="1287" w:type="dxa"/>
            <w:shd w:val="clear" w:color="auto" w:fill="auto"/>
            <w:vAlign w:val="center"/>
          </w:tcPr>
          <w:p w:rsidR="00783788" w:rsidRPr="00F45BDB" w:rsidRDefault="002C6E18" w:rsidP="00F45BDB">
            <w:pPr>
              <w:autoSpaceDE w:val="0"/>
              <w:autoSpaceDN w:val="0"/>
              <w:adjustRightInd w:val="0"/>
              <w:spacing w:before="29" w:line="288" w:lineRule="auto"/>
              <w:ind w:left="15"/>
              <w:jc w:val="center"/>
              <w:rPr>
                <w:color w:val="000000"/>
                <w:sz w:val="24"/>
                <w:szCs w:val="24"/>
              </w:rPr>
            </w:pPr>
            <w:r w:rsidRPr="00F45BDB">
              <w:rPr>
                <w:color w:val="000000"/>
                <w:sz w:val="24"/>
                <w:szCs w:val="24"/>
              </w:rPr>
              <w:t>2</w:t>
            </w:r>
          </w:p>
        </w:tc>
        <w:tc>
          <w:tcPr>
            <w:tcW w:w="2573" w:type="dxa"/>
            <w:shd w:val="clear" w:color="auto" w:fill="auto"/>
            <w:vAlign w:val="center"/>
          </w:tcPr>
          <w:p w:rsidR="00783788" w:rsidRPr="00F45BDB" w:rsidRDefault="002C6E18" w:rsidP="00F45BDB">
            <w:pPr>
              <w:autoSpaceDE w:val="0"/>
              <w:autoSpaceDN w:val="0"/>
              <w:adjustRightInd w:val="0"/>
              <w:spacing w:before="29" w:line="288" w:lineRule="auto"/>
              <w:ind w:left="15"/>
              <w:jc w:val="left"/>
              <w:rPr>
                <w:color w:val="000000"/>
                <w:sz w:val="24"/>
                <w:szCs w:val="24"/>
              </w:rPr>
            </w:pPr>
            <w:r w:rsidRPr="00F45BDB">
              <w:rPr>
                <w:color w:val="000000"/>
                <w:sz w:val="24"/>
                <w:szCs w:val="24"/>
              </w:rPr>
              <w:t>应收证券清算款</w:t>
            </w:r>
          </w:p>
        </w:tc>
        <w:tc>
          <w:tcPr>
            <w:tcW w:w="5008" w:type="dxa"/>
            <w:shd w:val="clear" w:color="auto" w:fill="auto"/>
            <w:vAlign w:val="center"/>
          </w:tcPr>
          <w:p w:rsidR="00783788" w:rsidRPr="00F45BDB" w:rsidRDefault="002C6E18" w:rsidP="00F45BDB">
            <w:pPr>
              <w:autoSpaceDE w:val="0"/>
              <w:autoSpaceDN w:val="0"/>
              <w:adjustRightInd w:val="0"/>
              <w:spacing w:before="29" w:line="288" w:lineRule="auto"/>
              <w:ind w:left="15"/>
              <w:jc w:val="right"/>
              <w:rPr>
                <w:color w:val="000000"/>
                <w:sz w:val="24"/>
                <w:szCs w:val="24"/>
              </w:rPr>
            </w:pPr>
            <w:r w:rsidRPr="00F45BDB">
              <w:rPr>
                <w:color w:val="000000"/>
                <w:sz w:val="24"/>
                <w:szCs w:val="24"/>
              </w:rPr>
              <w:t>5,402,982.30</w:t>
            </w:r>
          </w:p>
        </w:tc>
      </w:tr>
      <w:tr w:rsidR="00783788" w:rsidTr="00F45BDB">
        <w:trPr>
          <w:jc w:val="center"/>
        </w:trPr>
        <w:tc>
          <w:tcPr>
            <w:tcW w:w="1287" w:type="dxa"/>
            <w:shd w:val="clear" w:color="auto" w:fill="auto"/>
            <w:vAlign w:val="center"/>
          </w:tcPr>
          <w:p w:rsidR="00783788" w:rsidRPr="00F45BDB" w:rsidRDefault="002C6E18" w:rsidP="00F45BDB">
            <w:pPr>
              <w:autoSpaceDE w:val="0"/>
              <w:autoSpaceDN w:val="0"/>
              <w:adjustRightInd w:val="0"/>
              <w:spacing w:before="29" w:line="288" w:lineRule="auto"/>
              <w:ind w:left="15"/>
              <w:jc w:val="center"/>
              <w:rPr>
                <w:color w:val="000000"/>
                <w:sz w:val="24"/>
                <w:szCs w:val="24"/>
              </w:rPr>
            </w:pPr>
            <w:r w:rsidRPr="00F45BDB">
              <w:rPr>
                <w:color w:val="000000"/>
                <w:sz w:val="24"/>
                <w:szCs w:val="24"/>
              </w:rPr>
              <w:t>3</w:t>
            </w:r>
          </w:p>
        </w:tc>
        <w:tc>
          <w:tcPr>
            <w:tcW w:w="2573" w:type="dxa"/>
            <w:shd w:val="clear" w:color="auto" w:fill="auto"/>
            <w:vAlign w:val="center"/>
          </w:tcPr>
          <w:p w:rsidR="00783788" w:rsidRPr="00F45BDB" w:rsidRDefault="002C6E18" w:rsidP="00F45BDB">
            <w:pPr>
              <w:autoSpaceDE w:val="0"/>
              <w:autoSpaceDN w:val="0"/>
              <w:adjustRightInd w:val="0"/>
              <w:spacing w:before="29" w:line="288" w:lineRule="auto"/>
              <w:ind w:left="15"/>
              <w:jc w:val="left"/>
              <w:rPr>
                <w:color w:val="000000"/>
                <w:sz w:val="24"/>
                <w:szCs w:val="24"/>
              </w:rPr>
            </w:pPr>
            <w:r w:rsidRPr="00F45BDB">
              <w:rPr>
                <w:color w:val="000000"/>
                <w:sz w:val="24"/>
                <w:szCs w:val="24"/>
              </w:rPr>
              <w:t>应收股利</w:t>
            </w:r>
          </w:p>
        </w:tc>
        <w:tc>
          <w:tcPr>
            <w:tcW w:w="5008" w:type="dxa"/>
            <w:shd w:val="clear" w:color="auto" w:fill="auto"/>
            <w:vAlign w:val="center"/>
          </w:tcPr>
          <w:p w:rsidR="00783788" w:rsidRPr="00F45BDB" w:rsidRDefault="002C6E18" w:rsidP="00F45BDB">
            <w:pPr>
              <w:autoSpaceDE w:val="0"/>
              <w:autoSpaceDN w:val="0"/>
              <w:adjustRightInd w:val="0"/>
              <w:spacing w:before="29" w:line="288" w:lineRule="auto"/>
              <w:ind w:left="15"/>
              <w:jc w:val="right"/>
              <w:rPr>
                <w:color w:val="000000"/>
                <w:sz w:val="24"/>
                <w:szCs w:val="24"/>
              </w:rPr>
            </w:pPr>
            <w:r w:rsidRPr="00F45BDB">
              <w:rPr>
                <w:color w:val="000000"/>
                <w:sz w:val="24"/>
                <w:szCs w:val="24"/>
              </w:rPr>
              <w:t>-</w:t>
            </w:r>
          </w:p>
        </w:tc>
      </w:tr>
      <w:tr w:rsidR="00783788" w:rsidTr="00F45BDB">
        <w:trPr>
          <w:jc w:val="center"/>
        </w:trPr>
        <w:tc>
          <w:tcPr>
            <w:tcW w:w="1287" w:type="dxa"/>
            <w:shd w:val="clear" w:color="auto" w:fill="auto"/>
            <w:vAlign w:val="center"/>
          </w:tcPr>
          <w:p w:rsidR="00783788" w:rsidRPr="00F45BDB" w:rsidRDefault="002C6E18" w:rsidP="00F45BDB">
            <w:pPr>
              <w:autoSpaceDE w:val="0"/>
              <w:autoSpaceDN w:val="0"/>
              <w:adjustRightInd w:val="0"/>
              <w:spacing w:before="29" w:line="288" w:lineRule="auto"/>
              <w:ind w:left="15"/>
              <w:jc w:val="center"/>
              <w:rPr>
                <w:color w:val="000000"/>
                <w:sz w:val="24"/>
                <w:szCs w:val="24"/>
              </w:rPr>
            </w:pPr>
            <w:r w:rsidRPr="00F45BDB">
              <w:rPr>
                <w:color w:val="000000"/>
                <w:sz w:val="24"/>
                <w:szCs w:val="24"/>
              </w:rPr>
              <w:t>4</w:t>
            </w:r>
          </w:p>
        </w:tc>
        <w:tc>
          <w:tcPr>
            <w:tcW w:w="2573" w:type="dxa"/>
            <w:shd w:val="clear" w:color="auto" w:fill="auto"/>
            <w:vAlign w:val="center"/>
          </w:tcPr>
          <w:p w:rsidR="00783788" w:rsidRPr="00F45BDB" w:rsidRDefault="002C6E18" w:rsidP="00F45BDB">
            <w:pPr>
              <w:autoSpaceDE w:val="0"/>
              <w:autoSpaceDN w:val="0"/>
              <w:adjustRightInd w:val="0"/>
              <w:spacing w:before="29" w:line="288" w:lineRule="auto"/>
              <w:ind w:left="15"/>
              <w:jc w:val="left"/>
              <w:rPr>
                <w:color w:val="000000"/>
                <w:sz w:val="24"/>
                <w:szCs w:val="24"/>
              </w:rPr>
            </w:pPr>
            <w:r w:rsidRPr="00F45BDB">
              <w:rPr>
                <w:color w:val="000000"/>
                <w:sz w:val="24"/>
                <w:szCs w:val="24"/>
              </w:rPr>
              <w:t>应收利息</w:t>
            </w:r>
          </w:p>
        </w:tc>
        <w:tc>
          <w:tcPr>
            <w:tcW w:w="5008" w:type="dxa"/>
            <w:shd w:val="clear" w:color="auto" w:fill="auto"/>
            <w:vAlign w:val="center"/>
          </w:tcPr>
          <w:p w:rsidR="00783788" w:rsidRPr="00F45BDB" w:rsidRDefault="002C6E18" w:rsidP="00F45BDB">
            <w:pPr>
              <w:autoSpaceDE w:val="0"/>
              <w:autoSpaceDN w:val="0"/>
              <w:adjustRightInd w:val="0"/>
              <w:spacing w:before="29" w:line="288" w:lineRule="auto"/>
              <w:ind w:left="15"/>
              <w:jc w:val="right"/>
              <w:rPr>
                <w:color w:val="000000"/>
                <w:sz w:val="24"/>
                <w:szCs w:val="24"/>
              </w:rPr>
            </w:pPr>
            <w:r w:rsidRPr="00F45BDB">
              <w:rPr>
                <w:color w:val="000000"/>
                <w:sz w:val="24"/>
                <w:szCs w:val="24"/>
              </w:rPr>
              <w:t>411,603.04</w:t>
            </w:r>
          </w:p>
        </w:tc>
      </w:tr>
      <w:tr w:rsidR="00783788" w:rsidTr="00F45BDB">
        <w:trPr>
          <w:jc w:val="center"/>
        </w:trPr>
        <w:tc>
          <w:tcPr>
            <w:tcW w:w="1287" w:type="dxa"/>
            <w:shd w:val="clear" w:color="auto" w:fill="auto"/>
            <w:vAlign w:val="center"/>
          </w:tcPr>
          <w:p w:rsidR="00783788" w:rsidRPr="00F45BDB" w:rsidRDefault="002C6E18" w:rsidP="00F45BDB">
            <w:pPr>
              <w:autoSpaceDE w:val="0"/>
              <w:autoSpaceDN w:val="0"/>
              <w:adjustRightInd w:val="0"/>
              <w:spacing w:before="29" w:line="288" w:lineRule="auto"/>
              <w:ind w:left="15"/>
              <w:jc w:val="center"/>
              <w:rPr>
                <w:color w:val="000000"/>
                <w:sz w:val="24"/>
                <w:szCs w:val="24"/>
              </w:rPr>
            </w:pPr>
            <w:r w:rsidRPr="00F45BDB">
              <w:rPr>
                <w:color w:val="000000"/>
                <w:sz w:val="24"/>
                <w:szCs w:val="24"/>
              </w:rPr>
              <w:t>5</w:t>
            </w:r>
          </w:p>
        </w:tc>
        <w:tc>
          <w:tcPr>
            <w:tcW w:w="2573" w:type="dxa"/>
            <w:shd w:val="clear" w:color="auto" w:fill="auto"/>
            <w:vAlign w:val="center"/>
          </w:tcPr>
          <w:p w:rsidR="00783788" w:rsidRPr="00F45BDB" w:rsidRDefault="002C6E18" w:rsidP="00F45BDB">
            <w:pPr>
              <w:autoSpaceDE w:val="0"/>
              <w:autoSpaceDN w:val="0"/>
              <w:adjustRightInd w:val="0"/>
              <w:spacing w:before="29" w:line="288" w:lineRule="auto"/>
              <w:ind w:left="15"/>
              <w:jc w:val="left"/>
              <w:rPr>
                <w:color w:val="000000"/>
                <w:sz w:val="24"/>
                <w:szCs w:val="24"/>
              </w:rPr>
            </w:pPr>
            <w:r w:rsidRPr="00F45BDB">
              <w:rPr>
                <w:color w:val="000000"/>
                <w:sz w:val="24"/>
                <w:szCs w:val="24"/>
              </w:rPr>
              <w:t>应收申购款</w:t>
            </w:r>
          </w:p>
        </w:tc>
        <w:tc>
          <w:tcPr>
            <w:tcW w:w="5008" w:type="dxa"/>
            <w:shd w:val="clear" w:color="auto" w:fill="auto"/>
            <w:vAlign w:val="center"/>
          </w:tcPr>
          <w:p w:rsidR="00783788" w:rsidRPr="00F45BDB" w:rsidRDefault="002C6E18" w:rsidP="00F45BDB">
            <w:pPr>
              <w:autoSpaceDE w:val="0"/>
              <w:autoSpaceDN w:val="0"/>
              <w:adjustRightInd w:val="0"/>
              <w:spacing w:before="29" w:line="288" w:lineRule="auto"/>
              <w:ind w:left="15"/>
              <w:jc w:val="right"/>
              <w:rPr>
                <w:color w:val="000000"/>
                <w:sz w:val="24"/>
                <w:szCs w:val="24"/>
              </w:rPr>
            </w:pPr>
            <w:r w:rsidRPr="00F45BDB">
              <w:rPr>
                <w:color w:val="000000"/>
                <w:sz w:val="24"/>
                <w:szCs w:val="24"/>
              </w:rPr>
              <w:t>971,146.53</w:t>
            </w:r>
          </w:p>
        </w:tc>
      </w:tr>
      <w:tr w:rsidR="00783788" w:rsidTr="00F45BDB">
        <w:trPr>
          <w:jc w:val="center"/>
        </w:trPr>
        <w:tc>
          <w:tcPr>
            <w:tcW w:w="1287" w:type="dxa"/>
            <w:shd w:val="clear" w:color="auto" w:fill="auto"/>
            <w:vAlign w:val="center"/>
          </w:tcPr>
          <w:p w:rsidR="00783788" w:rsidRPr="00F45BDB" w:rsidRDefault="002C6E18" w:rsidP="00F45BDB">
            <w:pPr>
              <w:autoSpaceDE w:val="0"/>
              <w:autoSpaceDN w:val="0"/>
              <w:adjustRightInd w:val="0"/>
              <w:spacing w:before="29" w:line="288" w:lineRule="auto"/>
              <w:ind w:left="15"/>
              <w:jc w:val="center"/>
              <w:rPr>
                <w:color w:val="000000"/>
                <w:sz w:val="24"/>
                <w:szCs w:val="24"/>
              </w:rPr>
            </w:pPr>
            <w:r w:rsidRPr="00F45BDB">
              <w:rPr>
                <w:color w:val="000000"/>
                <w:sz w:val="24"/>
                <w:szCs w:val="24"/>
              </w:rPr>
              <w:t>6</w:t>
            </w:r>
          </w:p>
        </w:tc>
        <w:tc>
          <w:tcPr>
            <w:tcW w:w="2573" w:type="dxa"/>
            <w:shd w:val="clear" w:color="auto" w:fill="auto"/>
            <w:vAlign w:val="center"/>
          </w:tcPr>
          <w:p w:rsidR="00783788" w:rsidRPr="00F45BDB" w:rsidRDefault="002C6E18" w:rsidP="00F45BDB">
            <w:pPr>
              <w:autoSpaceDE w:val="0"/>
              <w:autoSpaceDN w:val="0"/>
              <w:adjustRightInd w:val="0"/>
              <w:spacing w:before="29" w:line="288" w:lineRule="auto"/>
              <w:ind w:left="15"/>
              <w:jc w:val="left"/>
              <w:rPr>
                <w:color w:val="000000"/>
                <w:sz w:val="24"/>
                <w:szCs w:val="24"/>
              </w:rPr>
            </w:pPr>
            <w:r w:rsidRPr="00F45BDB">
              <w:rPr>
                <w:color w:val="000000"/>
                <w:sz w:val="24"/>
                <w:szCs w:val="24"/>
              </w:rPr>
              <w:t>其他应收款</w:t>
            </w:r>
          </w:p>
        </w:tc>
        <w:tc>
          <w:tcPr>
            <w:tcW w:w="5008" w:type="dxa"/>
            <w:shd w:val="clear" w:color="auto" w:fill="auto"/>
            <w:vAlign w:val="center"/>
          </w:tcPr>
          <w:p w:rsidR="00783788" w:rsidRPr="00F45BDB" w:rsidRDefault="002C6E18" w:rsidP="00F45BDB">
            <w:pPr>
              <w:autoSpaceDE w:val="0"/>
              <w:autoSpaceDN w:val="0"/>
              <w:adjustRightInd w:val="0"/>
              <w:spacing w:before="29" w:line="288" w:lineRule="auto"/>
              <w:ind w:left="15"/>
              <w:jc w:val="right"/>
              <w:rPr>
                <w:color w:val="000000"/>
                <w:sz w:val="24"/>
                <w:szCs w:val="24"/>
              </w:rPr>
            </w:pPr>
            <w:r w:rsidRPr="00F45BDB">
              <w:rPr>
                <w:color w:val="000000"/>
                <w:sz w:val="24"/>
                <w:szCs w:val="24"/>
              </w:rPr>
              <w:t>-</w:t>
            </w:r>
          </w:p>
        </w:tc>
      </w:tr>
      <w:tr w:rsidR="00783788" w:rsidTr="00F45BDB">
        <w:trPr>
          <w:jc w:val="center"/>
        </w:trPr>
        <w:tc>
          <w:tcPr>
            <w:tcW w:w="1287" w:type="dxa"/>
            <w:shd w:val="clear" w:color="auto" w:fill="auto"/>
            <w:vAlign w:val="center"/>
          </w:tcPr>
          <w:p w:rsidR="00783788" w:rsidRPr="00F45BDB" w:rsidRDefault="002C6E18" w:rsidP="00F45BDB">
            <w:pPr>
              <w:autoSpaceDE w:val="0"/>
              <w:autoSpaceDN w:val="0"/>
              <w:adjustRightInd w:val="0"/>
              <w:spacing w:before="29" w:line="288" w:lineRule="auto"/>
              <w:ind w:left="15"/>
              <w:jc w:val="center"/>
              <w:rPr>
                <w:color w:val="000000"/>
                <w:sz w:val="24"/>
                <w:szCs w:val="24"/>
              </w:rPr>
            </w:pPr>
            <w:r w:rsidRPr="00F45BDB">
              <w:rPr>
                <w:color w:val="000000"/>
                <w:sz w:val="24"/>
                <w:szCs w:val="24"/>
              </w:rPr>
              <w:t>7</w:t>
            </w:r>
          </w:p>
        </w:tc>
        <w:tc>
          <w:tcPr>
            <w:tcW w:w="2573" w:type="dxa"/>
            <w:shd w:val="clear" w:color="auto" w:fill="auto"/>
            <w:vAlign w:val="center"/>
          </w:tcPr>
          <w:p w:rsidR="00783788" w:rsidRPr="00F45BDB" w:rsidRDefault="002C6E18" w:rsidP="00F45BDB">
            <w:pPr>
              <w:autoSpaceDE w:val="0"/>
              <w:autoSpaceDN w:val="0"/>
              <w:adjustRightInd w:val="0"/>
              <w:spacing w:before="29" w:line="288" w:lineRule="auto"/>
              <w:ind w:left="15"/>
              <w:jc w:val="left"/>
              <w:rPr>
                <w:color w:val="000000"/>
                <w:sz w:val="24"/>
                <w:szCs w:val="24"/>
              </w:rPr>
            </w:pPr>
            <w:r w:rsidRPr="00F45BDB">
              <w:rPr>
                <w:color w:val="000000"/>
                <w:sz w:val="24"/>
                <w:szCs w:val="24"/>
              </w:rPr>
              <w:t>待摊费用</w:t>
            </w:r>
          </w:p>
        </w:tc>
        <w:tc>
          <w:tcPr>
            <w:tcW w:w="5008" w:type="dxa"/>
            <w:shd w:val="clear" w:color="auto" w:fill="auto"/>
            <w:vAlign w:val="center"/>
          </w:tcPr>
          <w:p w:rsidR="00783788" w:rsidRPr="00F45BDB" w:rsidRDefault="002C6E18" w:rsidP="00F45BDB">
            <w:pPr>
              <w:autoSpaceDE w:val="0"/>
              <w:autoSpaceDN w:val="0"/>
              <w:adjustRightInd w:val="0"/>
              <w:spacing w:before="29" w:line="288" w:lineRule="auto"/>
              <w:ind w:left="15"/>
              <w:jc w:val="right"/>
              <w:rPr>
                <w:color w:val="000000"/>
                <w:sz w:val="24"/>
                <w:szCs w:val="24"/>
              </w:rPr>
            </w:pPr>
            <w:r w:rsidRPr="00F45BDB">
              <w:rPr>
                <w:color w:val="000000"/>
                <w:sz w:val="24"/>
                <w:szCs w:val="24"/>
              </w:rPr>
              <w:t>-</w:t>
            </w:r>
          </w:p>
        </w:tc>
      </w:tr>
      <w:tr w:rsidR="00783788" w:rsidTr="00F45BDB">
        <w:trPr>
          <w:jc w:val="center"/>
        </w:trPr>
        <w:tc>
          <w:tcPr>
            <w:tcW w:w="1287" w:type="dxa"/>
            <w:shd w:val="clear" w:color="auto" w:fill="auto"/>
            <w:vAlign w:val="center"/>
          </w:tcPr>
          <w:p w:rsidR="00783788" w:rsidRPr="00F45BDB" w:rsidRDefault="002C6E18" w:rsidP="00F45BDB">
            <w:pPr>
              <w:autoSpaceDE w:val="0"/>
              <w:autoSpaceDN w:val="0"/>
              <w:adjustRightInd w:val="0"/>
              <w:spacing w:before="29" w:line="288" w:lineRule="auto"/>
              <w:ind w:left="15"/>
              <w:jc w:val="center"/>
              <w:rPr>
                <w:color w:val="000000"/>
                <w:sz w:val="24"/>
                <w:szCs w:val="24"/>
              </w:rPr>
            </w:pPr>
            <w:r w:rsidRPr="00F45BDB">
              <w:rPr>
                <w:color w:val="000000"/>
                <w:sz w:val="24"/>
                <w:szCs w:val="24"/>
              </w:rPr>
              <w:t>8</w:t>
            </w:r>
          </w:p>
        </w:tc>
        <w:tc>
          <w:tcPr>
            <w:tcW w:w="2573" w:type="dxa"/>
            <w:shd w:val="clear" w:color="auto" w:fill="auto"/>
            <w:vAlign w:val="center"/>
          </w:tcPr>
          <w:p w:rsidR="00783788" w:rsidRPr="00F45BDB" w:rsidRDefault="002C6E18" w:rsidP="00F45BDB">
            <w:pPr>
              <w:autoSpaceDE w:val="0"/>
              <w:autoSpaceDN w:val="0"/>
              <w:adjustRightInd w:val="0"/>
              <w:spacing w:before="29" w:line="288" w:lineRule="auto"/>
              <w:ind w:left="15"/>
              <w:jc w:val="left"/>
              <w:rPr>
                <w:color w:val="000000"/>
                <w:sz w:val="24"/>
                <w:szCs w:val="24"/>
              </w:rPr>
            </w:pPr>
            <w:r w:rsidRPr="00F45BDB">
              <w:rPr>
                <w:color w:val="000000"/>
                <w:sz w:val="24"/>
                <w:szCs w:val="24"/>
              </w:rPr>
              <w:t>其他</w:t>
            </w:r>
          </w:p>
        </w:tc>
        <w:tc>
          <w:tcPr>
            <w:tcW w:w="5008" w:type="dxa"/>
            <w:shd w:val="clear" w:color="auto" w:fill="auto"/>
            <w:vAlign w:val="center"/>
          </w:tcPr>
          <w:p w:rsidR="00783788" w:rsidRPr="00F45BDB" w:rsidRDefault="002C6E18" w:rsidP="00F45BDB">
            <w:pPr>
              <w:autoSpaceDE w:val="0"/>
              <w:autoSpaceDN w:val="0"/>
              <w:adjustRightInd w:val="0"/>
              <w:spacing w:before="29" w:line="288" w:lineRule="auto"/>
              <w:ind w:left="15"/>
              <w:jc w:val="right"/>
              <w:rPr>
                <w:color w:val="000000"/>
                <w:sz w:val="24"/>
                <w:szCs w:val="24"/>
              </w:rPr>
            </w:pPr>
            <w:r w:rsidRPr="00F45BDB">
              <w:rPr>
                <w:color w:val="000000"/>
                <w:sz w:val="24"/>
                <w:szCs w:val="24"/>
              </w:rPr>
              <w:t>-</w:t>
            </w:r>
          </w:p>
        </w:tc>
      </w:tr>
      <w:tr w:rsidR="00783788" w:rsidTr="00F45BDB">
        <w:trPr>
          <w:jc w:val="center"/>
        </w:trPr>
        <w:tc>
          <w:tcPr>
            <w:tcW w:w="1287" w:type="dxa"/>
            <w:shd w:val="clear" w:color="auto" w:fill="auto"/>
            <w:vAlign w:val="center"/>
          </w:tcPr>
          <w:p w:rsidR="00783788" w:rsidRPr="00F45BDB" w:rsidRDefault="002C6E18" w:rsidP="00F45BDB">
            <w:pPr>
              <w:autoSpaceDE w:val="0"/>
              <w:autoSpaceDN w:val="0"/>
              <w:adjustRightInd w:val="0"/>
              <w:spacing w:before="29" w:line="288" w:lineRule="auto"/>
              <w:ind w:left="15"/>
              <w:jc w:val="center"/>
              <w:rPr>
                <w:color w:val="000000"/>
                <w:sz w:val="24"/>
                <w:szCs w:val="24"/>
              </w:rPr>
            </w:pPr>
            <w:r w:rsidRPr="00F45BDB">
              <w:rPr>
                <w:color w:val="000000"/>
                <w:sz w:val="24"/>
                <w:szCs w:val="24"/>
              </w:rPr>
              <w:t>9</w:t>
            </w:r>
          </w:p>
        </w:tc>
        <w:tc>
          <w:tcPr>
            <w:tcW w:w="2573" w:type="dxa"/>
            <w:shd w:val="clear" w:color="auto" w:fill="auto"/>
            <w:vAlign w:val="center"/>
          </w:tcPr>
          <w:p w:rsidR="00783788" w:rsidRPr="00F45BDB" w:rsidRDefault="002C6E18" w:rsidP="00F45BDB">
            <w:pPr>
              <w:autoSpaceDE w:val="0"/>
              <w:autoSpaceDN w:val="0"/>
              <w:adjustRightInd w:val="0"/>
              <w:spacing w:before="29" w:line="288" w:lineRule="auto"/>
              <w:ind w:left="15"/>
              <w:jc w:val="left"/>
              <w:rPr>
                <w:color w:val="000000"/>
                <w:sz w:val="24"/>
                <w:szCs w:val="24"/>
              </w:rPr>
            </w:pPr>
            <w:r w:rsidRPr="00F45BDB">
              <w:rPr>
                <w:color w:val="000000"/>
                <w:sz w:val="24"/>
                <w:szCs w:val="24"/>
              </w:rPr>
              <w:t>合计</w:t>
            </w:r>
          </w:p>
        </w:tc>
        <w:tc>
          <w:tcPr>
            <w:tcW w:w="5008" w:type="dxa"/>
            <w:shd w:val="clear" w:color="auto" w:fill="auto"/>
            <w:vAlign w:val="center"/>
          </w:tcPr>
          <w:p w:rsidR="00783788" w:rsidRPr="00F45BDB" w:rsidRDefault="002C6E18" w:rsidP="00F45BDB">
            <w:pPr>
              <w:autoSpaceDE w:val="0"/>
              <w:autoSpaceDN w:val="0"/>
              <w:adjustRightInd w:val="0"/>
              <w:spacing w:before="29" w:line="288" w:lineRule="auto"/>
              <w:ind w:left="15"/>
              <w:jc w:val="right"/>
              <w:rPr>
                <w:color w:val="000000"/>
                <w:sz w:val="24"/>
                <w:szCs w:val="24"/>
              </w:rPr>
            </w:pPr>
            <w:r w:rsidRPr="00F45BDB">
              <w:rPr>
                <w:color w:val="000000"/>
                <w:sz w:val="24"/>
                <w:szCs w:val="24"/>
              </w:rPr>
              <w:t>6,919,143.81</w:t>
            </w:r>
          </w:p>
        </w:tc>
      </w:tr>
    </w:tbl>
    <w:p w:rsidR="00783788" w:rsidRDefault="00783788">
      <w:pPr>
        <w:spacing w:line="360" w:lineRule="auto"/>
        <w:ind w:firstLineChars="200" w:firstLine="480"/>
        <w:rPr>
          <w:sz w:val="24"/>
        </w:rPr>
      </w:pPr>
    </w:p>
    <w:p w:rsidR="00783788" w:rsidRDefault="002C6E18">
      <w:pPr>
        <w:spacing w:line="360" w:lineRule="auto"/>
        <w:ind w:firstLineChars="200" w:firstLine="480"/>
        <w:rPr>
          <w:sz w:val="24"/>
        </w:rPr>
      </w:pPr>
      <w:r>
        <w:rPr>
          <w:sz w:val="24"/>
        </w:rPr>
        <w:t>1</w:t>
      </w:r>
      <w:r>
        <w:rPr>
          <w:rFonts w:hint="eastAsia"/>
          <w:sz w:val="24"/>
        </w:rPr>
        <w:t>1</w:t>
      </w:r>
      <w:r>
        <w:rPr>
          <w:sz w:val="24"/>
        </w:rPr>
        <w:t xml:space="preserve">.4 </w:t>
      </w:r>
      <w:r>
        <w:rPr>
          <w:sz w:val="24"/>
        </w:rPr>
        <w:t>报告期末持有的处于转股期的可转换债券明细</w:t>
      </w:r>
    </w:p>
    <w:tbl>
      <w:tblPr>
        <w:tblW w:w="8748" w:type="dxa"/>
        <w:tblInd w:w="108" w:type="dxa"/>
        <w:tblLayout w:type="fixed"/>
        <w:tblLook w:val="04A0" w:firstRow="1" w:lastRow="0" w:firstColumn="1" w:lastColumn="0" w:noHBand="0" w:noVBand="1"/>
      </w:tblPr>
      <w:tblGrid>
        <w:gridCol w:w="1432"/>
        <w:gridCol w:w="1491"/>
        <w:gridCol w:w="1514"/>
        <w:gridCol w:w="2649"/>
        <w:gridCol w:w="1662"/>
      </w:tblGrid>
      <w:tr w:rsidR="00783788">
        <w:tc>
          <w:tcPr>
            <w:tcW w:w="1432" w:type="dxa"/>
            <w:tcBorders>
              <w:top w:val="single" w:sz="8" w:space="0" w:color="000000"/>
              <w:left w:val="single" w:sz="8" w:space="0" w:color="000000"/>
              <w:bottom w:val="single" w:sz="8" w:space="0" w:color="000000"/>
              <w:right w:val="single" w:sz="8" w:space="0" w:color="000000"/>
            </w:tcBorders>
          </w:tcPr>
          <w:p w:rsidR="00783788" w:rsidRDefault="002C6E18">
            <w:pPr>
              <w:spacing w:before="29" w:line="288" w:lineRule="auto"/>
              <w:ind w:left="17"/>
              <w:jc w:val="center"/>
              <w:rPr>
                <w:color w:val="000000"/>
                <w:sz w:val="24"/>
              </w:rPr>
            </w:pPr>
            <w:r>
              <w:rPr>
                <w:color w:val="000000"/>
                <w:sz w:val="24"/>
              </w:rPr>
              <w:t>序号</w:t>
            </w:r>
          </w:p>
        </w:tc>
        <w:tc>
          <w:tcPr>
            <w:tcW w:w="1491" w:type="dxa"/>
            <w:tcBorders>
              <w:top w:val="single" w:sz="8" w:space="0" w:color="000000"/>
              <w:left w:val="single" w:sz="8" w:space="0" w:color="000000"/>
              <w:bottom w:val="single" w:sz="8" w:space="0" w:color="000000"/>
              <w:right w:val="single" w:sz="8" w:space="0" w:color="000000"/>
            </w:tcBorders>
          </w:tcPr>
          <w:p w:rsidR="00783788" w:rsidRDefault="002C6E18">
            <w:pPr>
              <w:spacing w:before="29" w:line="288" w:lineRule="auto"/>
              <w:ind w:left="17"/>
              <w:jc w:val="center"/>
              <w:rPr>
                <w:color w:val="000000"/>
                <w:sz w:val="24"/>
                <w:szCs w:val="24"/>
              </w:rPr>
            </w:pPr>
            <w:r>
              <w:rPr>
                <w:color w:val="000000"/>
                <w:sz w:val="24"/>
                <w:szCs w:val="24"/>
              </w:rPr>
              <w:t>债券代码</w:t>
            </w:r>
          </w:p>
        </w:tc>
        <w:tc>
          <w:tcPr>
            <w:tcW w:w="1514" w:type="dxa"/>
            <w:tcBorders>
              <w:top w:val="single" w:sz="8" w:space="0" w:color="000000"/>
              <w:left w:val="single" w:sz="8" w:space="0" w:color="000000"/>
              <w:bottom w:val="single" w:sz="8" w:space="0" w:color="000000"/>
              <w:right w:val="single" w:sz="8" w:space="0" w:color="000000"/>
            </w:tcBorders>
          </w:tcPr>
          <w:p w:rsidR="00783788" w:rsidRDefault="002C6E18">
            <w:pPr>
              <w:spacing w:before="29" w:line="288" w:lineRule="auto"/>
              <w:ind w:left="17"/>
              <w:jc w:val="center"/>
              <w:rPr>
                <w:color w:val="000000"/>
                <w:sz w:val="24"/>
                <w:szCs w:val="24"/>
              </w:rPr>
            </w:pPr>
            <w:r>
              <w:rPr>
                <w:color w:val="000000"/>
                <w:sz w:val="24"/>
                <w:szCs w:val="24"/>
              </w:rPr>
              <w:t>债券名称</w:t>
            </w:r>
          </w:p>
        </w:tc>
        <w:tc>
          <w:tcPr>
            <w:tcW w:w="2649" w:type="dxa"/>
            <w:tcBorders>
              <w:top w:val="single" w:sz="8" w:space="0" w:color="000000"/>
              <w:left w:val="single" w:sz="8" w:space="0" w:color="000000"/>
              <w:bottom w:val="single" w:sz="8" w:space="0" w:color="000000"/>
              <w:right w:val="single" w:sz="8" w:space="0" w:color="000000"/>
            </w:tcBorders>
          </w:tcPr>
          <w:p w:rsidR="00783788" w:rsidRDefault="002C6E18">
            <w:pPr>
              <w:spacing w:before="29" w:line="288" w:lineRule="auto"/>
              <w:ind w:left="17"/>
              <w:jc w:val="center"/>
              <w:rPr>
                <w:color w:val="000000"/>
                <w:sz w:val="24"/>
                <w:szCs w:val="24"/>
              </w:rPr>
            </w:pPr>
            <w:r>
              <w:rPr>
                <w:color w:val="000000"/>
                <w:sz w:val="24"/>
                <w:szCs w:val="24"/>
              </w:rPr>
              <w:t>公允价值</w:t>
            </w:r>
            <w:r>
              <w:rPr>
                <w:color w:val="000000"/>
                <w:sz w:val="24"/>
                <w:szCs w:val="24"/>
              </w:rPr>
              <w:t>(</w:t>
            </w:r>
            <w:r>
              <w:rPr>
                <w:color w:val="000000"/>
                <w:sz w:val="24"/>
                <w:szCs w:val="24"/>
              </w:rPr>
              <w:t>元</w:t>
            </w:r>
            <w:r>
              <w:rPr>
                <w:color w:val="000000"/>
                <w:sz w:val="24"/>
                <w:szCs w:val="24"/>
              </w:rPr>
              <w:t>)</w:t>
            </w:r>
          </w:p>
        </w:tc>
        <w:tc>
          <w:tcPr>
            <w:tcW w:w="1662" w:type="dxa"/>
            <w:tcBorders>
              <w:top w:val="single" w:sz="8" w:space="0" w:color="000000"/>
              <w:left w:val="single" w:sz="8" w:space="0" w:color="000000"/>
              <w:bottom w:val="single" w:sz="8" w:space="0" w:color="000000"/>
              <w:right w:val="single" w:sz="8" w:space="0" w:color="000000"/>
            </w:tcBorders>
          </w:tcPr>
          <w:p w:rsidR="00783788" w:rsidRDefault="002C6E18">
            <w:pPr>
              <w:spacing w:before="29" w:line="288" w:lineRule="auto"/>
              <w:ind w:left="17"/>
              <w:jc w:val="center"/>
              <w:rPr>
                <w:color w:val="000000"/>
                <w:sz w:val="24"/>
                <w:szCs w:val="24"/>
              </w:rPr>
            </w:pPr>
            <w:r>
              <w:rPr>
                <w:color w:val="000000"/>
                <w:sz w:val="24"/>
                <w:szCs w:val="24"/>
              </w:rPr>
              <w:t>占基金资产净值比例</w:t>
            </w:r>
            <w:r>
              <w:rPr>
                <w:color w:val="000000"/>
                <w:sz w:val="24"/>
                <w:szCs w:val="24"/>
              </w:rPr>
              <w:t>(</w:t>
            </w:r>
            <w:r>
              <w:rPr>
                <w:color w:val="000000"/>
                <w:sz w:val="24"/>
                <w:szCs w:val="24"/>
              </w:rPr>
              <w:t>％</w:t>
            </w:r>
            <w:r>
              <w:rPr>
                <w:color w:val="000000"/>
                <w:sz w:val="24"/>
                <w:szCs w:val="24"/>
              </w:rPr>
              <w:t>)</w:t>
            </w:r>
          </w:p>
        </w:tc>
      </w:tr>
      <w:tr w:rsidR="00783788">
        <w:tc>
          <w:tcPr>
            <w:tcW w:w="1432" w:type="dxa"/>
            <w:tcBorders>
              <w:top w:val="single" w:sz="8" w:space="0" w:color="000000"/>
              <w:left w:val="single" w:sz="8" w:space="0" w:color="000000"/>
              <w:bottom w:val="single" w:sz="8" w:space="0" w:color="000000"/>
              <w:right w:val="single" w:sz="8" w:space="0" w:color="000000"/>
            </w:tcBorders>
          </w:tcPr>
          <w:p w:rsidR="00783788" w:rsidRDefault="002C6E18">
            <w:pPr>
              <w:spacing w:before="29" w:line="288" w:lineRule="auto"/>
              <w:ind w:left="17"/>
              <w:jc w:val="center"/>
              <w:rPr>
                <w:color w:val="000000"/>
                <w:sz w:val="24"/>
              </w:rPr>
            </w:pPr>
            <w:r>
              <w:rPr>
                <w:color w:val="000000"/>
                <w:sz w:val="24"/>
              </w:rPr>
              <w:t>1</w:t>
            </w:r>
          </w:p>
        </w:tc>
        <w:tc>
          <w:tcPr>
            <w:tcW w:w="1491" w:type="dxa"/>
            <w:tcBorders>
              <w:top w:val="single" w:sz="8" w:space="0" w:color="000000"/>
              <w:left w:val="single" w:sz="8" w:space="0" w:color="000000"/>
              <w:bottom w:val="single" w:sz="8" w:space="0" w:color="000000"/>
              <w:right w:val="single" w:sz="8" w:space="0" w:color="000000"/>
            </w:tcBorders>
          </w:tcPr>
          <w:p w:rsidR="00783788" w:rsidRDefault="002C6E18">
            <w:pPr>
              <w:spacing w:before="29" w:line="288" w:lineRule="auto"/>
              <w:ind w:left="17"/>
              <w:jc w:val="center"/>
              <w:rPr>
                <w:color w:val="000000"/>
                <w:sz w:val="24"/>
                <w:szCs w:val="24"/>
              </w:rPr>
            </w:pPr>
            <w:r>
              <w:rPr>
                <w:color w:val="000000"/>
                <w:sz w:val="24"/>
                <w:szCs w:val="24"/>
              </w:rPr>
              <w:t>110020</w:t>
            </w:r>
          </w:p>
        </w:tc>
        <w:tc>
          <w:tcPr>
            <w:tcW w:w="1514" w:type="dxa"/>
            <w:tcBorders>
              <w:top w:val="single" w:sz="8" w:space="0" w:color="000000"/>
              <w:left w:val="single" w:sz="8" w:space="0" w:color="000000"/>
              <w:bottom w:val="single" w:sz="8" w:space="0" w:color="000000"/>
              <w:right w:val="single" w:sz="8" w:space="0" w:color="000000"/>
            </w:tcBorders>
          </w:tcPr>
          <w:p w:rsidR="00783788" w:rsidRDefault="002C6E18">
            <w:pPr>
              <w:spacing w:before="29" w:line="288" w:lineRule="auto"/>
              <w:ind w:left="17"/>
              <w:jc w:val="center"/>
              <w:rPr>
                <w:color w:val="000000"/>
                <w:sz w:val="24"/>
                <w:szCs w:val="24"/>
              </w:rPr>
            </w:pPr>
            <w:r>
              <w:rPr>
                <w:color w:val="000000"/>
                <w:sz w:val="24"/>
                <w:szCs w:val="24"/>
              </w:rPr>
              <w:t>南山转债</w:t>
            </w:r>
          </w:p>
        </w:tc>
        <w:tc>
          <w:tcPr>
            <w:tcW w:w="2649" w:type="dxa"/>
            <w:tcBorders>
              <w:top w:val="single" w:sz="8" w:space="0" w:color="000000"/>
              <w:left w:val="single" w:sz="8" w:space="0" w:color="000000"/>
              <w:bottom w:val="single" w:sz="8" w:space="0" w:color="000000"/>
              <w:right w:val="single" w:sz="8" w:space="0" w:color="000000"/>
            </w:tcBorders>
          </w:tcPr>
          <w:p w:rsidR="00783788" w:rsidRDefault="002C6E18">
            <w:pPr>
              <w:spacing w:before="29" w:line="288" w:lineRule="auto"/>
              <w:ind w:left="17"/>
              <w:jc w:val="right"/>
              <w:rPr>
                <w:color w:val="000000"/>
                <w:sz w:val="24"/>
                <w:szCs w:val="24"/>
              </w:rPr>
            </w:pPr>
            <w:r>
              <w:rPr>
                <w:color w:val="000000"/>
                <w:sz w:val="24"/>
                <w:szCs w:val="24"/>
              </w:rPr>
              <w:t>16,055,150.00</w:t>
            </w:r>
          </w:p>
        </w:tc>
        <w:tc>
          <w:tcPr>
            <w:tcW w:w="1662" w:type="dxa"/>
            <w:tcBorders>
              <w:top w:val="single" w:sz="8" w:space="0" w:color="000000"/>
              <w:left w:val="single" w:sz="8" w:space="0" w:color="000000"/>
              <w:bottom w:val="single" w:sz="8" w:space="0" w:color="000000"/>
              <w:right w:val="single" w:sz="8" w:space="0" w:color="000000"/>
            </w:tcBorders>
          </w:tcPr>
          <w:p w:rsidR="00783788" w:rsidRDefault="002C6E18">
            <w:pPr>
              <w:spacing w:before="29" w:line="288" w:lineRule="auto"/>
              <w:ind w:left="17"/>
              <w:jc w:val="right"/>
              <w:rPr>
                <w:color w:val="000000"/>
                <w:sz w:val="24"/>
                <w:szCs w:val="24"/>
              </w:rPr>
            </w:pPr>
            <w:r>
              <w:rPr>
                <w:color w:val="000000"/>
                <w:sz w:val="24"/>
                <w:szCs w:val="24"/>
              </w:rPr>
              <w:t>7.15</w:t>
            </w:r>
          </w:p>
        </w:tc>
      </w:tr>
      <w:tr w:rsidR="00783788">
        <w:tc>
          <w:tcPr>
            <w:tcW w:w="1432" w:type="dxa"/>
            <w:tcBorders>
              <w:top w:val="single" w:sz="8" w:space="0" w:color="000000"/>
              <w:left w:val="single" w:sz="8" w:space="0" w:color="000000"/>
              <w:bottom w:val="single" w:sz="8" w:space="0" w:color="000000"/>
              <w:right w:val="single" w:sz="8" w:space="0" w:color="000000"/>
            </w:tcBorders>
          </w:tcPr>
          <w:p w:rsidR="00783788" w:rsidRDefault="002C6E18">
            <w:pPr>
              <w:spacing w:before="29" w:line="288" w:lineRule="auto"/>
              <w:ind w:left="17"/>
              <w:jc w:val="center"/>
              <w:rPr>
                <w:color w:val="000000"/>
                <w:sz w:val="24"/>
              </w:rPr>
            </w:pPr>
            <w:r>
              <w:rPr>
                <w:color w:val="000000"/>
                <w:sz w:val="24"/>
              </w:rPr>
              <w:t>2</w:t>
            </w:r>
          </w:p>
        </w:tc>
        <w:tc>
          <w:tcPr>
            <w:tcW w:w="1491" w:type="dxa"/>
            <w:tcBorders>
              <w:top w:val="single" w:sz="8" w:space="0" w:color="000000"/>
              <w:left w:val="single" w:sz="8" w:space="0" w:color="000000"/>
              <w:bottom w:val="single" w:sz="8" w:space="0" w:color="000000"/>
              <w:right w:val="single" w:sz="8" w:space="0" w:color="000000"/>
            </w:tcBorders>
          </w:tcPr>
          <w:p w:rsidR="00783788" w:rsidRDefault="002C6E18">
            <w:pPr>
              <w:spacing w:before="29" w:line="288" w:lineRule="auto"/>
              <w:ind w:left="17"/>
              <w:jc w:val="center"/>
              <w:rPr>
                <w:color w:val="000000"/>
                <w:sz w:val="24"/>
                <w:szCs w:val="24"/>
              </w:rPr>
            </w:pPr>
            <w:r>
              <w:rPr>
                <w:color w:val="000000"/>
                <w:sz w:val="24"/>
                <w:szCs w:val="24"/>
              </w:rPr>
              <w:t>113001</w:t>
            </w:r>
          </w:p>
        </w:tc>
        <w:tc>
          <w:tcPr>
            <w:tcW w:w="1514" w:type="dxa"/>
            <w:tcBorders>
              <w:top w:val="single" w:sz="8" w:space="0" w:color="000000"/>
              <w:left w:val="single" w:sz="8" w:space="0" w:color="000000"/>
              <w:bottom w:val="single" w:sz="8" w:space="0" w:color="000000"/>
              <w:right w:val="single" w:sz="8" w:space="0" w:color="000000"/>
            </w:tcBorders>
          </w:tcPr>
          <w:p w:rsidR="00783788" w:rsidRDefault="002C6E18">
            <w:pPr>
              <w:spacing w:before="29" w:line="288" w:lineRule="auto"/>
              <w:ind w:left="17"/>
              <w:jc w:val="center"/>
              <w:rPr>
                <w:color w:val="000000"/>
                <w:sz w:val="24"/>
                <w:szCs w:val="24"/>
              </w:rPr>
            </w:pPr>
            <w:r>
              <w:rPr>
                <w:color w:val="000000"/>
                <w:sz w:val="24"/>
                <w:szCs w:val="24"/>
              </w:rPr>
              <w:t>中行转债</w:t>
            </w:r>
          </w:p>
        </w:tc>
        <w:tc>
          <w:tcPr>
            <w:tcW w:w="2649" w:type="dxa"/>
            <w:tcBorders>
              <w:top w:val="single" w:sz="8" w:space="0" w:color="000000"/>
              <w:left w:val="single" w:sz="8" w:space="0" w:color="000000"/>
              <w:bottom w:val="single" w:sz="8" w:space="0" w:color="000000"/>
              <w:right w:val="single" w:sz="8" w:space="0" w:color="000000"/>
            </w:tcBorders>
          </w:tcPr>
          <w:p w:rsidR="00783788" w:rsidRDefault="002C6E18">
            <w:pPr>
              <w:spacing w:before="29" w:line="288" w:lineRule="auto"/>
              <w:ind w:left="17"/>
              <w:jc w:val="right"/>
              <w:rPr>
                <w:color w:val="000000"/>
                <w:sz w:val="24"/>
                <w:szCs w:val="24"/>
              </w:rPr>
            </w:pPr>
            <w:r>
              <w:rPr>
                <w:color w:val="000000"/>
                <w:sz w:val="24"/>
                <w:szCs w:val="24"/>
              </w:rPr>
              <w:t>11,263,518.70</w:t>
            </w:r>
          </w:p>
        </w:tc>
        <w:tc>
          <w:tcPr>
            <w:tcW w:w="1662" w:type="dxa"/>
            <w:tcBorders>
              <w:top w:val="single" w:sz="8" w:space="0" w:color="000000"/>
              <w:left w:val="single" w:sz="8" w:space="0" w:color="000000"/>
              <w:bottom w:val="single" w:sz="8" w:space="0" w:color="000000"/>
              <w:right w:val="single" w:sz="8" w:space="0" w:color="000000"/>
            </w:tcBorders>
          </w:tcPr>
          <w:p w:rsidR="00783788" w:rsidRDefault="002C6E18">
            <w:pPr>
              <w:spacing w:before="29" w:line="288" w:lineRule="auto"/>
              <w:ind w:left="17"/>
              <w:jc w:val="right"/>
              <w:rPr>
                <w:color w:val="000000"/>
                <w:sz w:val="24"/>
                <w:szCs w:val="24"/>
              </w:rPr>
            </w:pPr>
            <w:r>
              <w:rPr>
                <w:color w:val="000000"/>
                <w:sz w:val="24"/>
                <w:szCs w:val="24"/>
              </w:rPr>
              <w:t>5.01</w:t>
            </w:r>
          </w:p>
        </w:tc>
      </w:tr>
      <w:tr w:rsidR="00783788">
        <w:tc>
          <w:tcPr>
            <w:tcW w:w="1432" w:type="dxa"/>
            <w:tcBorders>
              <w:top w:val="single" w:sz="8" w:space="0" w:color="000000"/>
              <w:left w:val="single" w:sz="8" w:space="0" w:color="000000"/>
              <w:bottom w:val="single" w:sz="8" w:space="0" w:color="000000"/>
              <w:right w:val="single" w:sz="8" w:space="0" w:color="000000"/>
            </w:tcBorders>
          </w:tcPr>
          <w:p w:rsidR="00783788" w:rsidRDefault="002C6E18">
            <w:pPr>
              <w:spacing w:before="29" w:line="288" w:lineRule="auto"/>
              <w:ind w:left="17"/>
              <w:jc w:val="center"/>
              <w:rPr>
                <w:color w:val="000000"/>
                <w:sz w:val="24"/>
              </w:rPr>
            </w:pPr>
            <w:r>
              <w:rPr>
                <w:color w:val="000000"/>
                <w:sz w:val="24"/>
              </w:rPr>
              <w:t>3</w:t>
            </w:r>
          </w:p>
        </w:tc>
        <w:tc>
          <w:tcPr>
            <w:tcW w:w="1491" w:type="dxa"/>
            <w:tcBorders>
              <w:top w:val="single" w:sz="8" w:space="0" w:color="000000"/>
              <w:left w:val="single" w:sz="8" w:space="0" w:color="000000"/>
              <w:bottom w:val="single" w:sz="8" w:space="0" w:color="000000"/>
              <w:right w:val="single" w:sz="8" w:space="0" w:color="000000"/>
            </w:tcBorders>
          </w:tcPr>
          <w:p w:rsidR="00783788" w:rsidRDefault="002C6E18">
            <w:pPr>
              <w:spacing w:before="29" w:line="288" w:lineRule="auto"/>
              <w:ind w:left="17"/>
              <w:jc w:val="center"/>
              <w:rPr>
                <w:color w:val="000000"/>
                <w:sz w:val="24"/>
                <w:szCs w:val="24"/>
              </w:rPr>
            </w:pPr>
            <w:r>
              <w:rPr>
                <w:color w:val="000000"/>
                <w:sz w:val="24"/>
                <w:szCs w:val="24"/>
              </w:rPr>
              <w:t>110023</w:t>
            </w:r>
          </w:p>
        </w:tc>
        <w:tc>
          <w:tcPr>
            <w:tcW w:w="1514" w:type="dxa"/>
            <w:tcBorders>
              <w:top w:val="single" w:sz="8" w:space="0" w:color="000000"/>
              <w:left w:val="single" w:sz="8" w:space="0" w:color="000000"/>
              <w:bottom w:val="single" w:sz="8" w:space="0" w:color="000000"/>
              <w:right w:val="single" w:sz="8" w:space="0" w:color="000000"/>
            </w:tcBorders>
          </w:tcPr>
          <w:p w:rsidR="00783788" w:rsidRDefault="002C6E18">
            <w:pPr>
              <w:spacing w:before="29" w:line="288" w:lineRule="auto"/>
              <w:ind w:left="17"/>
              <w:jc w:val="center"/>
              <w:rPr>
                <w:color w:val="000000"/>
                <w:sz w:val="24"/>
                <w:szCs w:val="24"/>
              </w:rPr>
            </w:pPr>
            <w:r>
              <w:rPr>
                <w:color w:val="000000"/>
                <w:sz w:val="24"/>
                <w:szCs w:val="24"/>
              </w:rPr>
              <w:t>民生转债</w:t>
            </w:r>
          </w:p>
        </w:tc>
        <w:tc>
          <w:tcPr>
            <w:tcW w:w="2649" w:type="dxa"/>
            <w:tcBorders>
              <w:top w:val="single" w:sz="8" w:space="0" w:color="000000"/>
              <w:left w:val="single" w:sz="8" w:space="0" w:color="000000"/>
              <w:bottom w:val="single" w:sz="8" w:space="0" w:color="000000"/>
              <w:right w:val="single" w:sz="8" w:space="0" w:color="000000"/>
            </w:tcBorders>
          </w:tcPr>
          <w:p w:rsidR="00783788" w:rsidRDefault="002C6E18">
            <w:pPr>
              <w:spacing w:before="29" w:line="288" w:lineRule="auto"/>
              <w:ind w:left="17"/>
              <w:jc w:val="right"/>
              <w:rPr>
                <w:color w:val="000000"/>
                <w:sz w:val="24"/>
                <w:szCs w:val="24"/>
              </w:rPr>
            </w:pPr>
            <w:r>
              <w:rPr>
                <w:color w:val="000000"/>
                <w:sz w:val="24"/>
                <w:szCs w:val="24"/>
              </w:rPr>
              <w:t>5,377,320.30</w:t>
            </w:r>
          </w:p>
        </w:tc>
        <w:tc>
          <w:tcPr>
            <w:tcW w:w="1662" w:type="dxa"/>
            <w:tcBorders>
              <w:top w:val="single" w:sz="8" w:space="0" w:color="000000"/>
              <w:left w:val="single" w:sz="8" w:space="0" w:color="000000"/>
              <w:bottom w:val="single" w:sz="8" w:space="0" w:color="000000"/>
              <w:right w:val="single" w:sz="8" w:space="0" w:color="000000"/>
            </w:tcBorders>
          </w:tcPr>
          <w:p w:rsidR="00783788" w:rsidRDefault="002C6E18">
            <w:pPr>
              <w:spacing w:before="29" w:line="288" w:lineRule="auto"/>
              <w:ind w:left="17"/>
              <w:jc w:val="right"/>
              <w:rPr>
                <w:color w:val="000000"/>
                <w:sz w:val="24"/>
                <w:szCs w:val="24"/>
              </w:rPr>
            </w:pPr>
            <w:r>
              <w:rPr>
                <w:color w:val="000000"/>
                <w:sz w:val="24"/>
                <w:szCs w:val="24"/>
              </w:rPr>
              <w:t>2.39</w:t>
            </w:r>
          </w:p>
        </w:tc>
      </w:tr>
    </w:tbl>
    <w:p w:rsidR="00783788" w:rsidRDefault="00783788">
      <w:pPr>
        <w:spacing w:line="360" w:lineRule="auto"/>
        <w:ind w:firstLineChars="200" w:firstLine="480"/>
        <w:rPr>
          <w:color w:val="000000"/>
          <w:sz w:val="24"/>
        </w:rPr>
      </w:pPr>
    </w:p>
    <w:p w:rsidR="00783788" w:rsidRDefault="002C6E18">
      <w:pPr>
        <w:spacing w:line="360" w:lineRule="auto"/>
        <w:ind w:firstLineChars="200" w:firstLine="480"/>
        <w:rPr>
          <w:sz w:val="24"/>
        </w:rPr>
      </w:pPr>
      <w:r>
        <w:rPr>
          <w:sz w:val="24"/>
        </w:rPr>
        <w:t>1</w:t>
      </w:r>
      <w:r>
        <w:rPr>
          <w:rFonts w:hint="eastAsia"/>
          <w:sz w:val="24"/>
        </w:rPr>
        <w:t>1</w:t>
      </w:r>
      <w:r>
        <w:rPr>
          <w:sz w:val="24"/>
        </w:rPr>
        <w:t xml:space="preserve">.5 </w:t>
      </w:r>
      <w:r>
        <w:rPr>
          <w:sz w:val="24"/>
        </w:rPr>
        <w:t>报告期末前十名股票中存在流通受限情况的说明</w:t>
      </w:r>
    </w:p>
    <w:p w:rsidR="00783788" w:rsidRDefault="002C6E18">
      <w:pPr>
        <w:spacing w:line="360" w:lineRule="auto"/>
        <w:ind w:firstLineChars="200" w:firstLine="480"/>
        <w:rPr>
          <w:bCs/>
          <w:color w:val="000000"/>
          <w:sz w:val="24"/>
        </w:rPr>
      </w:pPr>
      <w:r>
        <w:rPr>
          <w:rFonts w:hint="eastAsia"/>
          <w:bCs/>
          <w:color w:val="000000"/>
          <w:sz w:val="24"/>
        </w:rPr>
        <w:t>本基金本报告期末前十名股票中不存在流通受限的情况。</w:t>
      </w:r>
    </w:p>
    <w:p w:rsidR="00783788" w:rsidRDefault="00783788">
      <w:pPr>
        <w:spacing w:line="360" w:lineRule="auto"/>
        <w:ind w:firstLineChars="200" w:firstLine="480"/>
        <w:rPr>
          <w:bCs/>
          <w:color w:val="000000"/>
          <w:sz w:val="24"/>
        </w:rPr>
      </w:pPr>
    </w:p>
    <w:p w:rsidR="00783788" w:rsidRDefault="002C6E18">
      <w:pPr>
        <w:spacing w:line="360" w:lineRule="auto"/>
        <w:ind w:firstLineChars="200" w:firstLine="480"/>
        <w:rPr>
          <w:sz w:val="24"/>
        </w:rPr>
      </w:pPr>
      <w:r>
        <w:rPr>
          <w:rFonts w:hint="eastAsia"/>
          <w:sz w:val="24"/>
        </w:rPr>
        <w:t xml:space="preserve">11.6 </w:t>
      </w:r>
      <w:r>
        <w:rPr>
          <w:rFonts w:hint="eastAsia"/>
          <w:sz w:val="24"/>
        </w:rPr>
        <w:t>投资组合报告附注的其他文字描述部分</w:t>
      </w:r>
    </w:p>
    <w:p w:rsidR="00783788" w:rsidRDefault="002C6E18">
      <w:pPr>
        <w:spacing w:line="360" w:lineRule="auto"/>
        <w:ind w:firstLineChars="200" w:firstLine="480"/>
        <w:rPr>
          <w:bCs/>
          <w:color w:val="000000"/>
          <w:sz w:val="24"/>
        </w:rPr>
      </w:pPr>
      <w:r>
        <w:rPr>
          <w:rFonts w:hint="eastAsia"/>
          <w:bCs/>
          <w:color w:val="000000"/>
          <w:sz w:val="24"/>
        </w:rPr>
        <w:t>由于四舍五入的原因，分项之和与合计项之间可能存在尾差。</w:t>
      </w:r>
    </w:p>
    <w:p w:rsidR="00783788" w:rsidRDefault="00783788">
      <w:pPr>
        <w:adjustRightInd w:val="0"/>
        <w:snapToGrid w:val="0"/>
        <w:spacing w:line="360" w:lineRule="auto"/>
        <w:ind w:firstLineChars="200" w:firstLine="482"/>
        <w:rPr>
          <w:b/>
          <w:kern w:val="0"/>
          <w:sz w:val="24"/>
          <w:szCs w:val="24"/>
        </w:rPr>
      </w:pPr>
    </w:p>
    <w:p w:rsidR="00783788" w:rsidRDefault="002C6E18">
      <w:pPr>
        <w:widowControl/>
        <w:adjustRightInd w:val="0"/>
        <w:snapToGrid w:val="0"/>
        <w:spacing w:beforeLines="100" w:before="240" w:afterLines="50" w:after="120" w:line="360" w:lineRule="auto"/>
        <w:jc w:val="center"/>
        <w:outlineLvl w:val="0"/>
        <w:rPr>
          <w:rFonts w:ascii="宋体" w:hAnsi="宋体"/>
          <w:b/>
          <w:kern w:val="0"/>
          <w:sz w:val="30"/>
        </w:rPr>
      </w:pPr>
      <w:bookmarkStart w:id="73" w:name="_Toc381197149"/>
      <w:bookmarkStart w:id="74" w:name="_Toc382321323"/>
      <w:r>
        <w:rPr>
          <w:rFonts w:ascii="宋体" w:hAnsi="宋体"/>
          <w:b/>
          <w:kern w:val="0"/>
          <w:sz w:val="30"/>
        </w:rPr>
        <w:t>十</w:t>
      </w:r>
      <w:r>
        <w:rPr>
          <w:rFonts w:ascii="宋体" w:hAnsi="宋体" w:hint="eastAsia"/>
          <w:b/>
          <w:kern w:val="0"/>
          <w:sz w:val="30"/>
        </w:rPr>
        <w:t>二</w:t>
      </w:r>
      <w:r>
        <w:rPr>
          <w:rFonts w:ascii="宋体" w:hAnsi="宋体"/>
          <w:b/>
          <w:kern w:val="0"/>
          <w:sz w:val="30"/>
        </w:rPr>
        <w:t>、基金的</w:t>
      </w:r>
      <w:r>
        <w:rPr>
          <w:rFonts w:ascii="宋体" w:hAnsi="宋体" w:hint="eastAsia"/>
          <w:b/>
          <w:kern w:val="0"/>
          <w:sz w:val="30"/>
        </w:rPr>
        <w:t>业绩</w:t>
      </w:r>
      <w:bookmarkEnd w:id="73"/>
      <w:bookmarkEnd w:id="74"/>
    </w:p>
    <w:p w:rsidR="00783788" w:rsidRDefault="002C6E18">
      <w:pPr>
        <w:pStyle w:val="a6"/>
        <w:spacing w:after="0" w:line="360" w:lineRule="auto"/>
        <w:ind w:rightChars="-85" w:right="-178" w:firstLineChars="200" w:firstLine="480"/>
        <w:rPr>
          <w:sz w:val="24"/>
        </w:rPr>
      </w:pPr>
      <w:r>
        <w:rPr>
          <w:sz w:val="24"/>
        </w:rPr>
        <w:t>基金业绩截止日为</w:t>
      </w:r>
      <w:r>
        <w:rPr>
          <w:rFonts w:ascii="宋体" w:hAnsi="宋体"/>
          <w:sz w:val="24"/>
        </w:rPr>
        <w:t>20</w:t>
      </w:r>
      <w:r>
        <w:rPr>
          <w:rFonts w:ascii="宋体" w:hAnsi="宋体" w:hint="eastAsia"/>
          <w:sz w:val="24"/>
        </w:rPr>
        <w:t>14</w:t>
      </w:r>
      <w:r>
        <w:rPr>
          <w:rFonts w:ascii="宋体" w:hAnsi="宋体"/>
          <w:sz w:val="24"/>
        </w:rPr>
        <w:t>年12月</w:t>
      </w:r>
      <w:r>
        <w:rPr>
          <w:rFonts w:ascii="宋体" w:hAnsi="宋体" w:hint="eastAsia"/>
          <w:sz w:val="24"/>
        </w:rPr>
        <w:t>3</w:t>
      </w:r>
      <w:r>
        <w:rPr>
          <w:rFonts w:ascii="宋体" w:hAnsi="宋体"/>
          <w:sz w:val="24"/>
        </w:rPr>
        <w:t>1日</w:t>
      </w:r>
      <w:r>
        <w:rPr>
          <w:sz w:val="24"/>
        </w:rPr>
        <w:t>，所载财务数据未经审计师审计。</w:t>
      </w:r>
    </w:p>
    <w:p w:rsidR="00783788" w:rsidRDefault="002C6E18">
      <w:pPr>
        <w:pStyle w:val="a6"/>
        <w:spacing w:after="0" w:line="360" w:lineRule="auto"/>
        <w:ind w:rightChars="-85" w:right="-178" w:firstLineChars="200" w:firstLine="480"/>
        <w:rPr>
          <w:sz w:val="24"/>
        </w:rPr>
      </w:pPr>
      <w:r>
        <w:rPr>
          <w:sz w:val="24"/>
        </w:rPr>
        <w:t>基金管理人依照恪尽职守、诚实信用、谨慎勤勉的原则管理和运用基金财产，但不保证基金一定盈利，也不保证最低收益。基金的过往业绩并不代表其未来表现。投资有风险，投资人在做出投资决策前应仔细阅读本基金的招募说明书。</w:t>
      </w:r>
    </w:p>
    <w:p w:rsidR="00783788" w:rsidRDefault="002C6E18">
      <w:pPr>
        <w:spacing w:line="360" w:lineRule="auto"/>
        <w:ind w:firstLineChars="200" w:firstLine="480"/>
        <w:rPr>
          <w:sz w:val="24"/>
        </w:rPr>
      </w:pPr>
      <w:r>
        <w:rPr>
          <w:rFonts w:hint="eastAsia"/>
          <w:sz w:val="24"/>
        </w:rPr>
        <w:t>1</w:t>
      </w:r>
      <w:r>
        <w:rPr>
          <w:rFonts w:hint="eastAsia"/>
          <w:sz w:val="24"/>
        </w:rPr>
        <w:t>、</w:t>
      </w:r>
      <w:r>
        <w:rPr>
          <w:sz w:val="24"/>
        </w:rPr>
        <w:t>基金份额净值增长率及其与同期业绩比较基准收益率的比较</w:t>
      </w:r>
    </w:p>
    <w:tbl>
      <w:tblPr>
        <w:tblW w:w="8748" w:type="dxa"/>
        <w:tblInd w:w="108" w:type="dxa"/>
        <w:tblLayout w:type="fixed"/>
        <w:tblLook w:val="04A0" w:firstRow="1" w:lastRow="0" w:firstColumn="1" w:lastColumn="0" w:noHBand="0" w:noVBand="1"/>
      </w:tblPr>
      <w:tblGrid>
        <w:gridCol w:w="1560"/>
        <w:gridCol w:w="1275"/>
        <w:gridCol w:w="1134"/>
        <w:gridCol w:w="1276"/>
        <w:gridCol w:w="1559"/>
        <w:gridCol w:w="993"/>
        <w:gridCol w:w="951"/>
      </w:tblGrid>
      <w:tr w:rsidR="00783788">
        <w:tc>
          <w:tcPr>
            <w:tcW w:w="1560" w:type="dxa"/>
            <w:tcBorders>
              <w:top w:val="single" w:sz="8" w:space="0" w:color="000000"/>
              <w:left w:val="single" w:sz="8" w:space="0" w:color="000000"/>
              <w:bottom w:val="single" w:sz="8" w:space="0" w:color="000000"/>
              <w:right w:val="single" w:sz="8" w:space="0" w:color="000000"/>
            </w:tcBorders>
            <w:vAlign w:val="center"/>
          </w:tcPr>
          <w:p w:rsidR="00783788" w:rsidRDefault="002C6E18">
            <w:pPr>
              <w:autoSpaceDE w:val="0"/>
              <w:autoSpaceDN w:val="0"/>
              <w:adjustRightInd w:val="0"/>
              <w:spacing w:before="29" w:line="288" w:lineRule="auto"/>
              <w:ind w:left="15"/>
              <w:jc w:val="center"/>
              <w:rPr>
                <w:color w:val="000000"/>
                <w:kern w:val="0"/>
                <w:sz w:val="24"/>
              </w:rPr>
            </w:pPr>
            <w:r>
              <w:rPr>
                <w:color w:val="000000"/>
                <w:kern w:val="0"/>
                <w:sz w:val="24"/>
              </w:rPr>
              <w:t>阶段</w:t>
            </w:r>
          </w:p>
        </w:tc>
        <w:tc>
          <w:tcPr>
            <w:tcW w:w="1275" w:type="dxa"/>
            <w:tcBorders>
              <w:top w:val="single" w:sz="8" w:space="0" w:color="000000"/>
              <w:left w:val="single" w:sz="8" w:space="0" w:color="000000"/>
              <w:bottom w:val="single" w:sz="8" w:space="0" w:color="000000"/>
              <w:right w:val="single" w:sz="8" w:space="0" w:color="000000"/>
            </w:tcBorders>
            <w:vAlign w:val="center"/>
          </w:tcPr>
          <w:p w:rsidR="00783788" w:rsidRDefault="002C6E18">
            <w:pPr>
              <w:autoSpaceDE w:val="0"/>
              <w:autoSpaceDN w:val="0"/>
              <w:adjustRightInd w:val="0"/>
              <w:spacing w:before="29" w:line="288" w:lineRule="auto"/>
              <w:ind w:left="15"/>
              <w:jc w:val="center"/>
              <w:rPr>
                <w:color w:val="000000"/>
                <w:kern w:val="0"/>
                <w:sz w:val="24"/>
              </w:rPr>
            </w:pPr>
            <w:r>
              <w:rPr>
                <w:color w:val="000000"/>
                <w:kern w:val="0"/>
                <w:sz w:val="24"/>
              </w:rPr>
              <w:t>净值增长率</w:t>
            </w:r>
            <w:r>
              <w:rPr>
                <w:rFonts w:ascii="宋体" w:hAnsi="宋体" w:cs="宋体" w:hint="eastAsia"/>
                <w:color w:val="000000"/>
                <w:kern w:val="0"/>
                <w:sz w:val="24"/>
              </w:rPr>
              <w:t>①</w:t>
            </w:r>
          </w:p>
        </w:tc>
        <w:tc>
          <w:tcPr>
            <w:tcW w:w="1134" w:type="dxa"/>
            <w:tcBorders>
              <w:top w:val="single" w:sz="8" w:space="0" w:color="000000"/>
              <w:left w:val="single" w:sz="8" w:space="0" w:color="000000"/>
              <w:bottom w:val="single" w:sz="8" w:space="0" w:color="000000"/>
              <w:right w:val="single" w:sz="8" w:space="0" w:color="000000"/>
            </w:tcBorders>
            <w:vAlign w:val="center"/>
          </w:tcPr>
          <w:p w:rsidR="00783788" w:rsidRDefault="002C6E18">
            <w:pPr>
              <w:autoSpaceDE w:val="0"/>
              <w:autoSpaceDN w:val="0"/>
              <w:adjustRightInd w:val="0"/>
              <w:spacing w:before="29" w:line="288" w:lineRule="auto"/>
              <w:ind w:left="15"/>
              <w:jc w:val="center"/>
              <w:rPr>
                <w:color w:val="000000"/>
                <w:kern w:val="0"/>
                <w:sz w:val="24"/>
              </w:rPr>
            </w:pPr>
            <w:r>
              <w:rPr>
                <w:color w:val="000000"/>
                <w:kern w:val="0"/>
                <w:sz w:val="24"/>
              </w:rPr>
              <w:t>净值增长率标准差</w:t>
            </w:r>
            <w:r>
              <w:rPr>
                <w:rFonts w:ascii="宋体" w:hAnsi="宋体" w:cs="宋体" w:hint="eastAsia"/>
                <w:color w:val="000000"/>
                <w:kern w:val="0"/>
                <w:sz w:val="24"/>
              </w:rPr>
              <w:t>②</w:t>
            </w:r>
          </w:p>
        </w:tc>
        <w:tc>
          <w:tcPr>
            <w:tcW w:w="1276" w:type="dxa"/>
            <w:tcBorders>
              <w:top w:val="single" w:sz="8" w:space="0" w:color="000000"/>
              <w:left w:val="single" w:sz="8" w:space="0" w:color="000000"/>
              <w:bottom w:val="single" w:sz="8" w:space="0" w:color="000000"/>
              <w:right w:val="single" w:sz="8" w:space="0" w:color="000000"/>
            </w:tcBorders>
            <w:vAlign w:val="center"/>
          </w:tcPr>
          <w:p w:rsidR="00783788" w:rsidRDefault="002C6E18">
            <w:pPr>
              <w:autoSpaceDE w:val="0"/>
              <w:autoSpaceDN w:val="0"/>
              <w:adjustRightInd w:val="0"/>
              <w:spacing w:before="29" w:line="288" w:lineRule="auto"/>
              <w:ind w:left="15"/>
              <w:jc w:val="center"/>
              <w:rPr>
                <w:color w:val="000000"/>
                <w:kern w:val="0"/>
                <w:sz w:val="24"/>
              </w:rPr>
            </w:pPr>
            <w:r>
              <w:rPr>
                <w:color w:val="000000"/>
                <w:kern w:val="0"/>
                <w:sz w:val="24"/>
              </w:rPr>
              <w:t>业绩比较基准收益率</w:t>
            </w:r>
            <w:r>
              <w:rPr>
                <w:rFonts w:ascii="宋体" w:hAnsi="宋体" w:cs="宋体" w:hint="eastAsia"/>
                <w:color w:val="000000"/>
                <w:kern w:val="0"/>
                <w:sz w:val="24"/>
              </w:rPr>
              <w:t>③</w:t>
            </w:r>
          </w:p>
        </w:tc>
        <w:tc>
          <w:tcPr>
            <w:tcW w:w="1559" w:type="dxa"/>
            <w:tcBorders>
              <w:top w:val="single" w:sz="8" w:space="0" w:color="000000"/>
              <w:left w:val="single" w:sz="8" w:space="0" w:color="000000"/>
              <w:bottom w:val="single" w:sz="8" w:space="0" w:color="000000"/>
              <w:right w:val="single" w:sz="8" w:space="0" w:color="000000"/>
            </w:tcBorders>
            <w:vAlign w:val="center"/>
          </w:tcPr>
          <w:p w:rsidR="00783788" w:rsidRDefault="002C6E18">
            <w:pPr>
              <w:autoSpaceDE w:val="0"/>
              <w:autoSpaceDN w:val="0"/>
              <w:adjustRightInd w:val="0"/>
              <w:spacing w:before="29" w:line="288" w:lineRule="auto"/>
              <w:ind w:left="15"/>
              <w:jc w:val="center"/>
              <w:rPr>
                <w:color w:val="000000"/>
                <w:kern w:val="0"/>
                <w:sz w:val="24"/>
              </w:rPr>
            </w:pPr>
            <w:r>
              <w:rPr>
                <w:color w:val="000000"/>
                <w:kern w:val="0"/>
                <w:sz w:val="24"/>
              </w:rPr>
              <w:t>业绩比较基准收益率标准差</w:t>
            </w:r>
            <w:r>
              <w:rPr>
                <w:rFonts w:ascii="宋体" w:hAnsi="宋体" w:cs="宋体" w:hint="eastAsia"/>
                <w:color w:val="000000"/>
                <w:kern w:val="0"/>
                <w:sz w:val="24"/>
              </w:rPr>
              <w:t>④</w:t>
            </w:r>
          </w:p>
        </w:tc>
        <w:tc>
          <w:tcPr>
            <w:tcW w:w="993" w:type="dxa"/>
            <w:tcBorders>
              <w:top w:val="single" w:sz="8" w:space="0" w:color="000000"/>
              <w:left w:val="single" w:sz="8" w:space="0" w:color="000000"/>
              <w:bottom w:val="single" w:sz="8" w:space="0" w:color="000000"/>
              <w:right w:val="single" w:sz="8" w:space="0" w:color="000000"/>
            </w:tcBorders>
            <w:vAlign w:val="center"/>
          </w:tcPr>
          <w:p w:rsidR="00783788" w:rsidRDefault="002C6E18">
            <w:pPr>
              <w:autoSpaceDE w:val="0"/>
              <w:autoSpaceDN w:val="0"/>
              <w:adjustRightInd w:val="0"/>
              <w:spacing w:before="29" w:line="288" w:lineRule="auto"/>
              <w:ind w:left="15"/>
              <w:jc w:val="center"/>
              <w:rPr>
                <w:color w:val="000000"/>
                <w:kern w:val="0"/>
                <w:sz w:val="24"/>
              </w:rPr>
            </w:pPr>
            <w:r>
              <w:rPr>
                <w:rFonts w:ascii="宋体" w:hAnsi="宋体" w:cs="宋体" w:hint="eastAsia"/>
                <w:color w:val="000000"/>
                <w:kern w:val="0"/>
                <w:sz w:val="24"/>
              </w:rPr>
              <w:t>①</w:t>
            </w:r>
            <w:r>
              <w:rPr>
                <w:color w:val="000000"/>
                <w:kern w:val="0"/>
                <w:sz w:val="24"/>
              </w:rPr>
              <w:t>-</w:t>
            </w:r>
            <w:r>
              <w:rPr>
                <w:rFonts w:ascii="宋体" w:hAnsi="宋体" w:cs="宋体" w:hint="eastAsia"/>
                <w:color w:val="000000"/>
                <w:kern w:val="0"/>
                <w:sz w:val="24"/>
              </w:rPr>
              <w:t>③</w:t>
            </w:r>
          </w:p>
        </w:tc>
        <w:tc>
          <w:tcPr>
            <w:tcW w:w="951" w:type="dxa"/>
            <w:tcBorders>
              <w:top w:val="single" w:sz="8" w:space="0" w:color="000000"/>
              <w:left w:val="single" w:sz="8" w:space="0" w:color="000000"/>
              <w:bottom w:val="single" w:sz="8" w:space="0" w:color="000000"/>
              <w:right w:val="single" w:sz="8" w:space="0" w:color="000000"/>
            </w:tcBorders>
            <w:vAlign w:val="center"/>
          </w:tcPr>
          <w:p w:rsidR="00783788" w:rsidRDefault="002C6E18">
            <w:pPr>
              <w:autoSpaceDE w:val="0"/>
              <w:autoSpaceDN w:val="0"/>
              <w:adjustRightInd w:val="0"/>
              <w:spacing w:before="29" w:line="288" w:lineRule="auto"/>
              <w:ind w:left="15"/>
              <w:jc w:val="center"/>
              <w:rPr>
                <w:color w:val="000000"/>
                <w:kern w:val="0"/>
                <w:sz w:val="24"/>
              </w:rPr>
            </w:pPr>
            <w:r>
              <w:rPr>
                <w:rFonts w:ascii="宋体" w:hAnsi="宋体" w:cs="宋体" w:hint="eastAsia"/>
                <w:color w:val="000000"/>
                <w:kern w:val="0"/>
                <w:sz w:val="24"/>
              </w:rPr>
              <w:t>②</w:t>
            </w:r>
            <w:r>
              <w:rPr>
                <w:color w:val="000000"/>
                <w:kern w:val="0"/>
                <w:sz w:val="24"/>
              </w:rPr>
              <w:t>-</w:t>
            </w:r>
            <w:r>
              <w:rPr>
                <w:rFonts w:ascii="宋体" w:hAnsi="宋体" w:cs="宋体" w:hint="eastAsia"/>
                <w:color w:val="000000"/>
                <w:kern w:val="0"/>
                <w:sz w:val="24"/>
              </w:rPr>
              <w:t>④</w:t>
            </w:r>
          </w:p>
        </w:tc>
      </w:tr>
      <w:tr w:rsidR="00783788">
        <w:tc>
          <w:tcPr>
            <w:tcW w:w="1560" w:type="dxa"/>
            <w:tcBorders>
              <w:top w:val="single" w:sz="8" w:space="0" w:color="000000"/>
              <w:left w:val="single" w:sz="8" w:space="0" w:color="000000"/>
              <w:bottom w:val="single" w:sz="8" w:space="0" w:color="000000"/>
              <w:right w:val="single" w:sz="8" w:space="0" w:color="000000"/>
            </w:tcBorders>
            <w:vAlign w:val="center"/>
          </w:tcPr>
          <w:p w:rsidR="00783788" w:rsidRDefault="002C6E18">
            <w:pPr>
              <w:autoSpaceDE w:val="0"/>
              <w:autoSpaceDN w:val="0"/>
              <w:adjustRightInd w:val="0"/>
              <w:spacing w:before="29" w:line="288" w:lineRule="auto"/>
              <w:ind w:left="15"/>
              <w:jc w:val="left"/>
              <w:rPr>
                <w:color w:val="000000"/>
                <w:kern w:val="0"/>
                <w:sz w:val="24"/>
              </w:rPr>
            </w:pPr>
            <w:r>
              <w:rPr>
                <w:rFonts w:hint="eastAsia"/>
                <w:color w:val="000000"/>
                <w:kern w:val="0"/>
                <w:sz w:val="24"/>
              </w:rPr>
              <w:t>过去三个月</w:t>
            </w:r>
          </w:p>
        </w:tc>
        <w:tc>
          <w:tcPr>
            <w:tcW w:w="1275" w:type="dxa"/>
            <w:tcBorders>
              <w:top w:val="single" w:sz="8" w:space="0" w:color="000000"/>
              <w:left w:val="single" w:sz="8" w:space="0" w:color="000000"/>
              <w:bottom w:val="single" w:sz="8" w:space="0" w:color="000000"/>
              <w:right w:val="single" w:sz="8" w:space="0" w:color="000000"/>
            </w:tcBorders>
            <w:vAlign w:val="center"/>
          </w:tcPr>
          <w:p w:rsidR="00783788" w:rsidRDefault="002C6E18">
            <w:pPr>
              <w:autoSpaceDE w:val="0"/>
              <w:autoSpaceDN w:val="0"/>
              <w:adjustRightInd w:val="0"/>
              <w:spacing w:before="29" w:line="288" w:lineRule="auto"/>
              <w:ind w:left="15"/>
              <w:jc w:val="center"/>
              <w:rPr>
                <w:color w:val="000000"/>
                <w:kern w:val="0"/>
                <w:sz w:val="24"/>
              </w:rPr>
            </w:pPr>
            <w:r>
              <w:rPr>
                <w:color w:val="000000"/>
                <w:sz w:val="24"/>
                <w:szCs w:val="24"/>
              </w:rPr>
              <w:t>12.97%</w:t>
            </w:r>
          </w:p>
        </w:tc>
        <w:tc>
          <w:tcPr>
            <w:tcW w:w="1134" w:type="dxa"/>
            <w:tcBorders>
              <w:top w:val="single" w:sz="8" w:space="0" w:color="000000"/>
              <w:left w:val="single" w:sz="8" w:space="0" w:color="000000"/>
              <w:bottom w:val="single" w:sz="8" w:space="0" w:color="000000"/>
              <w:right w:val="single" w:sz="8" w:space="0" w:color="000000"/>
            </w:tcBorders>
            <w:vAlign w:val="center"/>
          </w:tcPr>
          <w:p w:rsidR="00783788" w:rsidRDefault="002C6E18">
            <w:pPr>
              <w:autoSpaceDE w:val="0"/>
              <w:autoSpaceDN w:val="0"/>
              <w:adjustRightInd w:val="0"/>
              <w:spacing w:before="29" w:line="288" w:lineRule="auto"/>
              <w:ind w:left="15"/>
              <w:jc w:val="center"/>
              <w:rPr>
                <w:color w:val="000000"/>
                <w:kern w:val="0"/>
                <w:sz w:val="24"/>
              </w:rPr>
            </w:pPr>
            <w:r>
              <w:rPr>
                <w:color w:val="000000"/>
                <w:sz w:val="24"/>
                <w:szCs w:val="24"/>
              </w:rPr>
              <w:t>1.38%</w:t>
            </w:r>
          </w:p>
        </w:tc>
        <w:tc>
          <w:tcPr>
            <w:tcW w:w="1276" w:type="dxa"/>
            <w:tcBorders>
              <w:top w:val="single" w:sz="8" w:space="0" w:color="000000"/>
              <w:left w:val="single" w:sz="8" w:space="0" w:color="000000"/>
              <w:bottom w:val="single" w:sz="8" w:space="0" w:color="000000"/>
              <w:right w:val="single" w:sz="8" w:space="0" w:color="000000"/>
            </w:tcBorders>
            <w:vAlign w:val="center"/>
          </w:tcPr>
          <w:p w:rsidR="00783788" w:rsidRDefault="002C6E18">
            <w:pPr>
              <w:autoSpaceDE w:val="0"/>
              <w:autoSpaceDN w:val="0"/>
              <w:adjustRightInd w:val="0"/>
              <w:spacing w:before="29" w:line="288" w:lineRule="auto"/>
              <w:ind w:left="15"/>
              <w:jc w:val="center"/>
              <w:rPr>
                <w:color w:val="000000"/>
                <w:kern w:val="0"/>
                <w:sz w:val="24"/>
              </w:rPr>
            </w:pPr>
            <w:r>
              <w:rPr>
                <w:color w:val="000000"/>
                <w:sz w:val="24"/>
                <w:szCs w:val="24"/>
              </w:rPr>
              <w:t>15.68%</w:t>
            </w:r>
          </w:p>
        </w:tc>
        <w:tc>
          <w:tcPr>
            <w:tcW w:w="1559" w:type="dxa"/>
            <w:tcBorders>
              <w:top w:val="single" w:sz="8" w:space="0" w:color="000000"/>
              <w:left w:val="single" w:sz="8" w:space="0" w:color="000000"/>
              <w:bottom w:val="single" w:sz="8" w:space="0" w:color="000000"/>
              <w:right w:val="single" w:sz="8" w:space="0" w:color="000000"/>
            </w:tcBorders>
            <w:vAlign w:val="center"/>
          </w:tcPr>
          <w:p w:rsidR="00783788" w:rsidRDefault="002C6E18">
            <w:pPr>
              <w:autoSpaceDE w:val="0"/>
              <w:autoSpaceDN w:val="0"/>
              <w:adjustRightInd w:val="0"/>
              <w:spacing w:before="29" w:line="288" w:lineRule="auto"/>
              <w:ind w:left="15"/>
              <w:jc w:val="center"/>
              <w:rPr>
                <w:color w:val="000000"/>
                <w:kern w:val="0"/>
                <w:sz w:val="24"/>
              </w:rPr>
            </w:pPr>
            <w:r>
              <w:rPr>
                <w:color w:val="000000"/>
                <w:sz w:val="24"/>
                <w:szCs w:val="24"/>
              </w:rPr>
              <w:t>0.73%</w:t>
            </w:r>
          </w:p>
        </w:tc>
        <w:tc>
          <w:tcPr>
            <w:tcW w:w="993" w:type="dxa"/>
            <w:tcBorders>
              <w:top w:val="single" w:sz="8" w:space="0" w:color="000000"/>
              <w:left w:val="single" w:sz="8" w:space="0" w:color="000000"/>
              <w:bottom w:val="single" w:sz="8" w:space="0" w:color="000000"/>
              <w:right w:val="single" w:sz="8" w:space="0" w:color="000000"/>
            </w:tcBorders>
            <w:vAlign w:val="center"/>
          </w:tcPr>
          <w:p w:rsidR="00783788" w:rsidRDefault="002C6E18">
            <w:pPr>
              <w:autoSpaceDE w:val="0"/>
              <w:autoSpaceDN w:val="0"/>
              <w:adjustRightInd w:val="0"/>
              <w:spacing w:before="29" w:line="288" w:lineRule="auto"/>
              <w:ind w:left="15"/>
              <w:jc w:val="center"/>
              <w:rPr>
                <w:color w:val="000000"/>
                <w:kern w:val="0"/>
                <w:sz w:val="24"/>
              </w:rPr>
            </w:pPr>
            <w:r>
              <w:rPr>
                <w:color w:val="000000"/>
                <w:sz w:val="24"/>
                <w:szCs w:val="24"/>
              </w:rPr>
              <w:t>-2.71%</w:t>
            </w:r>
          </w:p>
        </w:tc>
        <w:tc>
          <w:tcPr>
            <w:tcW w:w="951" w:type="dxa"/>
            <w:tcBorders>
              <w:top w:val="single" w:sz="8" w:space="0" w:color="000000"/>
              <w:left w:val="single" w:sz="8" w:space="0" w:color="000000"/>
              <w:bottom w:val="single" w:sz="8" w:space="0" w:color="000000"/>
              <w:right w:val="single" w:sz="8" w:space="0" w:color="000000"/>
            </w:tcBorders>
            <w:vAlign w:val="center"/>
          </w:tcPr>
          <w:p w:rsidR="00783788" w:rsidRDefault="002C6E18">
            <w:pPr>
              <w:autoSpaceDE w:val="0"/>
              <w:autoSpaceDN w:val="0"/>
              <w:adjustRightInd w:val="0"/>
              <w:spacing w:before="29" w:line="288" w:lineRule="auto"/>
              <w:ind w:left="15"/>
              <w:jc w:val="center"/>
              <w:rPr>
                <w:color w:val="000000"/>
                <w:kern w:val="0"/>
                <w:sz w:val="24"/>
              </w:rPr>
            </w:pPr>
            <w:r>
              <w:rPr>
                <w:color w:val="000000"/>
                <w:sz w:val="24"/>
                <w:szCs w:val="24"/>
              </w:rPr>
              <w:t>0.65%</w:t>
            </w:r>
          </w:p>
        </w:tc>
      </w:tr>
      <w:tr w:rsidR="00783788">
        <w:tc>
          <w:tcPr>
            <w:tcW w:w="1560" w:type="dxa"/>
            <w:tcBorders>
              <w:top w:val="single" w:sz="8" w:space="0" w:color="000000"/>
              <w:left w:val="single" w:sz="8" w:space="0" w:color="000000"/>
              <w:bottom w:val="single" w:sz="8" w:space="0" w:color="000000"/>
              <w:right w:val="single" w:sz="8" w:space="0" w:color="000000"/>
            </w:tcBorders>
            <w:vAlign w:val="center"/>
          </w:tcPr>
          <w:p w:rsidR="00783788" w:rsidRDefault="002C6E18">
            <w:pPr>
              <w:autoSpaceDE w:val="0"/>
              <w:autoSpaceDN w:val="0"/>
              <w:adjustRightInd w:val="0"/>
              <w:spacing w:before="29" w:line="288" w:lineRule="auto"/>
              <w:ind w:left="15"/>
              <w:jc w:val="left"/>
              <w:rPr>
                <w:color w:val="000000"/>
                <w:kern w:val="0"/>
                <w:sz w:val="24"/>
              </w:rPr>
            </w:pPr>
            <w:r>
              <w:rPr>
                <w:rFonts w:hint="eastAsia"/>
                <w:color w:val="000000"/>
                <w:kern w:val="0"/>
                <w:sz w:val="24"/>
              </w:rPr>
              <w:t>2014</w:t>
            </w:r>
            <w:r>
              <w:rPr>
                <w:rFonts w:hint="eastAsia"/>
                <w:color w:val="000000"/>
                <w:kern w:val="0"/>
                <w:sz w:val="24"/>
              </w:rPr>
              <w:t>年度</w:t>
            </w:r>
            <w:r>
              <w:rPr>
                <w:rFonts w:hint="eastAsia"/>
                <w:color w:val="000000"/>
                <w:kern w:val="0"/>
                <w:sz w:val="24"/>
              </w:rPr>
              <w:t xml:space="preserve"> </w:t>
            </w:r>
          </w:p>
        </w:tc>
        <w:tc>
          <w:tcPr>
            <w:tcW w:w="1275" w:type="dxa"/>
            <w:tcBorders>
              <w:top w:val="single" w:sz="8" w:space="0" w:color="000000"/>
              <w:left w:val="single" w:sz="8" w:space="0" w:color="000000"/>
              <w:bottom w:val="single" w:sz="8" w:space="0" w:color="000000"/>
              <w:right w:val="single" w:sz="8" w:space="0" w:color="000000"/>
            </w:tcBorders>
            <w:vAlign w:val="center"/>
          </w:tcPr>
          <w:p w:rsidR="00783788" w:rsidRDefault="002C6E18">
            <w:pPr>
              <w:autoSpaceDE w:val="0"/>
              <w:autoSpaceDN w:val="0"/>
              <w:adjustRightInd w:val="0"/>
              <w:spacing w:before="29" w:line="288" w:lineRule="auto"/>
              <w:ind w:left="15"/>
              <w:jc w:val="center"/>
              <w:rPr>
                <w:color w:val="000000"/>
                <w:sz w:val="24"/>
                <w:szCs w:val="24"/>
              </w:rPr>
            </w:pPr>
            <w:r>
              <w:rPr>
                <w:color w:val="000000"/>
                <w:sz w:val="24"/>
              </w:rPr>
              <w:t>28.13%</w:t>
            </w:r>
          </w:p>
        </w:tc>
        <w:tc>
          <w:tcPr>
            <w:tcW w:w="1134" w:type="dxa"/>
            <w:tcBorders>
              <w:top w:val="single" w:sz="8" w:space="0" w:color="000000"/>
              <w:left w:val="single" w:sz="8" w:space="0" w:color="000000"/>
              <w:bottom w:val="single" w:sz="8" w:space="0" w:color="000000"/>
              <w:right w:val="single" w:sz="8" w:space="0" w:color="000000"/>
            </w:tcBorders>
            <w:vAlign w:val="center"/>
          </w:tcPr>
          <w:p w:rsidR="00783788" w:rsidRDefault="002C6E18">
            <w:pPr>
              <w:autoSpaceDE w:val="0"/>
              <w:autoSpaceDN w:val="0"/>
              <w:adjustRightInd w:val="0"/>
              <w:spacing w:before="29" w:line="288" w:lineRule="auto"/>
              <w:ind w:left="15"/>
              <w:jc w:val="center"/>
              <w:rPr>
                <w:color w:val="000000"/>
                <w:sz w:val="24"/>
                <w:szCs w:val="24"/>
              </w:rPr>
            </w:pPr>
            <w:r>
              <w:rPr>
                <w:color w:val="000000"/>
                <w:sz w:val="24"/>
              </w:rPr>
              <w:t>0.85%</w:t>
            </w:r>
          </w:p>
        </w:tc>
        <w:tc>
          <w:tcPr>
            <w:tcW w:w="1276" w:type="dxa"/>
            <w:tcBorders>
              <w:top w:val="single" w:sz="8" w:space="0" w:color="000000"/>
              <w:left w:val="single" w:sz="8" w:space="0" w:color="000000"/>
              <w:bottom w:val="single" w:sz="8" w:space="0" w:color="000000"/>
              <w:right w:val="single" w:sz="8" w:space="0" w:color="000000"/>
            </w:tcBorders>
            <w:vAlign w:val="center"/>
          </w:tcPr>
          <w:p w:rsidR="00783788" w:rsidRDefault="002C6E18">
            <w:pPr>
              <w:autoSpaceDE w:val="0"/>
              <w:autoSpaceDN w:val="0"/>
              <w:adjustRightInd w:val="0"/>
              <w:spacing w:before="29" w:line="288" w:lineRule="auto"/>
              <w:ind w:left="15"/>
              <w:jc w:val="center"/>
              <w:rPr>
                <w:color w:val="000000"/>
                <w:sz w:val="24"/>
                <w:szCs w:val="24"/>
              </w:rPr>
            </w:pPr>
            <w:r>
              <w:rPr>
                <w:color w:val="000000"/>
                <w:sz w:val="24"/>
              </w:rPr>
              <w:t>27.64%</w:t>
            </w:r>
          </w:p>
        </w:tc>
        <w:tc>
          <w:tcPr>
            <w:tcW w:w="1559" w:type="dxa"/>
            <w:tcBorders>
              <w:top w:val="single" w:sz="8" w:space="0" w:color="000000"/>
              <w:left w:val="single" w:sz="8" w:space="0" w:color="000000"/>
              <w:bottom w:val="single" w:sz="8" w:space="0" w:color="000000"/>
              <w:right w:val="single" w:sz="8" w:space="0" w:color="000000"/>
            </w:tcBorders>
            <w:vAlign w:val="center"/>
          </w:tcPr>
          <w:p w:rsidR="00783788" w:rsidRDefault="002C6E18">
            <w:pPr>
              <w:autoSpaceDE w:val="0"/>
              <w:autoSpaceDN w:val="0"/>
              <w:adjustRightInd w:val="0"/>
              <w:spacing w:before="29" w:line="288" w:lineRule="auto"/>
              <w:ind w:left="15"/>
              <w:jc w:val="center"/>
              <w:rPr>
                <w:color w:val="000000"/>
                <w:sz w:val="24"/>
                <w:szCs w:val="24"/>
              </w:rPr>
            </w:pPr>
            <w:r>
              <w:rPr>
                <w:color w:val="000000"/>
                <w:sz w:val="24"/>
              </w:rPr>
              <w:t>0.57%</w:t>
            </w:r>
          </w:p>
        </w:tc>
        <w:tc>
          <w:tcPr>
            <w:tcW w:w="993" w:type="dxa"/>
            <w:tcBorders>
              <w:top w:val="single" w:sz="8" w:space="0" w:color="000000"/>
              <w:left w:val="single" w:sz="8" w:space="0" w:color="000000"/>
              <w:bottom w:val="single" w:sz="8" w:space="0" w:color="000000"/>
              <w:right w:val="single" w:sz="8" w:space="0" w:color="000000"/>
            </w:tcBorders>
            <w:vAlign w:val="center"/>
          </w:tcPr>
          <w:p w:rsidR="00783788" w:rsidRDefault="002C6E18">
            <w:pPr>
              <w:autoSpaceDE w:val="0"/>
              <w:autoSpaceDN w:val="0"/>
              <w:adjustRightInd w:val="0"/>
              <w:spacing w:before="29" w:line="288" w:lineRule="auto"/>
              <w:ind w:left="15"/>
              <w:jc w:val="center"/>
              <w:rPr>
                <w:color w:val="000000"/>
                <w:sz w:val="24"/>
                <w:szCs w:val="24"/>
              </w:rPr>
            </w:pPr>
            <w:r>
              <w:rPr>
                <w:color w:val="000000"/>
                <w:sz w:val="24"/>
              </w:rPr>
              <w:t>0.49%</w:t>
            </w:r>
          </w:p>
        </w:tc>
        <w:tc>
          <w:tcPr>
            <w:tcW w:w="951" w:type="dxa"/>
            <w:tcBorders>
              <w:top w:val="single" w:sz="8" w:space="0" w:color="000000"/>
              <w:left w:val="single" w:sz="8" w:space="0" w:color="000000"/>
              <w:bottom w:val="single" w:sz="8" w:space="0" w:color="000000"/>
              <w:right w:val="single" w:sz="8" w:space="0" w:color="000000"/>
            </w:tcBorders>
            <w:vAlign w:val="center"/>
          </w:tcPr>
          <w:p w:rsidR="00783788" w:rsidRDefault="002C6E18">
            <w:pPr>
              <w:autoSpaceDE w:val="0"/>
              <w:autoSpaceDN w:val="0"/>
              <w:adjustRightInd w:val="0"/>
              <w:spacing w:before="29" w:line="288" w:lineRule="auto"/>
              <w:ind w:left="15"/>
              <w:jc w:val="center"/>
              <w:rPr>
                <w:color w:val="000000"/>
                <w:sz w:val="24"/>
                <w:szCs w:val="24"/>
              </w:rPr>
            </w:pPr>
            <w:r>
              <w:rPr>
                <w:color w:val="000000"/>
                <w:sz w:val="24"/>
              </w:rPr>
              <w:t>0.28%</w:t>
            </w:r>
          </w:p>
        </w:tc>
      </w:tr>
      <w:tr w:rsidR="00783788">
        <w:tc>
          <w:tcPr>
            <w:tcW w:w="1560" w:type="dxa"/>
            <w:tcBorders>
              <w:top w:val="single" w:sz="8" w:space="0" w:color="000000"/>
              <w:left w:val="single" w:sz="8" w:space="0" w:color="000000"/>
              <w:bottom w:val="single" w:sz="8" w:space="0" w:color="000000"/>
              <w:right w:val="single" w:sz="8" w:space="0" w:color="000000"/>
            </w:tcBorders>
            <w:vAlign w:val="center"/>
          </w:tcPr>
          <w:p w:rsidR="00783788" w:rsidRDefault="002C6E18">
            <w:pPr>
              <w:autoSpaceDE w:val="0"/>
              <w:autoSpaceDN w:val="0"/>
              <w:adjustRightInd w:val="0"/>
              <w:spacing w:before="29" w:line="288" w:lineRule="auto"/>
              <w:ind w:left="15"/>
              <w:jc w:val="left"/>
              <w:rPr>
                <w:color w:val="000000"/>
                <w:kern w:val="0"/>
                <w:sz w:val="24"/>
              </w:rPr>
            </w:pPr>
            <w:r>
              <w:rPr>
                <w:rFonts w:hint="eastAsia"/>
                <w:color w:val="000000"/>
                <w:sz w:val="24"/>
              </w:rPr>
              <w:t>2013</w:t>
            </w:r>
            <w:r>
              <w:rPr>
                <w:rFonts w:hAnsi="宋体" w:hint="eastAsia"/>
                <w:color w:val="000000"/>
                <w:sz w:val="24"/>
              </w:rPr>
              <w:t>年度（自基金合同生效日起至</w:t>
            </w:r>
            <w:r>
              <w:rPr>
                <w:color w:val="000000"/>
                <w:sz w:val="24"/>
              </w:rPr>
              <w:t>2013</w:t>
            </w:r>
            <w:r>
              <w:rPr>
                <w:rFonts w:hAnsi="宋体" w:hint="eastAsia"/>
                <w:color w:val="000000"/>
                <w:sz w:val="24"/>
              </w:rPr>
              <w:t>年</w:t>
            </w:r>
            <w:r>
              <w:rPr>
                <w:color w:val="000000"/>
                <w:sz w:val="24"/>
              </w:rPr>
              <w:t>12</w:t>
            </w:r>
            <w:r>
              <w:rPr>
                <w:rFonts w:hAnsi="宋体" w:hint="eastAsia"/>
                <w:color w:val="000000"/>
                <w:sz w:val="24"/>
              </w:rPr>
              <w:t>月</w:t>
            </w:r>
            <w:r>
              <w:rPr>
                <w:color w:val="000000"/>
                <w:sz w:val="24"/>
              </w:rPr>
              <w:t>31</w:t>
            </w:r>
            <w:r>
              <w:rPr>
                <w:rFonts w:hAnsi="宋体" w:hint="eastAsia"/>
                <w:color w:val="000000"/>
                <w:sz w:val="24"/>
              </w:rPr>
              <w:t>日）</w:t>
            </w:r>
          </w:p>
        </w:tc>
        <w:tc>
          <w:tcPr>
            <w:tcW w:w="1275" w:type="dxa"/>
            <w:tcBorders>
              <w:top w:val="single" w:sz="8" w:space="0" w:color="000000"/>
              <w:left w:val="single" w:sz="8" w:space="0" w:color="000000"/>
              <w:bottom w:val="single" w:sz="8" w:space="0" w:color="000000"/>
              <w:right w:val="single" w:sz="8" w:space="0" w:color="000000"/>
            </w:tcBorders>
            <w:vAlign w:val="center"/>
          </w:tcPr>
          <w:p w:rsidR="00783788" w:rsidRDefault="002C6E18">
            <w:pPr>
              <w:autoSpaceDE w:val="0"/>
              <w:autoSpaceDN w:val="0"/>
              <w:adjustRightInd w:val="0"/>
              <w:spacing w:before="240" w:after="240" w:line="288" w:lineRule="auto"/>
              <w:ind w:left="15"/>
              <w:jc w:val="center"/>
              <w:rPr>
                <w:color w:val="000000"/>
                <w:sz w:val="24"/>
              </w:rPr>
            </w:pPr>
            <w:r>
              <w:rPr>
                <w:color w:val="000000"/>
                <w:sz w:val="24"/>
              </w:rPr>
              <w:t>1.30%</w:t>
            </w:r>
          </w:p>
        </w:tc>
        <w:tc>
          <w:tcPr>
            <w:tcW w:w="1134" w:type="dxa"/>
            <w:tcBorders>
              <w:top w:val="single" w:sz="8" w:space="0" w:color="000000"/>
              <w:left w:val="single" w:sz="8" w:space="0" w:color="000000"/>
              <w:bottom w:val="single" w:sz="8" w:space="0" w:color="000000"/>
              <w:right w:val="single" w:sz="8" w:space="0" w:color="000000"/>
            </w:tcBorders>
            <w:vAlign w:val="center"/>
          </w:tcPr>
          <w:p w:rsidR="00783788" w:rsidRDefault="002C6E18">
            <w:pPr>
              <w:autoSpaceDE w:val="0"/>
              <w:autoSpaceDN w:val="0"/>
              <w:adjustRightInd w:val="0"/>
              <w:spacing w:before="240" w:after="240" w:line="288" w:lineRule="auto"/>
              <w:ind w:left="15"/>
              <w:jc w:val="center"/>
              <w:rPr>
                <w:color w:val="000000"/>
                <w:sz w:val="24"/>
              </w:rPr>
            </w:pPr>
            <w:r>
              <w:rPr>
                <w:color w:val="000000"/>
                <w:sz w:val="24"/>
              </w:rPr>
              <w:t>0.13%</w:t>
            </w:r>
          </w:p>
        </w:tc>
        <w:tc>
          <w:tcPr>
            <w:tcW w:w="1276" w:type="dxa"/>
            <w:tcBorders>
              <w:top w:val="single" w:sz="8" w:space="0" w:color="000000"/>
              <w:left w:val="single" w:sz="8" w:space="0" w:color="000000"/>
              <w:bottom w:val="single" w:sz="8" w:space="0" w:color="000000"/>
              <w:right w:val="single" w:sz="8" w:space="0" w:color="000000"/>
            </w:tcBorders>
            <w:vAlign w:val="center"/>
          </w:tcPr>
          <w:p w:rsidR="00783788" w:rsidRDefault="002C6E18">
            <w:pPr>
              <w:autoSpaceDE w:val="0"/>
              <w:autoSpaceDN w:val="0"/>
              <w:adjustRightInd w:val="0"/>
              <w:spacing w:before="240" w:after="240" w:line="288" w:lineRule="auto"/>
              <w:ind w:left="15"/>
              <w:jc w:val="center"/>
              <w:rPr>
                <w:color w:val="000000"/>
                <w:sz w:val="24"/>
              </w:rPr>
            </w:pPr>
            <w:r>
              <w:rPr>
                <w:color w:val="000000"/>
                <w:sz w:val="24"/>
              </w:rPr>
              <w:t>-2.15%</w:t>
            </w:r>
          </w:p>
        </w:tc>
        <w:tc>
          <w:tcPr>
            <w:tcW w:w="1559" w:type="dxa"/>
            <w:tcBorders>
              <w:top w:val="single" w:sz="8" w:space="0" w:color="000000"/>
              <w:left w:val="single" w:sz="8" w:space="0" w:color="000000"/>
              <w:bottom w:val="single" w:sz="8" w:space="0" w:color="000000"/>
              <w:right w:val="single" w:sz="8" w:space="0" w:color="000000"/>
            </w:tcBorders>
            <w:vAlign w:val="center"/>
          </w:tcPr>
          <w:p w:rsidR="00783788" w:rsidRDefault="002C6E18">
            <w:pPr>
              <w:autoSpaceDE w:val="0"/>
              <w:autoSpaceDN w:val="0"/>
              <w:adjustRightInd w:val="0"/>
              <w:spacing w:before="240" w:after="240" w:line="288" w:lineRule="auto"/>
              <w:ind w:left="15"/>
              <w:jc w:val="center"/>
              <w:rPr>
                <w:color w:val="000000"/>
                <w:sz w:val="24"/>
              </w:rPr>
            </w:pPr>
            <w:r>
              <w:rPr>
                <w:color w:val="000000"/>
                <w:sz w:val="24"/>
              </w:rPr>
              <w:t>0.63%</w:t>
            </w:r>
          </w:p>
        </w:tc>
        <w:tc>
          <w:tcPr>
            <w:tcW w:w="993" w:type="dxa"/>
            <w:tcBorders>
              <w:top w:val="single" w:sz="8" w:space="0" w:color="000000"/>
              <w:left w:val="single" w:sz="8" w:space="0" w:color="000000"/>
              <w:bottom w:val="single" w:sz="8" w:space="0" w:color="000000"/>
              <w:right w:val="single" w:sz="8" w:space="0" w:color="000000"/>
            </w:tcBorders>
            <w:vAlign w:val="center"/>
          </w:tcPr>
          <w:p w:rsidR="00783788" w:rsidRDefault="002C6E18">
            <w:pPr>
              <w:autoSpaceDE w:val="0"/>
              <w:autoSpaceDN w:val="0"/>
              <w:adjustRightInd w:val="0"/>
              <w:spacing w:before="240" w:after="240" w:line="288" w:lineRule="auto"/>
              <w:ind w:left="15"/>
              <w:jc w:val="center"/>
              <w:rPr>
                <w:color w:val="000000"/>
                <w:sz w:val="24"/>
              </w:rPr>
            </w:pPr>
            <w:r>
              <w:rPr>
                <w:color w:val="000000"/>
                <w:sz w:val="24"/>
              </w:rPr>
              <w:t>3.45%</w:t>
            </w:r>
          </w:p>
        </w:tc>
        <w:tc>
          <w:tcPr>
            <w:tcW w:w="951" w:type="dxa"/>
            <w:tcBorders>
              <w:top w:val="single" w:sz="8" w:space="0" w:color="000000"/>
              <w:left w:val="single" w:sz="8" w:space="0" w:color="000000"/>
              <w:bottom w:val="single" w:sz="8" w:space="0" w:color="000000"/>
              <w:right w:val="single" w:sz="8" w:space="0" w:color="000000"/>
            </w:tcBorders>
            <w:vAlign w:val="center"/>
          </w:tcPr>
          <w:p w:rsidR="00783788" w:rsidRDefault="002C6E18">
            <w:pPr>
              <w:autoSpaceDE w:val="0"/>
              <w:autoSpaceDN w:val="0"/>
              <w:adjustRightInd w:val="0"/>
              <w:spacing w:before="240" w:after="240" w:line="288" w:lineRule="auto"/>
              <w:ind w:left="15"/>
              <w:jc w:val="center"/>
              <w:rPr>
                <w:color w:val="000000"/>
                <w:sz w:val="24"/>
              </w:rPr>
            </w:pPr>
            <w:r>
              <w:rPr>
                <w:color w:val="000000"/>
                <w:sz w:val="24"/>
              </w:rPr>
              <w:t>-0.50%</w:t>
            </w:r>
          </w:p>
        </w:tc>
      </w:tr>
    </w:tbl>
    <w:p w:rsidR="00783788" w:rsidRDefault="00783788">
      <w:pPr>
        <w:adjustRightInd w:val="0"/>
        <w:snapToGrid w:val="0"/>
        <w:spacing w:line="360" w:lineRule="auto"/>
        <w:ind w:firstLineChars="200" w:firstLine="480"/>
        <w:rPr>
          <w:sz w:val="24"/>
          <w:szCs w:val="24"/>
        </w:rPr>
      </w:pPr>
    </w:p>
    <w:p w:rsidR="00783788" w:rsidRDefault="002C6E18">
      <w:pPr>
        <w:pStyle w:val="a6"/>
        <w:spacing w:after="0" w:line="360" w:lineRule="auto"/>
        <w:ind w:rightChars="-85" w:right="-178" w:firstLineChars="200" w:firstLine="480"/>
        <w:rPr>
          <w:sz w:val="24"/>
        </w:rPr>
      </w:pPr>
      <w:r>
        <w:rPr>
          <w:rFonts w:hint="eastAsia"/>
          <w:sz w:val="24"/>
        </w:rPr>
        <w:t>2</w:t>
      </w:r>
      <w:r>
        <w:rPr>
          <w:rFonts w:hint="eastAsia"/>
          <w:sz w:val="24"/>
        </w:rPr>
        <w:t>、</w:t>
      </w:r>
      <w:r>
        <w:rPr>
          <w:sz w:val="24"/>
        </w:rPr>
        <w:t>自基金合同生效以来基金份额累计净值增长率变动及其与同期业绩比较基准收益率变动的比较</w:t>
      </w:r>
    </w:p>
    <w:p w:rsidR="00783788" w:rsidRDefault="002C6E18">
      <w:pPr>
        <w:spacing w:line="288" w:lineRule="auto"/>
        <w:jc w:val="center"/>
        <w:rPr>
          <w:color w:val="000000"/>
          <w:sz w:val="24"/>
        </w:rPr>
      </w:pPr>
      <w:r>
        <w:rPr>
          <w:rFonts w:hint="eastAsia"/>
          <w:color w:val="000000"/>
          <w:sz w:val="24"/>
        </w:rPr>
        <w:t>交银施罗德定期支付双息平衡混合型证券投资基金</w:t>
      </w:r>
    </w:p>
    <w:p w:rsidR="00783788" w:rsidRDefault="002C6E18">
      <w:pPr>
        <w:pStyle w:val="aa"/>
        <w:snapToGrid w:val="0"/>
        <w:spacing w:before="120" w:line="288" w:lineRule="auto"/>
        <w:jc w:val="center"/>
        <w:rPr>
          <w:rFonts w:ascii="Times New Roman" w:hAnsi="Times New Roman"/>
          <w:color w:val="000000"/>
          <w:sz w:val="24"/>
          <w:szCs w:val="24"/>
        </w:rPr>
      </w:pPr>
      <w:r>
        <w:rPr>
          <w:rFonts w:ascii="Times New Roman" w:hAnsi="Times New Roman"/>
          <w:color w:val="000000"/>
          <w:sz w:val="24"/>
          <w:szCs w:val="24"/>
        </w:rPr>
        <w:t>份额累计净值增长率与业绩比较基准收益率历史走势对比图</w:t>
      </w:r>
    </w:p>
    <w:p w:rsidR="00783788" w:rsidRDefault="002C6E18">
      <w:pPr>
        <w:adjustRightInd w:val="0"/>
        <w:snapToGrid w:val="0"/>
        <w:spacing w:line="360" w:lineRule="auto"/>
        <w:ind w:firstLineChars="200" w:firstLine="480"/>
        <w:jc w:val="center"/>
        <w:rPr>
          <w:color w:val="000000"/>
          <w:sz w:val="24"/>
          <w:szCs w:val="24"/>
        </w:rPr>
      </w:pPr>
      <w:r>
        <w:rPr>
          <w:rFonts w:hint="eastAsia"/>
          <w:color w:val="000000"/>
          <w:sz w:val="24"/>
          <w:szCs w:val="24"/>
        </w:rPr>
        <w:t>（</w:t>
      </w:r>
      <w:r>
        <w:rPr>
          <w:rFonts w:hint="eastAsia"/>
          <w:color w:val="000000"/>
          <w:sz w:val="24"/>
          <w:szCs w:val="24"/>
        </w:rPr>
        <w:t>2013</w:t>
      </w:r>
      <w:r>
        <w:rPr>
          <w:rFonts w:hint="eastAsia"/>
          <w:color w:val="000000"/>
          <w:sz w:val="24"/>
          <w:szCs w:val="24"/>
        </w:rPr>
        <w:t>年</w:t>
      </w:r>
      <w:r>
        <w:rPr>
          <w:rFonts w:hint="eastAsia"/>
          <w:color w:val="000000"/>
          <w:sz w:val="24"/>
          <w:szCs w:val="24"/>
        </w:rPr>
        <w:t>9</w:t>
      </w:r>
      <w:r>
        <w:rPr>
          <w:rFonts w:hint="eastAsia"/>
          <w:color w:val="000000"/>
          <w:sz w:val="24"/>
          <w:szCs w:val="24"/>
        </w:rPr>
        <w:t>月</w:t>
      </w:r>
      <w:r>
        <w:rPr>
          <w:rFonts w:hint="eastAsia"/>
          <w:color w:val="000000"/>
          <w:sz w:val="24"/>
          <w:szCs w:val="24"/>
        </w:rPr>
        <w:t>4</w:t>
      </w:r>
      <w:r>
        <w:rPr>
          <w:rFonts w:hint="eastAsia"/>
          <w:color w:val="000000"/>
          <w:sz w:val="24"/>
          <w:szCs w:val="24"/>
        </w:rPr>
        <w:t>日至</w:t>
      </w:r>
      <w:r>
        <w:rPr>
          <w:rFonts w:hint="eastAsia"/>
          <w:color w:val="000000"/>
          <w:sz w:val="24"/>
          <w:szCs w:val="24"/>
        </w:rPr>
        <w:t>2014</w:t>
      </w:r>
      <w:r>
        <w:rPr>
          <w:rFonts w:hint="eastAsia"/>
          <w:color w:val="000000"/>
          <w:sz w:val="24"/>
          <w:szCs w:val="24"/>
        </w:rPr>
        <w:t>年</w:t>
      </w:r>
      <w:r>
        <w:rPr>
          <w:color w:val="000000"/>
          <w:sz w:val="24"/>
          <w:szCs w:val="24"/>
        </w:rPr>
        <w:t>12</w:t>
      </w:r>
      <w:r>
        <w:rPr>
          <w:rFonts w:hint="eastAsia"/>
          <w:color w:val="000000"/>
          <w:sz w:val="24"/>
          <w:szCs w:val="24"/>
        </w:rPr>
        <w:t>月</w:t>
      </w:r>
      <w:r>
        <w:rPr>
          <w:rFonts w:hint="eastAsia"/>
          <w:color w:val="000000"/>
          <w:sz w:val="24"/>
          <w:szCs w:val="24"/>
        </w:rPr>
        <w:t>3</w:t>
      </w:r>
      <w:r>
        <w:rPr>
          <w:color w:val="000000"/>
          <w:sz w:val="24"/>
          <w:szCs w:val="24"/>
        </w:rPr>
        <w:t>1</w:t>
      </w:r>
      <w:r>
        <w:rPr>
          <w:rFonts w:hint="eastAsia"/>
          <w:color w:val="000000"/>
          <w:sz w:val="24"/>
          <w:szCs w:val="24"/>
        </w:rPr>
        <w:t>日）</w:t>
      </w:r>
    </w:p>
    <w:p w:rsidR="00783788" w:rsidRDefault="003E6104">
      <w:pPr>
        <w:pStyle w:val="aa"/>
        <w:snapToGrid w:val="0"/>
        <w:spacing w:before="29" w:line="288" w:lineRule="auto"/>
        <w:jc w:val="center"/>
        <w:rPr>
          <w:rFonts w:ascii="Times New Roman" w:hAnsi="Times New Roman"/>
          <w:color w:val="000000"/>
          <w:sz w:val="24"/>
          <w:szCs w:val="24"/>
        </w:rPr>
      </w:pPr>
      <w:r>
        <w:rPr>
          <w:rFonts w:ascii="Times New Roman" w:hAnsi="Times New Roman"/>
          <w:color w:val="000000"/>
          <w:sz w:val="24"/>
          <w:szCs w:val="24"/>
        </w:rPr>
        <w:pict>
          <v:shape id="_x0000_i1029" type="#_x0000_t75" style="width:451.5pt;height:264pt">
            <v:imagedata r:id="rId16" o:title=""/>
          </v:shape>
        </w:pict>
      </w:r>
    </w:p>
    <w:p w:rsidR="00783788" w:rsidRDefault="002C6E18">
      <w:pPr>
        <w:autoSpaceDE w:val="0"/>
        <w:autoSpaceDN w:val="0"/>
        <w:adjustRightInd w:val="0"/>
        <w:spacing w:before="29" w:line="288" w:lineRule="auto"/>
        <w:jc w:val="left"/>
        <w:rPr>
          <w:color w:val="000000"/>
          <w:sz w:val="24"/>
          <w:szCs w:val="24"/>
        </w:rPr>
      </w:pPr>
      <w:r>
        <w:rPr>
          <w:color w:val="000000"/>
          <w:sz w:val="24"/>
          <w:szCs w:val="24"/>
        </w:rPr>
        <w:t>注：</w:t>
      </w:r>
      <w:r>
        <w:rPr>
          <w:rFonts w:hint="eastAsia"/>
          <w:color w:val="000000"/>
          <w:sz w:val="24"/>
          <w:szCs w:val="24"/>
        </w:rPr>
        <w:t>本基金基金合同生效日为</w:t>
      </w:r>
      <w:r>
        <w:rPr>
          <w:color w:val="000000"/>
          <w:sz w:val="24"/>
          <w:szCs w:val="24"/>
        </w:rPr>
        <w:t>2013</w:t>
      </w:r>
      <w:r>
        <w:rPr>
          <w:rFonts w:hint="eastAsia"/>
          <w:color w:val="000000"/>
          <w:sz w:val="24"/>
          <w:szCs w:val="24"/>
        </w:rPr>
        <w:t>年</w:t>
      </w:r>
      <w:r>
        <w:rPr>
          <w:color w:val="000000"/>
          <w:sz w:val="24"/>
          <w:szCs w:val="24"/>
        </w:rPr>
        <w:t>9</w:t>
      </w:r>
      <w:r>
        <w:rPr>
          <w:rFonts w:hint="eastAsia"/>
          <w:color w:val="000000"/>
          <w:sz w:val="24"/>
          <w:szCs w:val="24"/>
        </w:rPr>
        <w:t>月</w:t>
      </w:r>
      <w:r>
        <w:rPr>
          <w:color w:val="000000"/>
          <w:sz w:val="24"/>
          <w:szCs w:val="24"/>
        </w:rPr>
        <w:t>4</w:t>
      </w:r>
      <w:r>
        <w:rPr>
          <w:rFonts w:hint="eastAsia"/>
          <w:color w:val="000000"/>
          <w:sz w:val="24"/>
          <w:szCs w:val="24"/>
        </w:rPr>
        <w:t>日，截至报告期期末，本基金已完成建仓但报告期期末距建仓结束未满一年。本基金建仓期为自基金合同生效日起的</w:t>
      </w:r>
      <w:r>
        <w:rPr>
          <w:color w:val="000000"/>
          <w:sz w:val="24"/>
          <w:szCs w:val="24"/>
        </w:rPr>
        <w:t>6</w:t>
      </w:r>
      <w:r>
        <w:rPr>
          <w:rFonts w:hint="eastAsia"/>
          <w:color w:val="000000"/>
          <w:sz w:val="24"/>
          <w:szCs w:val="24"/>
        </w:rPr>
        <w:t>个月。截至建仓期结束，本基金各项资产配置比例符合基金合同及招募说明书有关投资比例的约定。</w:t>
      </w:r>
    </w:p>
    <w:p w:rsidR="00783788" w:rsidRDefault="002C6E18">
      <w:pPr>
        <w:widowControl/>
        <w:adjustRightInd w:val="0"/>
        <w:snapToGrid w:val="0"/>
        <w:spacing w:beforeLines="100" w:before="240" w:afterLines="50" w:after="120" w:line="360" w:lineRule="auto"/>
        <w:jc w:val="center"/>
        <w:outlineLvl w:val="0"/>
        <w:rPr>
          <w:rFonts w:ascii="宋体" w:hAnsi="宋体"/>
          <w:b/>
          <w:kern w:val="0"/>
          <w:sz w:val="30"/>
        </w:rPr>
      </w:pPr>
      <w:bookmarkStart w:id="75" w:name="_Toc382321324"/>
      <w:r>
        <w:rPr>
          <w:rFonts w:ascii="宋体" w:hAnsi="宋体" w:hint="eastAsia"/>
          <w:b/>
          <w:kern w:val="0"/>
          <w:sz w:val="30"/>
        </w:rPr>
        <w:t>十三、基金的财产</w:t>
      </w:r>
      <w:bookmarkEnd w:id="75"/>
    </w:p>
    <w:p w:rsidR="00783788" w:rsidRDefault="002C6E18">
      <w:pPr>
        <w:widowControl/>
        <w:adjustRightInd w:val="0"/>
        <w:snapToGrid w:val="0"/>
        <w:spacing w:line="360" w:lineRule="auto"/>
        <w:ind w:firstLineChars="200" w:firstLine="482"/>
        <w:outlineLvl w:val="1"/>
        <w:rPr>
          <w:b/>
          <w:kern w:val="0"/>
          <w:sz w:val="24"/>
        </w:rPr>
      </w:pPr>
      <w:r>
        <w:rPr>
          <w:b/>
          <w:kern w:val="0"/>
          <w:sz w:val="24"/>
        </w:rPr>
        <w:t>（一）基金资产总值</w:t>
      </w:r>
      <w:r>
        <w:rPr>
          <w:b/>
          <w:kern w:val="0"/>
          <w:sz w:val="24"/>
        </w:rPr>
        <w:t xml:space="preserve"> </w:t>
      </w:r>
    </w:p>
    <w:p w:rsidR="00783788" w:rsidRDefault="002C6E18">
      <w:pPr>
        <w:widowControl/>
        <w:adjustRightInd w:val="0"/>
        <w:snapToGrid w:val="0"/>
        <w:spacing w:line="360" w:lineRule="auto"/>
        <w:ind w:firstLineChars="200" w:firstLine="480"/>
        <w:rPr>
          <w:kern w:val="0"/>
          <w:sz w:val="24"/>
        </w:rPr>
      </w:pPr>
      <w:r>
        <w:rPr>
          <w:sz w:val="24"/>
          <w:szCs w:val="21"/>
        </w:rPr>
        <w:t>基金资产总值是指</w:t>
      </w:r>
      <w:r>
        <w:rPr>
          <w:bCs/>
          <w:sz w:val="24"/>
        </w:rPr>
        <w:t>基金拥有的各类有价证券、银行存款本息、基金应收申购款及其他资产的价值总和</w:t>
      </w:r>
      <w:bookmarkStart w:id="76" w:name="_Toc311810245"/>
      <w:bookmarkEnd w:id="72"/>
      <w:r>
        <w:rPr>
          <w:sz w:val="24"/>
          <w:szCs w:val="21"/>
        </w:rPr>
        <w:t>。</w:t>
      </w:r>
    </w:p>
    <w:p w:rsidR="00783788" w:rsidRDefault="002C6E18">
      <w:pPr>
        <w:widowControl/>
        <w:adjustRightInd w:val="0"/>
        <w:snapToGrid w:val="0"/>
        <w:spacing w:line="360" w:lineRule="auto"/>
        <w:ind w:firstLineChars="200" w:firstLine="482"/>
        <w:outlineLvl w:val="1"/>
        <w:rPr>
          <w:b/>
          <w:kern w:val="0"/>
          <w:sz w:val="24"/>
        </w:rPr>
      </w:pPr>
      <w:r>
        <w:rPr>
          <w:b/>
          <w:kern w:val="0"/>
          <w:sz w:val="24"/>
        </w:rPr>
        <w:t>（二）基金资</w:t>
      </w:r>
      <w:bookmarkEnd w:id="76"/>
      <w:r>
        <w:rPr>
          <w:b/>
          <w:kern w:val="0"/>
          <w:sz w:val="24"/>
        </w:rPr>
        <w:t>产</w:t>
      </w:r>
      <w:bookmarkEnd w:id="70"/>
      <w:bookmarkEnd w:id="71"/>
      <w:r>
        <w:rPr>
          <w:b/>
          <w:kern w:val="0"/>
          <w:sz w:val="24"/>
        </w:rPr>
        <w:t>净</w:t>
      </w:r>
      <w:bookmarkStart w:id="77" w:name="_Toc109537391"/>
      <w:r>
        <w:rPr>
          <w:b/>
          <w:kern w:val="0"/>
          <w:sz w:val="24"/>
        </w:rPr>
        <w:t>值</w:t>
      </w:r>
      <w:r>
        <w:rPr>
          <w:b/>
          <w:kern w:val="0"/>
          <w:sz w:val="24"/>
        </w:rPr>
        <w:t xml:space="preserve"> </w:t>
      </w:r>
    </w:p>
    <w:p w:rsidR="00783788" w:rsidRDefault="002C6E18">
      <w:pPr>
        <w:widowControl/>
        <w:adjustRightInd w:val="0"/>
        <w:snapToGrid w:val="0"/>
        <w:spacing w:line="360" w:lineRule="auto"/>
        <w:ind w:firstLine="200"/>
        <w:rPr>
          <w:kern w:val="0"/>
          <w:sz w:val="24"/>
        </w:rPr>
      </w:pPr>
      <w:r>
        <w:rPr>
          <w:kern w:val="0"/>
          <w:sz w:val="24"/>
        </w:rPr>
        <w:t xml:space="preserve">    </w:t>
      </w:r>
      <w:r>
        <w:rPr>
          <w:kern w:val="0"/>
          <w:sz w:val="24"/>
        </w:rPr>
        <w:t>基</w:t>
      </w:r>
      <w:bookmarkEnd w:id="77"/>
      <w:r>
        <w:rPr>
          <w:kern w:val="0"/>
          <w:sz w:val="24"/>
        </w:rPr>
        <w:t>金资产净值是指基金资产总值</w:t>
      </w:r>
      <w:bookmarkStart w:id="78" w:name="_Toc79392635"/>
      <w:bookmarkStart w:id="79" w:name="_Toc79556449"/>
      <w:r>
        <w:rPr>
          <w:kern w:val="0"/>
          <w:sz w:val="24"/>
        </w:rPr>
        <w:t>减去基金负债后的价值。</w:t>
      </w:r>
    </w:p>
    <w:p w:rsidR="00783788" w:rsidRDefault="002C6E18">
      <w:pPr>
        <w:widowControl/>
        <w:adjustRightInd w:val="0"/>
        <w:snapToGrid w:val="0"/>
        <w:spacing w:line="360" w:lineRule="auto"/>
        <w:ind w:firstLineChars="200" w:firstLine="482"/>
        <w:outlineLvl w:val="1"/>
        <w:rPr>
          <w:b/>
          <w:kern w:val="0"/>
          <w:sz w:val="24"/>
        </w:rPr>
      </w:pPr>
      <w:r>
        <w:rPr>
          <w:b/>
          <w:kern w:val="0"/>
          <w:sz w:val="24"/>
        </w:rPr>
        <w:t>（三）基金财产的账户</w:t>
      </w:r>
      <w:r>
        <w:rPr>
          <w:b/>
          <w:kern w:val="0"/>
          <w:sz w:val="24"/>
        </w:rPr>
        <w:t xml:space="preserve"> </w:t>
      </w:r>
    </w:p>
    <w:p w:rsidR="00783788" w:rsidRDefault="002C6E18">
      <w:pPr>
        <w:widowControl/>
        <w:adjustRightInd w:val="0"/>
        <w:snapToGrid w:val="0"/>
        <w:spacing w:line="360" w:lineRule="auto"/>
        <w:ind w:firstLineChars="200" w:firstLine="480"/>
        <w:rPr>
          <w:kern w:val="0"/>
          <w:sz w:val="24"/>
        </w:rPr>
      </w:pPr>
      <w:r>
        <w:rPr>
          <w:bCs/>
          <w:sz w:val="24"/>
        </w:rPr>
        <w:t>基金托管人根据相关法律法规、规范性文件为本基金开立资金账户、证券账户以及投资所需的其他专用账户。开立的基金专用账户与基金管理人、基</w:t>
      </w:r>
      <w:bookmarkEnd w:id="78"/>
      <w:bookmarkEnd w:id="79"/>
      <w:r>
        <w:rPr>
          <w:bCs/>
          <w:sz w:val="24"/>
        </w:rPr>
        <w:t>金托管人、基金销售机构和基金登记机构自有的财产账户以及其他基金财产账户相独立。</w:t>
      </w:r>
    </w:p>
    <w:p w:rsidR="00783788" w:rsidRDefault="002C6E18">
      <w:pPr>
        <w:widowControl/>
        <w:adjustRightInd w:val="0"/>
        <w:snapToGrid w:val="0"/>
        <w:spacing w:line="360" w:lineRule="auto"/>
        <w:ind w:firstLineChars="200" w:firstLine="482"/>
        <w:outlineLvl w:val="1"/>
        <w:rPr>
          <w:b/>
          <w:kern w:val="0"/>
          <w:sz w:val="24"/>
        </w:rPr>
      </w:pPr>
      <w:r>
        <w:rPr>
          <w:b/>
          <w:kern w:val="0"/>
          <w:sz w:val="24"/>
        </w:rPr>
        <w:t>（四）基金财产的保管和处分</w:t>
      </w:r>
      <w:r>
        <w:rPr>
          <w:b/>
          <w:kern w:val="0"/>
          <w:sz w:val="24"/>
        </w:rPr>
        <w:t xml:space="preserve"> </w:t>
      </w:r>
    </w:p>
    <w:p w:rsidR="00783788" w:rsidRDefault="002C6E18">
      <w:pPr>
        <w:widowControl/>
        <w:adjustRightInd w:val="0"/>
        <w:snapToGrid w:val="0"/>
        <w:spacing w:line="360" w:lineRule="auto"/>
        <w:ind w:firstLineChars="200" w:firstLine="480"/>
        <w:outlineLvl w:val="1"/>
        <w:rPr>
          <w:sz w:val="24"/>
        </w:rPr>
      </w:pPr>
      <w:r>
        <w:rPr>
          <w:sz w:val="24"/>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w:t>
      </w:r>
      <w:bookmarkStart w:id="80" w:name="_Hlt88900045"/>
      <w:bookmarkEnd w:id="80"/>
      <w:r>
        <w:rPr>
          <w:sz w:val="24"/>
        </w:rPr>
        <w:t>押或其他权利。除依法律法规和基金合同的规定处分外，基金财产不得被处分。</w:t>
      </w:r>
    </w:p>
    <w:p w:rsidR="00783788" w:rsidRDefault="002C6E18">
      <w:pPr>
        <w:widowControl/>
        <w:adjustRightInd w:val="0"/>
        <w:snapToGrid w:val="0"/>
        <w:spacing w:line="360" w:lineRule="auto"/>
        <w:ind w:firstLineChars="200" w:firstLine="480"/>
        <w:rPr>
          <w:kern w:val="0"/>
          <w:sz w:val="24"/>
        </w:rPr>
      </w:pPr>
      <w:r>
        <w:rPr>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p>
    <w:p w:rsidR="00783788" w:rsidRDefault="00783788">
      <w:pPr>
        <w:widowControl/>
        <w:adjustRightInd w:val="0"/>
        <w:snapToGrid w:val="0"/>
        <w:spacing w:line="360" w:lineRule="auto"/>
        <w:ind w:firstLineChars="200" w:firstLine="480"/>
        <w:rPr>
          <w:kern w:val="0"/>
          <w:sz w:val="24"/>
        </w:rPr>
      </w:pPr>
    </w:p>
    <w:p w:rsidR="00783788" w:rsidRDefault="002C6E18">
      <w:pPr>
        <w:widowControl/>
        <w:adjustRightInd w:val="0"/>
        <w:snapToGrid w:val="0"/>
        <w:spacing w:beforeLines="100" w:before="240" w:afterLines="50" w:after="120" w:line="360" w:lineRule="auto"/>
        <w:jc w:val="center"/>
        <w:outlineLvl w:val="0"/>
        <w:rPr>
          <w:rFonts w:ascii="宋体" w:hAnsi="宋体"/>
          <w:b/>
          <w:kern w:val="0"/>
          <w:sz w:val="30"/>
        </w:rPr>
      </w:pPr>
      <w:bookmarkStart w:id="81" w:name="_Toc382321325"/>
      <w:r>
        <w:rPr>
          <w:rFonts w:ascii="宋体" w:hAnsi="宋体" w:hint="eastAsia"/>
          <w:b/>
          <w:kern w:val="0"/>
          <w:sz w:val="30"/>
        </w:rPr>
        <w:t>十四、基金资产的估值</w:t>
      </w:r>
      <w:bookmarkEnd w:id="81"/>
    </w:p>
    <w:p w:rsidR="00783788" w:rsidRDefault="002C6E18">
      <w:pPr>
        <w:adjustRightInd w:val="0"/>
        <w:snapToGrid w:val="0"/>
        <w:spacing w:line="360" w:lineRule="auto"/>
        <w:ind w:firstLineChars="200" w:firstLine="482"/>
        <w:rPr>
          <w:b/>
          <w:sz w:val="24"/>
          <w:szCs w:val="24"/>
        </w:rPr>
      </w:pPr>
      <w:r>
        <w:rPr>
          <w:rFonts w:hAnsi="宋体"/>
          <w:b/>
          <w:sz w:val="24"/>
          <w:szCs w:val="24"/>
        </w:rPr>
        <w:t>（一）估值日</w:t>
      </w:r>
    </w:p>
    <w:p w:rsidR="00783788" w:rsidRDefault="002C6E18">
      <w:pPr>
        <w:adjustRightInd w:val="0"/>
        <w:snapToGrid w:val="0"/>
        <w:spacing w:line="360" w:lineRule="auto"/>
        <w:ind w:firstLineChars="200" w:firstLine="480"/>
        <w:rPr>
          <w:sz w:val="24"/>
          <w:szCs w:val="24"/>
        </w:rPr>
      </w:pPr>
      <w:r>
        <w:rPr>
          <w:rFonts w:hAnsi="宋体"/>
          <w:sz w:val="24"/>
          <w:szCs w:val="24"/>
        </w:rPr>
        <w:t>本基金的估值日为本基金相关的证券交易场所的交易日以及国家法律法规规定需要对外披露基金净值的非交易日。</w:t>
      </w:r>
    </w:p>
    <w:p w:rsidR="00783788" w:rsidRDefault="002C6E18">
      <w:pPr>
        <w:adjustRightInd w:val="0"/>
        <w:snapToGrid w:val="0"/>
        <w:spacing w:line="360" w:lineRule="auto"/>
        <w:ind w:firstLineChars="200" w:firstLine="482"/>
        <w:rPr>
          <w:b/>
          <w:bCs/>
          <w:sz w:val="24"/>
          <w:szCs w:val="24"/>
        </w:rPr>
      </w:pPr>
      <w:r>
        <w:rPr>
          <w:rFonts w:hAnsi="宋体"/>
          <w:b/>
          <w:bCs/>
          <w:sz w:val="24"/>
          <w:szCs w:val="24"/>
        </w:rPr>
        <w:t>（二）估值对象</w:t>
      </w:r>
    </w:p>
    <w:p w:rsidR="00783788" w:rsidRDefault="002C6E18">
      <w:pPr>
        <w:adjustRightInd w:val="0"/>
        <w:snapToGrid w:val="0"/>
        <w:spacing w:line="360" w:lineRule="auto"/>
        <w:ind w:firstLineChars="200" w:firstLine="480"/>
        <w:rPr>
          <w:sz w:val="24"/>
          <w:szCs w:val="24"/>
        </w:rPr>
      </w:pPr>
      <w:r>
        <w:rPr>
          <w:rFonts w:hAnsi="宋体"/>
          <w:bCs/>
          <w:sz w:val="24"/>
          <w:szCs w:val="24"/>
        </w:rPr>
        <w:t>基金所拥有的股票、权证、债券和银行存款本息、应收款项、其它投资等资产及负债。</w:t>
      </w:r>
    </w:p>
    <w:p w:rsidR="00783788" w:rsidRDefault="002C6E18">
      <w:pPr>
        <w:adjustRightInd w:val="0"/>
        <w:snapToGrid w:val="0"/>
        <w:spacing w:line="360" w:lineRule="auto"/>
        <w:ind w:firstLineChars="200" w:firstLine="482"/>
        <w:rPr>
          <w:b/>
          <w:sz w:val="24"/>
          <w:szCs w:val="24"/>
        </w:rPr>
      </w:pPr>
      <w:r>
        <w:rPr>
          <w:rFonts w:hAnsi="宋体"/>
          <w:b/>
          <w:sz w:val="24"/>
          <w:szCs w:val="24"/>
        </w:rPr>
        <w:t>（三）估值方法</w:t>
      </w:r>
    </w:p>
    <w:p w:rsidR="00783788" w:rsidRDefault="002C6E18">
      <w:pPr>
        <w:adjustRightInd w:val="0"/>
        <w:snapToGrid w:val="0"/>
        <w:spacing w:line="360" w:lineRule="auto"/>
        <w:ind w:firstLineChars="200" w:firstLine="480"/>
        <w:rPr>
          <w:sz w:val="24"/>
          <w:szCs w:val="24"/>
        </w:rPr>
      </w:pPr>
      <w:r>
        <w:rPr>
          <w:sz w:val="24"/>
          <w:szCs w:val="24"/>
        </w:rPr>
        <w:t>1</w:t>
      </w:r>
      <w:r>
        <w:rPr>
          <w:rFonts w:hAnsi="宋体"/>
          <w:sz w:val="24"/>
          <w:szCs w:val="24"/>
        </w:rPr>
        <w:t>、证券交易所上市的有价证券的估值</w:t>
      </w:r>
    </w:p>
    <w:p w:rsidR="00783788" w:rsidRDefault="002C6E18">
      <w:pPr>
        <w:adjustRightInd w:val="0"/>
        <w:snapToGrid w:val="0"/>
        <w:spacing w:line="360" w:lineRule="auto"/>
        <w:ind w:firstLineChars="200" w:firstLine="480"/>
        <w:rPr>
          <w:sz w:val="24"/>
          <w:szCs w:val="24"/>
        </w:rPr>
      </w:pPr>
      <w:r>
        <w:rPr>
          <w:rFonts w:hAnsi="宋体"/>
          <w:bCs/>
          <w:sz w:val="24"/>
          <w:szCs w:val="24"/>
        </w:rPr>
        <w:t>（</w:t>
      </w:r>
      <w:r>
        <w:rPr>
          <w:bCs/>
          <w:sz w:val="24"/>
          <w:szCs w:val="24"/>
        </w:rPr>
        <w:t>1</w:t>
      </w:r>
      <w:r>
        <w:rPr>
          <w:rFonts w:hAnsi="宋体"/>
          <w:bCs/>
          <w:sz w:val="24"/>
          <w:szCs w:val="24"/>
        </w:rPr>
        <w:t>）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783788" w:rsidRDefault="002C6E18">
      <w:pPr>
        <w:adjustRightInd w:val="0"/>
        <w:snapToGrid w:val="0"/>
        <w:spacing w:line="360" w:lineRule="auto"/>
        <w:ind w:firstLineChars="200" w:firstLine="480"/>
        <w:rPr>
          <w:sz w:val="24"/>
          <w:szCs w:val="24"/>
        </w:rPr>
      </w:pPr>
      <w:r>
        <w:rPr>
          <w:rFonts w:hAnsi="宋体"/>
          <w:sz w:val="24"/>
          <w:szCs w:val="24"/>
        </w:rPr>
        <w:t>（</w:t>
      </w:r>
      <w:r>
        <w:rPr>
          <w:sz w:val="24"/>
          <w:szCs w:val="24"/>
        </w:rPr>
        <w:t>2</w:t>
      </w:r>
      <w:r>
        <w:rPr>
          <w:rFonts w:hAnsi="宋体"/>
          <w:sz w:val="24"/>
          <w:szCs w:val="24"/>
        </w:rPr>
        <w:t>）交易所上市实行净价交易的债券按估值日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w:t>
      </w:r>
    </w:p>
    <w:p w:rsidR="00783788" w:rsidRDefault="002C6E18">
      <w:pPr>
        <w:adjustRightInd w:val="0"/>
        <w:snapToGrid w:val="0"/>
        <w:spacing w:line="360" w:lineRule="auto"/>
        <w:ind w:firstLineChars="200" w:firstLine="480"/>
        <w:rPr>
          <w:sz w:val="24"/>
          <w:szCs w:val="24"/>
        </w:rPr>
      </w:pPr>
      <w:r>
        <w:rPr>
          <w:rFonts w:hAnsi="宋体"/>
          <w:sz w:val="24"/>
          <w:szCs w:val="24"/>
        </w:rPr>
        <w:t>（</w:t>
      </w:r>
      <w:r>
        <w:rPr>
          <w:sz w:val="24"/>
          <w:szCs w:val="24"/>
        </w:rPr>
        <w:t>3</w:t>
      </w:r>
      <w:r>
        <w:rPr>
          <w:rFonts w:hAnsi="宋体"/>
          <w:sz w:val="24"/>
          <w:szCs w:val="24"/>
        </w:rPr>
        <w:t>）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rsidR="00783788" w:rsidRDefault="002C6E18">
      <w:pPr>
        <w:adjustRightInd w:val="0"/>
        <w:snapToGrid w:val="0"/>
        <w:spacing w:line="360" w:lineRule="auto"/>
        <w:ind w:firstLineChars="200" w:firstLine="480"/>
        <w:rPr>
          <w:sz w:val="24"/>
          <w:szCs w:val="24"/>
        </w:rPr>
      </w:pPr>
      <w:r>
        <w:rPr>
          <w:rFonts w:hAnsi="宋体"/>
          <w:sz w:val="24"/>
          <w:szCs w:val="24"/>
        </w:rPr>
        <w:t>（</w:t>
      </w:r>
      <w:r>
        <w:rPr>
          <w:sz w:val="24"/>
          <w:szCs w:val="24"/>
        </w:rPr>
        <w:t>4</w:t>
      </w:r>
      <w:r>
        <w:rPr>
          <w:rFonts w:hAnsi="宋体"/>
          <w:sz w:val="24"/>
          <w:szCs w:val="24"/>
        </w:rPr>
        <w:t>）交易所上市不存在活跃市场的有价证券，采用估值技术确定公允价值。交易所上市的资产支持证券，采用估值技术确定公允价值，在估值技术难以可靠计量公允价值的情况下，按成本估值。</w:t>
      </w:r>
    </w:p>
    <w:p w:rsidR="00783788" w:rsidRDefault="002C6E18">
      <w:pPr>
        <w:adjustRightInd w:val="0"/>
        <w:snapToGrid w:val="0"/>
        <w:spacing w:line="360" w:lineRule="auto"/>
        <w:ind w:firstLineChars="200" w:firstLine="480"/>
        <w:rPr>
          <w:sz w:val="24"/>
          <w:szCs w:val="24"/>
        </w:rPr>
      </w:pPr>
      <w:r>
        <w:rPr>
          <w:sz w:val="24"/>
          <w:szCs w:val="24"/>
        </w:rPr>
        <w:t>2</w:t>
      </w:r>
      <w:r>
        <w:rPr>
          <w:rFonts w:hAnsi="宋体"/>
          <w:sz w:val="24"/>
          <w:szCs w:val="24"/>
        </w:rPr>
        <w:t>、处于未上市期间的有价证券应区分如下情况处理：</w:t>
      </w:r>
    </w:p>
    <w:p w:rsidR="00783788" w:rsidRDefault="002C6E18">
      <w:pPr>
        <w:adjustRightInd w:val="0"/>
        <w:snapToGrid w:val="0"/>
        <w:spacing w:line="360" w:lineRule="auto"/>
        <w:ind w:firstLineChars="200" w:firstLine="480"/>
        <w:rPr>
          <w:sz w:val="24"/>
          <w:szCs w:val="24"/>
        </w:rPr>
      </w:pPr>
      <w:r>
        <w:rPr>
          <w:rFonts w:hAnsi="宋体"/>
          <w:sz w:val="24"/>
          <w:szCs w:val="24"/>
        </w:rPr>
        <w:t>（</w:t>
      </w:r>
      <w:r>
        <w:rPr>
          <w:sz w:val="24"/>
          <w:szCs w:val="24"/>
        </w:rPr>
        <w:t>1</w:t>
      </w:r>
      <w:r>
        <w:rPr>
          <w:rFonts w:hAnsi="宋体"/>
          <w:sz w:val="24"/>
          <w:szCs w:val="24"/>
        </w:rPr>
        <w:t>）送股、转增股、配股和公开增发的新股，按估值日在证券交易所挂牌的同一股票的估值方法估值；</w:t>
      </w:r>
    </w:p>
    <w:p w:rsidR="00783788" w:rsidRDefault="002C6E18">
      <w:pPr>
        <w:adjustRightInd w:val="0"/>
        <w:snapToGrid w:val="0"/>
        <w:spacing w:line="360" w:lineRule="auto"/>
        <w:ind w:firstLineChars="200" w:firstLine="480"/>
        <w:rPr>
          <w:sz w:val="24"/>
          <w:szCs w:val="24"/>
        </w:rPr>
      </w:pPr>
      <w:r>
        <w:rPr>
          <w:rFonts w:hAnsi="宋体"/>
          <w:sz w:val="24"/>
          <w:szCs w:val="24"/>
        </w:rPr>
        <w:t>（</w:t>
      </w:r>
      <w:r>
        <w:rPr>
          <w:sz w:val="24"/>
          <w:szCs w:val="24"/>
        </w:rPr>
        <w:t>2</w:t>
      </w:r>
      <w:r>
        <w:rPr>
          <w:rFonts w:hAnsi="宋体"/>
          <w:sz w:val="24"/>
          <w:szCs w:val="24"/>
        </w:rPr>
        <w:t>）首次公开发行未上市的股票、债券和权证，采用估值技术确定公允价值，在估值技术难以可靠计量公允价值的情况下，按成本估值；</w:t>
      </w:r>
    </w:p>
    <w:p w:rsidR="00783788" w:rsidRDefault="002C6E18">
      <w:pPr>
        <w:adjustRightInd w:val="0"/>
        <w:snapToGrid w:val="0"/>
        <w:spacing w:line="360" w:lineRule="auto"/>
        <w:ind w:firstLineChars="200" w:firstLine="480"/>
        <w:rPr>
          <w:sz w:val="24"/>
          <w:szCs w:val="24"/>
        </w:rPr>
      </w:pPr>
      <w:r>
        <w:rPr>
          <w:rFonts w:hAnsi="宋体"/>
          <w:sz w:val="24"/>
          <w:szCs w:val="24"/>
        </w:rPr>
        <w:t>（</w:t>
      </w:r>
      <w:r>
        <w:rPr>
          <w:sz w:val="24"/>
          <w:szCs w:val="24"/>
        </w:rPr>
        <w:t>3</w:t>
      </w:r>
      <w:r>
        <w:rPr>
          <w:rFonts w:hAnsi="宋体"/>
          <w:sz w:val="24"/>
          <w:szCs w:val="24"/>
        </w:rPr>
        <w:t>）首次公开发行有明确锁定期的股票，同一股票在交易所上市后，按交易所上市的同一股票的估值方法估值；非公开发行有明确锁定期的股票，按监管机构或行业协会有关规定确定公允价值。</w:t>
      </w:r>
    </w:p>
    <w:p w:rsidR="00783788" w:rsidRDefault="002C6E18">
      <w:pPr>
        <w:adjustRightInd w:val="0"/>
        <w:snapToGrid w:val="0"/>
        <w:spacing w:line="360" w:lineRule="auto"/>
        <w:ind w:firstLineChars="200" w:firstLine="480"/>
        <w:rPr>
          <w:sz w:val="24"/>
          <w:szCs w:val="24"/>
        </w:rPr>
      </w:pPr>
      <w:r>
        <w:rPr>
          <w:sz w:val="24"/>
          <w:szCs w:val="24"/>
        </w:rPr>
        <w:t>3</w:t>
      </w:r>
      <w:r>
        <w:rPr>
          <w:rFonts w:hAnsi="宋体"/>
          <w:sz w:val="24"/>
          <w:szCs w:val="24"/>
        </w:rPr>
        <w:t>、全国银行间债券市场交易的债券、资产支持证券等固定收益品种，采用估值技术确定公允价值。</w:t>
      </w:r>
    </w:p>
    <w:p w:rsidR="00783788" w:rsidRDefault="002C6E18">
      <w:pPr>
        <w:adjustRightInd w:val="0"/>
        <w:snapToGrid w:val="0"/>
        <w:spacing w:line="360" w:lineRule="auto"/>
        <w:ind w:firstLineChars="200" w:firstLine="480"/>
        <w:rPr>
          <w:sz w:val="24"/>
          <w:szCs w:val="24"/>
        </w:rPr>
      </w:pPr>
      <w:r>
        <w:rPr>
          <w:sz w:val="24"/>
          <w:szCs w:val="24"/>
        </w:rPr>
        <w:t>4</w:t>
      </w:r>
      <w:r>
        <w:rPr>
          <w:rFonts w:hAnsi="宋体"/>
          <w:sz w:val="24"/>
          <w:szCs w:val="24"/>
        </w:rPr>
        <w:t>、同一债券同时在两个或两个以上市场交易的，按债券所处的市场分别估值。</w:t>
      </w:r>
    </w:p>
    <w:p w:rsidR="00783788" w:rsidRDefault="002C6E18">
      <w:pPr>
        <w:adjustRightInd w:val="0"/>
        <w:snapToGrid w:val="0"/>
        <w:spacing w:line="360" w:lineRule="auto"/>
        <w:ind w:firstLineChars="200" w:firstLine="480"/>
        <w:rPr>
          <w:sz w:val="24"/>
          <w:szCs w:val="24"/>
        </w:rPr>
      </w:pPr>
      <w:r>
        <w:rPr>
          <w:sz w:val="24"/>
          <w:szCs w:val="24"/>
        </w:rPr>
        <w:t>5</w:t>
      </w:r>
      <w:r>
        <w:rPr>
          <w:rFonts w:hAnsi="宋体"/>
          <w:sz w:val="24"/>
          <w:szCs w:val="24"/>
        </w:rPr>
        <w:t>、如有确凿证据表明按上述方法进行估值不能客观反映其公允价值的，基金管理人可根据具体情况与基金托管人商定后，按最能反映公允价值的价格估值。</w:t>
      </w:r>
    </w:p>
    <w:p w:rsidR="00783788" w:rsidRDefault="002C6E18">
      <w:pPr>
        <w:adjustRightInd w:val="0"/>
        <w:snapToGrid w:val="0"/>
        <w:spacing w:line="360" w:lineRule="auto"/>
        <w:ind w:firstLineChars="200" w:firstLine="480"/>
        <w:rPr>
          <w:sz w:val="24"/>
          <w:szCs w:val="24"/>
        </w:rPr>
      </w:pPr>
      <w:r>
        <w:rPr>
          <w:sz w:val="24"/>
          <w:szCs w:val="24"/>
        </w:rPr>
        <w:t>6</w:t>
      </w:r>
      <w:r>
        <w:rPr>
          <w:rFonts w:hAnsi="宋体"/>
          <w:sz w:val="24"/>
          <w:szCs w:val="24"/>
        </w:rPr>
        <w:t>、相关法律法规以及监管部门有强制规定的，从其规定。如有新增事项，按国家最新规定估值。</w:t>
      </w:r>
    </w:p>
    <w:p w:rsidR="00783788" w:rsidRDefault="002C6E18">
      <w:pPr>
        <w:adjustRightInd w:val="0"/>
        <w:snapToGrid w:val="0"/>
        <w:spacing w:line="360" w:lineRule="auto"/>
        <w:ind w:firstLineChars="200" w:firstLine="480"/>
        <w:rPr>
          <w:rStyle w:val="read"/>
          <w:sz w:val="24"/>
          <w:szCs w:val="24"/>
        </w:rPr>
      </w:pPr>
      <w:r>
        <w:rPr>
          <w:rStyle w:val="read"/>
          <w:rFonts w:hAnsi="宋体"/>
          <w:sz w:val="24"/>
          <w:szCs w:val="24"/>
        </w:rPr>
        <w:t>如基金管理人或基金托管人发现基金估值违反基金合同订明的估值方法、程序及相关法律法规的规定或者未能充分维护基金份额持有人利益时，应立即通知对方，共同查明原因，双方协商解决。</w:t>
      </w:r>
    </w:p>
    <w:p w:rsidR="00783788" w:rsidRDefault="002C6E18">
      <w:pPr>
        <w:adjustRightInd w:val="0"/>
        <w:snapToGrid w:val="0"/>
        <w:spacing w:line="360" w:lineRule="auto"/>
        <w:ind w:firstLineChars="200" w:firstLine="480"/>
        <w:rPr>
          <w:sz w:val="24"/>
          <w:szCs w:val="24"/>
        </w:rPr>
      </w:pPr>
      <w:r>
        <w:rPr>
          <w:rFonts w:hAnsi="宋体"/>
          <w:sz w:val="24"/>
          <w:szCs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783788" w:rsidRDefault="002C6E18">
      <w:pPr>
        <w:adjustRightInd w:val="0"/>
        <w:snapToGrid w:val="0"/>
        <w:spacing w:line="360" w:lineRule="auto"/>
        <w:ind w:firstLineChars="200" w:firstLine="482"/>
        <w:rPr>
          <w:b/>
          <w:sz w:val="24"/>
          <w:szCs w:val="24"/>
        </w:rPr>
      </w:pPr>
      <w:r>
        <w:rPr>
          <w:rFonts w:hAnsi="宋体"/>
          <w:b/>
          <w:sz w:val="24"/>
          <w:szCs w:val="24"/>
        </w:rPr>
        <w:t>（四）估值程序</w:t>
      </w:r>
    </w:p>
    <w:p w:rsidR="00783788" w:rsidRDefault="002C6E18">
      <w:pPr>
        <w:adjustRightInd w:val="0"/>
        <w:snapToGrid w:val="0"/>
        <w:spacing w:line="360" w:lineRule="auto"/>
        <w:ind w:firstLineChars="200" w:firstLine="480"/>
        <w:rPr>
          <w:sz w:val="24"/>
          <w:szCs w:val="24"/>
        </w:rPr>
      </w:pPr>
      <w:r>
        <w:rPr>
          <w:sz w:val="24"/>
          <w:szCs w:val="24"/>
        </w:rPr>
        <w:t>1</w:t>
      </w:r>
      <w:r>
        <w:rPr>
          <w:rFonts w:hAnsi="宋体"/>
          <w:sz w:val="24"/>
          <w:szCs w:val="24"/>
        </w:rPr>
        <w:t>、基金份额净值是按照每个工作日闭市后，基金资产净值除以当日基金份额的余额数量计算，精确到</w:t>
      </w:r>
      <w:r>
        <w:rPr>
          <w:sz w:val="24"/>
          <w:szCs w:val="24"/>
        </w:rPr>
        <w:t>0.001</w:t>
      </w:r>
      <w:r>
        <w:rPr>
          <w:rFonts w:hAnsi="宋体"/>
          <w:sz w:val="24"/>
          <w:szCs w:val="24"/>
        </w:rPr>
        <w:t>元，小数点后第四位四舍五入。国家另有规定的，从其规定。</w:t>
      </w:r>
    </w:p>
    <w:p w:rsidR="00783788" w:rsidRDefault="002C6E18">
      <w:pPr>
        <w:adjustRightInd w:val="0"/>
        <w:snapToGrid w:val="0"/>
        <w:spacing w:line="360" w:lineRule="auto"/>
        <w:ind w:firstLineChars="200" w:firstLine="480"/>
        <w:rPr>
          <w:sz w:val="24"/>
          <w:szCs w:val="24"/>
        </w:rPr>
      </w:pPr>
      <w:r>
        <w:rPr>
          <w:rFonts w:hAnsi="宋体"/>
          <w:sz w:val="24"/>
          <w:szCs w:val="24"/>
        </w:rPr>
        <w:t>每个工作日计算基金资产净值及基金份额净值，并按规定公告。</w:t>
      </w:r>
    </w:p>
    <w:p w:rsidR="00783788" w:rsidRDefault="002C6E18">
      <w:pPr>
        <w:adjustRightInd w:val="0"/>
        <w:snapToGrid w:val="0"/>
        <w:spacing w:line="360" w:lineRule="auto"/>
        <w:ind w:firstLineChars="200" w:firstLine="480"/>
        <w:rPr>
          <w:sz w:val="24"/>
          <w:szCs w:val="24"/>
        </w:rPr>
      </w:pPr>
      <w:r>
        <w:rPr>
          <w:sz w:val="24"/>
          <w:szCs w:val="24"/>
        </w:rPr>
        <w:t>2</w:t>
      </w:r>
      <w:r>
        <w:rPr>
          <w:rFonts w:hAnsi="宋体"/>
          <w:sz w:val="24"/>
          <w:szCs w:val="24"/>
        </w:rPr>
        <w:t>、基金管理人应每个估值日对基金资产估值，但基金管理人根据法律法规或本基金合同的规定暂停估值时除外。基金管理人每个估值日对基金资产估值后，将基金份额净值结果发送基金托管人，经基金托管人复核无误后，由基金管理人依据基金合同和相关法律法规的规定对外公布。</w:t>
      </w:r>
    </w:p>
    <w:p w:rsidR="00783788" w:rsidRDefault="002C6E18">
      <w:pPr>
        <w:adjustRightInd w:val="0"/>
        <w:snapToGrid w:val="0"/>
        <w:spacing w:line="360" w:lineRule="auto"/>
        <w:ind w:firstLineChars="200" w:firstLine="482"/>
        <w:rPr>
          <w:b/>
          <w:sz w:val="24"/>
          <w:szCs w:val="24"/>
        </w:rPr>
      </w:pPr>
      <w:r>
        <w:rPr>
          <w:rFonts w:hAnsi="宋体"/>
          <w:b/>
          <w:sz w:val="24"/>
          <w:szCs w:val="24"/>
        </w:rPr>
        <w:t>（五）估值错误的处理</w:t>
      </w:r>
    </w:p>
    <w:p w:rsidR="00783788" w:rsidRDefault="002C6E18">
      <w:pPr>
        <w:adjustRightInd w:val="0"/>
        <w:snapToGrid w:val="0"/>
        <w:spacing w:line="360" w:lineRule="auto"/>
        <w:ind w:firstLineChars="200" w:firstLine="480"/>
        <w:rPr>
          <w:sz w:val="24"/>
          <w:szCs w:val="24"/>
        </w:rPr>
      </w:pPr>
      <w:r>
        <w:rPr>
          <w:rFonts w:hAnsi="宋体"/>
          <w:sz w:val="24"/>
          <w:szCs w:val="24"/>
        </w:rPr>
        <w:t>基金管理人和基金托管人将采取必要、适当、合理的措施确保基金资产估值的准确性、及时性。当基金份额净值小数点后</w:t>
      </w:r>
      <w:r>
        <w:rPr>
          <w:rFonts w:hAnsi="宋体" w:hint="eastAsia"/>
          <w:sz w:val="24"/>
          <w:szCs w:val="24"/>
        </w:rPr>
        <w:t>第</w:t>
      </w:r>
      <w:r>
        <w:rPr>
          <w:sz w:val="24"/>
          <w:szCs w:val="24"/>
        </w:rPr>
        <w:t>3</w:t>
      </w:r>
      <w:r>
        <w:rPr>
          <w:rFonts w:hAnsi="宋体"/>
          <w:sz w:val="24"/>
          <w:szCs w:val="24"/>
        </w:rPr>
        <w:t>位以内（含第</w:t>
      </w:r>
      <w:r>
        <w:rPr>
          <w:sz w:val="24"/>
          <w:szCs w:val="24"/>
        </w:rPr>
        <w:t>3</w:t>
      </w:r>
      <w:r>
        <w:rPr>
          <w:rFonts w:hAnsi="宋体"/>
          <w:sz w:val="24"/>
          <w:szCs w:val="24"/>
        </w:rPr>
        <w:t>位）发生</w:t>
      </w:r>
      <w:r>
        <w:rPr>
          <w:rFonts w:hAnsi="宋体"/>
          <w:bCs/>
          <w:sz w:val="24"/>
          <w:szCs w:val="24"/>
        </w:rPr>
        <w:t>估值错误</w:t>
      </w:r>
      <w:r>
        <w:rPr>
          <w:rFonts w:hAnsi="宋体"/>
          <w:sz w:val="24"/>
          <w:szCs w:val="24"/>
        </w:rPr>
        <w:t>时，视为基金份额净值错误。</w:t>
      </w:r>
    </w:p>
    <w:p w:rsidR="00783788" w:rsidRDefault="002C6E18">
      <w:pPr>
        <w:adjustRightInd w:val="0"/>
        <w:snapToGrid w:val="0"/>
        <w:spacing w:line="360" w:lineRule="auto"/>
        <w:ind w:firstLineChars="200" w:firstLine="480"/>
        <w:rPr>
          <w:sz w:val="24"/>
          <w:szCs w:val="24"/>
        </w:rPr>
      </w:pPr>
      <w:r>
        <w:rPr>
          <w:rFonts w:hAnsi="宋体"/>
          <w:sz w:val="24"/>
          <w:szCs w:val="24"/>
        </w:rPr>
        <w:t>本基金基金合同的当事人应按照以下约定处理：</w:t>
      </w:r>
    </w:p>
    <w:p w:rsidR="00783788" w:rsidRDefault="002C6E18">
      <w:pPr>
        <w:adjustRightInd w:val="0"/>
        <w:snapToGrid w:val="0"/>
        <w:spacing w:line="360" w:lineRule="auto"/>
        <w:ind w:firstLineChars="200" w:firstLine="480"/>
        <w:rPr>
          <w:sz w:val="24"/>
          <w:szCs w:val="24"/>
        </w:rPr>
      </w:pPr>
      <w:r>
        <w:rPr>
          <w:sz w:val="24"/>
          <w:szCs w:val="24"/>
        </w:rPr>
        <w:t>1</w:t>
      </w:r>
      <w:r>
        <w:rPr>
          <w:rFonts w:hAnsi="宋体"/>
          <w:sz w:val="24"/>
          <w:szCs w:val="24"/>
        </w:rPr>
        <w:t>、</w:t>
      </w:r>
      <w:r>
        <w:rPr>
          <w:rFonts w:hAnsi="宋体"/>
          <w:bCs/>
          <w:sz w:val="24"/>
          <w:szCs w:val="24"/>
        </w:rPr>
        <w:t>估值错误</w:t>
      </w:r>
      <w:r>
        <w:rPr>
          <w:rFonts w:hAnsi="宋体"/>
          <w:sz w:val="24"/>
          <w:szCs w:val="24"/>
        </w:rPr>
        <w:t>类型</w:t>
      </w:r>
    </w:p>
    <w:p w:rsidR="00783788" w:rsidRDefault="002C6E18">
      <w:pPr>
        <w:adjustRightInd w:val="0"/>
        <w:snapToGrid w:val="0"/>
        <w:spacing w:line="360" w:lineRule="auto"/>
        <w:ind w:firstLineChars="200" w:firstLine="480"/>
        <w:rPr>
          <w:sz w:val="24"/>
          <w:szCs w:val="24"/>
        </w:rPr>
      </w:pPr>
      <w:r>
        <w:rPr>
          <w:rFonts w:hAnsi="宋体"/>
          <w:sz w:val="24"/>
          <w:szCs w:val="24"/>
        </w:rPr>
        <w:t>本基金运作过程中，如果由于基金管理人或基金托管人、或登记机构、或销售机构、或投资人自身的过错造成</w:t>
      </w:r>
      <w:r>
        <w:rPr>
          <w:rFonts w:hAnsi="宋体"/>
          <w:bCs/>
          <w:sz w:val="24"/>
          <w:szCs w:val="24"/>
        </w:rPr>
        <w:t>估值错误</w:t>
      </w:r>
      <w:r>
        <w:rPr>
          <w:rFonts w:hAnsi="宋体"/>
          <w:sz w:val="24"/>
          <w:szCs w:val="24"/>
        </w:rPr>
        <w:t>，导致其他当事人遭受损失的，过错的责任人应当对由于该</w:t>
      </w:r>
      <w:r>
        <w:rPr>
          <w:rFonts w:hAnsi="宋体"/>
          <w:bCs/>
          <w:sz w:val="24"/>
          <w:szCs w:val="24"/>
        </w:rPr>
        <w:t>估值错误</w:t>
      </w:r>
      <w:r>
        <w:rPr>
          <w:rFonts w:hAnsi="宋体"/>
          <w:sz w:val="24"/>
          <w:szCs w:val="24"/>
        </w:rPr>
        <w:t>遭受损失当事人（</w:t>
      </w:r>
      <w:r>
        <w:rPr>
          <w:rFonts w:hint="eastAsia"/>
          <w:sz w:val="24"/>
          <w:szCs w:val="24"/>
        </w:rPr>
        <w:t>“</w:t>
      </w:r>
      <w:r>
        <w:rPr>
          <w:rFonts w:hAnsi="宋体"/>
          <w:sz w:val="24"/>
          <w:szCs w:val="24"/>
        </w:rPr>
        <w:t>受损方</w:t>
      </w:r>
      <w:r>
        <w:rPr>
          <w:rFonts w:hint="eastAsia"/>
          <w:sz w:val="24"/>
          <w:szCs w:val="24"/>
        </w:rPr>
        <w:t>”</w:t>
      </w:r>
      <w:r>
        <w:rPr>
          <w:rFonts w:hAnsi="宋体"/>
          <w:sz w:val="24"/>
          <w:szCs w:val="24"/>
        </w:rPr>
        <w:t>）的直接损失按下述</w:t>
      </w:r>
      <w:r>
        <w:rPr>
          <w:rFonts w:hint="eastAsia"/>
          <w:sz w:val="24"/>
          <w:szCs w:val="24"/>
        </w:rPr>
        <w:t>“</w:t>
      </w:r>
      <w:r>
        <w:rPr>
          <w:rFonts w:hAnsi="宋体"/>
          <w:bCs/>
          <w:sz w:val="24"/>
          <w:szCs w:val="24"/>
        </w:rPr>
        <w:t>估值错误</w:t>
      </w:r>
      <w:r>
        <w:rPr>
          <w:rFonts w:hAnsi="宋体"/>
          <w:sz w:val="24"/>
          <w:szCs w:val="24"/>
        </w:rPr>
        <w:t>处理原则</w:t>
      </w:r>
      <w:r>
        <w:rPr>
          <w:rFonts w:hint="eastAsia"/>
          <w:sz w:val="24"/>
          <w:szCs w:val="24"/>
        </w:rPr>
        <w:t>”</w:t>
      </w:r>
      <w:r>
        <w:rPr>
          <w:rFonts w:hAnsi="宋体"/>
          <w:sz w:val="24"/>
          <w:szCs w:val="24"/>
        </w:rPr>
        <w:t>给予赔偿，承担赔偿责任。</w:t>
      </w:r>
    </w:p>
    <w:p w:rsidR="00783788" w:rsidRDefault="002C6E18">
      <w:pPr>
        <w:adjustRightInd w:val="0"/>
        <w:snapToGrid w:val="0"/>
        <w:spacing w:line="360" w:lineRule="auto"/>
        <w:ind w:firstLineChars="200" w:firstLine="480"/>
        <w:rPr>
          <w:sz w:val="24"/>
          <w:szCs w:val="24"/>
        </w:rPr>
      </w:pPr>
      <w:r>
        <w:rPr>
          <w:rFonts w:hAnsi="宋体"/>
          <w:sz w:val="24"/>
          <w:szCs w:val="24"/>
        </w:rPr>
        <w:t>上述</w:t>
      </w:r>
      <w:r>
        <w:rPr>
          <w:rFonts w:hAnsi="宋体"/>
          <w:bCs/>
          <w:sz w:val="24"/>
          <w:szCs w:val="24"/>
        </w:rPr>
        <w:t>估值错误</w:t>
      </w:r>
      <w:r>
        <w:rPr>
          <w:rFonts w:hAnsi="宋体"/>
          <w:sz w:val="24"/>
          <w:szCs w:val="24"/>
        </w:rPr>
        <w:t>的主要类型包括但不限于：资料申报差错、数据传输差错、数据计算差错、系统故障差错、下达指令差错等。</w:t>
      </w:r>
    </w:p>
    <w:p w:rsidR="00783788" w:rsidRDefault="002C6E18">
      <w:pPr>
        <w:adjustRightInd w:val="0"/>
        <w:snapToGrid w:val="0"/>
        <w:spacing w:line="360" w:lineRule="auto"/>
        <w:ind w:firstLineChars="200" w:firstLine="480"/>
        <w:rPr>
          <w:sz w:val="24"/>
          <w:szCs w:val="24"/>
        </w:rPr>
      </w:pPr>
      <w:r>
        <w:rPr>
          <w:rFonts w:hAnsi="宋体"/>
          <w:sz w:val="24"/>
          <w:szCs w:val="24"/>
        </w:rPr>
        <w:t>对于因技术原因引起的</w:t>
      </w:r>
      <w:r>
        <w:rPr>
          <w:rFonts w:hAnsi="宋体" w:hint="eastAsia"/>
          <w:bCs/>
          <w:sz w:val="24"/>
          <w:szCs w:val="24"/>
        </w:rPr>
        <w:t>估值错误</w:t>
      </w:r>
      <w:r>
        <w:rPr>
          <w:rFonts w:hAnsi="宋体"/>
          <w:sz w:val="24"/>
          <w:szCs w:val="24"/>
        </w:rPr>
        <w:t>，若系同行业现有技术水平无法预见、无法避免、无法抗拒，则属不可抗力，按照下述规定执行。</w:t>
      </w:r>
    </w:p>
    <w:p w:rsidR="00783788" w:rsidRDefault="002C6E18">
      <w:pPr>
        <w:adjustRightInd w:val="0"/>
        <w:snapToGrid w:val="0"/>
        <w:spacing w:line="360" w:lineRule="auto"/>
        <w:ind w:firstLineChars="200" w:firstLine="480"/>
        <w:rPr>
          <w:sz w:val="24"/>
          <w:szCs w:val="24"/>
        </w:rPr>
      </w:pPr>
      <w:r>
        <w:rPr>
          <w:rFonts w:hAnsi="宋体"/>
          <w:sz w:val="24"/>
          <w:szCs w:val="24"/>
        </w:rPr>
        <w:t>由于不可抗力原因造成投资人的交易资料灭失或被错误处理或造成其他</w:t>
      </w:r>
      <w:r>
        <w:rPr>
          <w:rFonts w:hAnsi="宋体"/>
          <w:bCs/>
          <w:sz w:val="24"/>
          <w:szCs w:val="24"/>
        </w:rPr>
        <w:t>错误等</w:t>
      </w:r>
      <w:r>
        <w:rPr>
          <w:rFonts w:hAnsi="宋体"/>
          <w:sz w:val="24"/>
          <w:szCs w:val="24"/>
        </w:rPr>
        <w:t>，因不可抗力原因出现</w:t>
      </w:r>
      <w:r>
        <w:rPr>
          <w:rFonts w:hAnsi="宋体"/>
          <w:bCs/>
          <w:sz w:val="24"/>
          <w:szCs w:val="24"/>
        </w:rPr>
        <w:t>估值错误</w:t>
      </w:r>
      <w:r>
        <w:rPr>
          <w:rFonts w:hAnsi="宋体"/>
          <w:sz w:val="24"/>
          <w:szCs w:val="24"/>
        </w:rPr>
        <w:t>的当事人不对其他当事人承担赔偿责任，但因该</w:t>
      </w:r>
      <w:r>
        <w:rPr>
          <w:rFonts w:hAnsi="宋体"/>
          <w:bCs/>
          <w:sz w:val="24"/>
          <w:szCs w:val="24"/>
        </w:rPr>
        <w:t>估值错误</w:t>
      </w:r>
      <w:r>
        <w:rPr>
          <w:rFonts w:hAnsi="宋体"/>
          <w:sz w:val="24"/>
          <w:szCs w:val="24"/>
        </w:rPr>
        <w:t>取得不当得利的当事人仍应负有返还不当得利的义务。</w:t>
      </w:r>
    </w:p>
    <w:p w:rsidR="00783788" w:rsidRDefault="002C6E18">
      <w:pPr>
        <w:adjustRightInd w:val="0"/>
        <w:snapToGrid w:val="0"/>
        <w:spacing w:line="360" w:lineRule="auto"/>
        <w:ind w:firstLineChars="200" w:firstLine="480"/>
        <w:rPr>
          <w:sz w:val="24"/>
          <w:szCs w:val="24"/>
        </w:rPr>
      </w:pPr>
      <w:r>
        <w:rPr>
          <w:sz w:val="24"/>
          <w:szCs w:val="24"/>
        </w:rPr>
        <w:t>2</w:t>
      </w:r>
      <w:r>
        <w:rPr>
          <w:rFonts w:hAnsi="宋体"/>
          <w:sz w:val="24"/>
          <w:szCs w:val="24"/>
        </w:rPr>
        <w:t>、</w:t>
      </w:r>
      <w:r>
        <w:rPr>
          <w:rFonts w:hAnsi="宋体"/>
          <w:bCs/>
          <w:sz w:val="24"/>
          <w:szCs w:val="24"/>
        </w:rPr>
        <w:t>估值错误</w:t>
      </w:r>
      <w:r>
        <w:rPr>
          <w:rFonts w:hAnsi="宋体"/>
          <w:sz w:val="24"/>
          <w:szCs w:val="24"/>
        </w:rPr>
        <w:t>处理原则</w:t>
      </w:r>
    </w:p>
    <w:p w:rsidR="00783788" w:rsidRDefault="002C6E18">
      <w:pPr>
        <w:adjustRightInd w:val="0"/>
        <w:snapToGrid w:val="0"/>
        <w:spacing w:line="360" w:lineRule="auto"/>
        <w:ind w:firstLineChars="200" w:firstLine="480"/>
        <w:rPr>
          <w:sz w:val="24"/>
          <w:szCs w:val="24"/>
        </w:rPr>
      </w:pPr>
      <w:r>
        <w:rPr>
          <w:rFonts w:hAnsi="宋体"/>
          <w:sz w:val="24"/>
          <w:szCs w:val="24"/>
        </w:rPr>
        <w:t>（</w:t>
      </w:r>
      <w:r>
        <w:rPr>
          <w:sz w:val="24"/>
          <w:szCs w:val="24"/>
        </w:rPr>
        <w:t>1</w:t>
      </w:r>
      <w:r>
        <w:rPr>
          <w:rFonts w:hAnsi="宋体"/>
          <w:sz w:val="24"/>
          <w:szCs w:val="24"/>
        </w:rPr>
        <w:t>）</w:t>
      </w:r>
      <w:r>
        <w:rPr>
          <w:rFonts w:hAnsi="宋体"/>
          <w:bCs/>
          <w:sz w:val="24"/>
          <w:szCs w:val="24"/>
        </w:rPr>
        <w:t>估值错误</w:t>
      </w:r>
      <w:r>
        <w:rPr>
          <w:rFonts w:hAnsi="宋体"/>
          <w:sz w:val="24"/>
          <w:szCs w:val="24"/>
        </w:rPr>
        <w:t>已发生，但尚未给当事人造成损失时，</w:t>
      </w:r>
      <w:r>
        <w:rPr>
          <w:rFonts w:hAnsi="宋体"/>
          <w:bCs/>
          <w:sz w:val="24"/>
          <w:szCs w:val="24"/>
        </w:rPr>
        <w:t>估值错误</w:t>
      </w:r>
      <w:r>
        <w:rPr>
          <w:rFonts w:hAnsi="宋体"/>
          <w:sz w:val="24"/>
          <w:szCs w:val="24"/>
        </w:rPr>
        <w:t>责任方应及时协调各方，及时进行更正，因更正</w:t>
      </w:r>
      <w:r>
        <w:rPr>
          <w:rFonts w:hAnsi="宋体"/>
          <w:bCs/>
          <w:sz w:val="24"/>
          <w:szCs w:val="24"/>
        </w:rPr>
        <w:t>估值错误</w:t>
      </w:r>
      <w:r>
        <w:rPr>
          <w:rFonts w:hAnsi="宋体"/>
          <w:sz w:val="24"/>
          <w:szCs w:val="24"/>
        </w:rPr>
        <w:t>发生的费用由</w:t>
      </w:r>
      <w:r>
        <w:rPr>
          <w:rFonts w:hAnsi="宋体"/>
          <w:bCs/>
          <w:sz w:val="24"/>
          <w:szCs w:val="24"/>
        </w:rPr>
        <w:t>估值错误</w:t>
      </w:r>
      <w:r>
        <w:rPr>
          <w:rFonts w:hAnsi="宋体"/>
          <w:sz w:val="24"/>
          <w:szCs w:val="24"/>
        </w:rPr>
        <w:t>责任方承担；由于</w:t>
      </w:r>
      <w:r>
        <w:rPr>
          <w:rFonts w:hAnsi="宋体"/>
          <w:bCs/>
          <w:sz w:val="24"/>
          <w:szCs w:val="24"/>
        </w:rPr>
        <w:t>估值错误</w:t>
      </w:r>
      <w:r>
        <w:rPr>
          <w:rFonts w:hAnsi="宋体"/>
          <w:sz w:val="24"/>
          <w:szCs w:val="24"/>
        </w:rPr>
        <w:t>责任方未及时更正已产生的</w:t>
      </w:r>
      <w:r>
        <w:rPr>
          <w:rFonts w:hAnsi="宋体"/>
          <w:bCs/>
          <w:sz w:val="24"/>
          <w:szCs w:val="24"/>
        </w:rPr>
        <w:t>估值错误</w:t>
      </w:r>
      <w:r>
        <w:rPr>
          <w:rFonts w:hAnsi="宋体"/>
          <w:sz w:val="24"/>
          <w:szCs w:val="24"/>
        </w:rPr>
        <w:t>，给当事人造成损失的，由</w:t>
      </w:r>
      <w:r>
        <w:rPr>
          <w:rFonts w:hAnsi="宋体"/>
          <w:bCs/>
          <w:sz w:val="24"/>
          <w:szCs w:val="24"/>
        </w:rPr>
        <w:t>估值错误</w:t>
      </w:r>
      <w:r>
        <w:rPr>
          <w:rFonts w:hAnsi="宋体"/>
          <w:sz w:val="24"/>
          <w:szCs w:val="24"/>
        </w:rPr>
        <w:t>责任方对直接损失承担赔偿责任；若</w:t>
      </w:r>
      <w:r>
        <w:rPr>
          <w:rFonts w:hAnsi="宋体"/>
          <w:bCs/>
          <w:sz w:val="24"/>
          <w:szCs w:val="24"/>
        </w:rPr>
        <w:t>估值错误</w:t>
      </w:r>
      <w:r>
        <w:rPr>
          <w:rFonts w:hAnsi="宋体"/>
          <w:sz w:val="24"/>
          <w:szCs w:val="24"/>
        </w:rPr>
        <w:t>责任方已经积极协调，并且有协助义务的当事人有足够的时间进行更正而未更正，则其应当承担相应赔偿责任。</w:t>
      </w:r>
      <w:r>
        <w:rPr>
          <w:rFonts w:hAnsi="宋体"/>
          <w:bCs/>
          <w:sz w:val="24"/>
          <w:szCs w:val="24"/>
        </w:rPr>
        <w:t>估值错误</w:t>
      </w:r>
      <w:r>
        <w:rPr>
          <w:rFonts w:hAnsi="宋体"/>
          <w:sz w:val="24"/>
          <w:szCs w:val="24"/>
        </w:rPr>
        <w:t>责任方应对更正的情况向有关当事人进行确认，确保</w:t>
      </w:r>
      <w:r>
        <w:rPr>
          <w:rFonts w:hAnsi="宋体"/>
          <w:bCs/>
          <w:sz w:val="24"/>
          <w:szCs w:val="24"/>
        </w:rPr>
        <w:t>估值错误</w:t>
      </w:r>
      <w:r>
        <w:rPr>
          <w:rFonts w:hAnsi="宋体"/>
          <w:sz w:val="24"/>
          <w:szCs w:val="24"/>
        </w:rPr>
        <w:t>已得到更正。</w:t>
      </w:r>
    </w:p>
    <w:p w:rsidR="00783788" w:rsidRDefault="002C6E18">
      <w:pPr>
        <w:adjustRightInd w:val="0"/>
        <w:snapToGrid w:val="0"/>
        <w:spacing w:line="360" w:lineRule="auto"/>
        <w:ind w:firstLineChars="200" w:firstLine="480"/>
        <w:rPr>
          <w:sz w:val="24"/>
          <w:szCs w:val="24"/>
        </w:rPr>
      </w:pPr>
      <w:r>
        <w:rPr>
          <w:rFonts w:hAnsi="宋体"/>
          <w:sz w:val="24"/>
          <w:szCs w:val="24"/>
        </w:rPr>
        <w:t>（</w:t>
      </w:r>
      <w:r>
        <w:rPr>
          <w:sz w:val="24"/>
          <w:szCs w:val="24"/>
        </w:rPr>
        <w:t>2</w:t>
      </w:r>
      <w:r>
        <w:rPr>
          <w:rFonts w:hAnsi="宋体"/>
          <w:sz w:val="24"/>
          <w:szCs w:val="24"/>
        </w:rPr>
        <w:t>）</w:t>
      </w:r>
      <w:r>
        <w:rPr>
          <w:rFonts w:hAnsi="宋体"/>
          <w:bCs/>
          <w:sz w:val="24"/>
          <w:szCs w:val="24"/>
        </w:rPr>
        <w:t>估值错误</w:t>
      </w:r>
      <w:r>
        <w:rPr>
          <w:rFonts w:hAnsi="宋体"/>
          <w:sz w:val="24"/>
          <w:szCs w:val="24"/>
        </w:rPr>
        <w:t>的责任方对有关当事人的直接损失负责，不对间接损失负责，并且仅对</w:t>
      </w:r>
      <w:r>
        <w:rPr>
          <w:rFonts w:hAnsi="宋体"/>
          <w:bCs/>
          <w:sz w:val="24"/>
          <w:szCs w:val="24"/>
        </w:rPr>
        <w:t>估值错误</w:t>
      </w:r>
      <w:r>
        <w:rPr>
          <w:rFonts w:hAnsi="宋体"/>
          <w:sz w:val="24"/>
          <w:szCs w:val="24"/>
        </w:rPr>
        <w:t>的有关直接当事人负责，不对第三方负责。</w:t>
      </w:r>
    </w:p>
    <w:p w:rsidR="00783788" w:rsidRDefault="002C6E18">
      <w:pPr>
        <w:adjustRightInd w:val="0"/>
        <w:snapToGrid w:val="0"/>
        <w:spacing w:line="360" w:lineRule="auto"/>
        <w:ind w:firstLineChars="200" w:firstLine="480"/>
        <w:rPr>
          <w:sz w:val="24"/>
          <w:szCs w:val="24"/>
        </w:rPr>
      </w:pPr>
      <w:r>
        <w:rPr>
          <w:rFonts w:hAnsi="宋体"/>
          <w:sz w:val="24"/>
          <w:szCs w:val="24"/>
        </w:rPr>
        <w:t>（</w:t>
      </w:r>
      <w:r>
        <w:rPr>
          <w:sz w:val="24"/>
          <w:szCs w:val="24"/>
        </w:rPr>
        <w:t>3</w:t>
      </w:r>
      <w:r>
        <w:rPr>
          <w:rFonts w:hAnsi="宋体"/>
          <w:sz w:val="24"/>
          <w:szCs w:val="24"/>
        </w:rPr>
        <w:t>）因</w:t>
      </w:r>
      <w:r>
        <w:rPr>
          <w:rFonts w:hAnsi="宋体"/>
          <w:bCs/>
          <w:sz w:val="24"/>
          <w:szCs w:val="24"/>
        </w:rPr>
        <w:t>估值错误</w:t>
      </w:r>
      <w:r>
        <w:rPr>
          <w:rFonts w:hAnsi="宋体"/>
          <w:sz w:val="24"/>
          <w:szCs w:val="24"/>
        </w:rPr>
        <w:t>而获得不当得利的当事人负有及时返还不当得利的义务。但</w:t>
      </w:r>
      <w:r>
        <w:rPr>
          <w:rFonts w:hAnsi="宋体"/>
          <w:bCs/>
          <w:sz w:val="24"/>
          <w:szCs w:val="24"/>
        </w:rPr>
        <w:t>估值错误</w:t>
      </w:r>
      <w:r>
        <w:rPr>
          <w:rFonts w:hAnsi="宋体"/>
          <w:sz w:val="24"/>
          <w:szCs w:val="24"/>
        </w:rPr>
        <w:t>责任方仍应对</w:t>
      </w:r>
      <w:r>
        <w:rPr>
          <w:rFonts w:hAnsi="宋体"/>
          <w:bCs/>
          <w:sz w:val="24"/>
          <w:szCs w:val="24"/>
        </w:rPr>
        <w:t>估值错误</w:t>
      </w:r>
      <w:r>
        <w:rPr>
          <w:rFonts w:hAnsi="宋体"/>
          <w:sz w:val="24"/>
          <w:szCs w:val="24"/>
        </w:rPr>
        <w:t>负责。如果由于获得不当得利的当事人不返还或不全部返还不当得利造成其他当事人的利益损失（</w:t>
      </w:r>
      <w:r>
        <w:rPr>
          <w:sz w:val="24"/>
          <w:szCs w:val="24"/>
        </w:rPr>
        <w:t>“</w:t>
      </w:r>
      <w:r>
        <w:rPr>
          <w:rFonts w:hAnsi="宋体"/>
          <w:sz w:val="24"/>
          <w:szCs w:val="24"/>
        </w:rPr>
        <w:t>受损方</w:t>
      </w:r>
      <w:r>
        <w:rPr>
          <w:sz w:val="24"/>
          <w:szCs w:val="24"/>
        </w:rPr>
        <w:t>”</w:t>
      </w:r>
      <w:r>
        <w:rPr>
          <w:rFonts w:hAnsi="宋体"/>
          <w:sz w:val="24"/>
          <w:szCs w:val="24"/>
        </w:rPr>
        <w:t>），则</w:t>
      </w:r>
      <w:r>
        <w:rPr>
          <w:rFonts w:hAnsi="宋体"/>
          <w:bCs/>
          <w:sz w:val="24"/>
          <w:szCs w:val="24"/>
        </w:rPr>
        <w:t>估值错误</w:t>
      </w:r>
      <w:r>
        <w:rPr>
          <w:rFonts w:hAnsi="宋体"/>
          <w:sz w:val="24"/>
          <w:szCs w:val="24"/>
        </w:rPr>
        <w:t>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w:t>
      </w:r>
      <w:r>
        <w:rPr>
          <w:rFonts w:hAnsi="宋体"/>
          <w:bCs/>
          <w:sz w:val="24"/>
          <w:szCs w:val="24"/>
        </w:rPr>
        <w:t>估值错误</w:t>
      </w:r>
      <w:r>
        <w:rPr>
          <w:rFonts w:hAnsi="宋体"/>
          <w:sz w:val="24"/>
          <w:szCs w:val="24"/>
        </w:rPr>
        <w:t>责任方。</w:t>
      </w:r>
    </w:p>
    <w:p w:rsidR="00783788" w:rsidRDefault="002C6E18">
      <w:pPr>
        <w:adjustRightInd w:val="0"/>
        <w:snapToGrid w:val="0"/>
        <w:spacing w:line="360" w:lineRule="auto"/>
        <w:ind w:firstLineChars="200" w:firstLine="480"/>
        <w:rPr>
          <w:sz w:val="24"/>
          <w:szCs w:val="24"/>
        </w:rPr>
      </w:pPr>
      <w:r>
        <w:rPr>
          <w:rFonts w:hAnsi="宋体"/>
          <w:sz w:val="24"/>
          <w:szCs w:val="24"/>
        </w:rPr>
        <w:t>（</w:t>
      </w:r>
      <w:r>
        <w:rPr>
          <w:sz w:val="24"/>
          <w:szCs w:val="24"/>
        </w:rPr>
        <w:t>4</w:t>
      </w:r>
      <w:r>
        <w:rPr>
          <w:rFonts w:hAnsi="宋体"/>
          <w:sz w:val="24"/>
          <w:szCs w:val="24"/>
        </w:rPr>
        <w:t>）</w:t>
      </w:r>
      <w:r>
        <w:rPr>
          <w:rFonts w:hAnsi="宋体"/>
          <w:bCs/>
          <w:sz w:val="24"/>
          <w:szCs w:val="24"/>
        </w:rPr>
        <w:t>估值错误</w:t>
      </w:r>
      <w:r>
        <w:rPr>
          <w:rFonts w:hAnsi="宋体"/>
          <w:sz w:val="24"/>
          <w:szCs w:val="24"/>
        </w:rPr>
        <w:t>调整采用尽量恢复至假设未发生</w:t>
      </w:r>
      <w:r>
        <w:rPr>
          <w:rFonts w:hAnsi="宋体"/>
          <w:bCs/>
          <w:sz w:val="24"/>
          <w:szCs w:val="24"/>
        </w:rPr>
        <w:t>估值错误</w:t>
      </w:r>
      <w:r>
        <w:rPr>
          <w:rFonts w:hAnsi="宋体"/>
          <w:sz w:val="24"/>
          <w:szCs w:val="24"/>
        </w:rPr>
        <w:t>的正确情形的方式。</w:t>
      </w:r>
    </w:p>
    <w:p w:rsidR="00783788" w:rsidRDefault="002C6E18">
      <w:pPr>
        <w:adjustRightInd w:val="0"/>
        <w:snapToGrid w:val="0"/>
        <w:spacing w:line="360" w:lineRule="auto"/>
        <w:ind w:firstLineChars="200" w:firstLine="480"/>
        <w:rPr>
          <w:sz w:val="24"/>
          <w:szCs w:val="24"/>
        </w:rPr>
      </w:pPr>
      <w:r>
        <w:rPr>
          <w:rFonts w:hAnsi="宋体"/>
          <w:sz w:val="24"/>
          <w:szCs w:val="24"/>
        </w:rPr>
        <w:t>（</w:t>
      </w:r>
      <w:r>
        <w:rPr>
          <w:sz w:val="24"/>
          <w:szCs w:val="24"/>
        </w:rPr>
        <w:t>5</w:t>
      </w:r>
      <w:r>
        <w:rPr>
          <w:rFonts w:hAnsi="宋体"/>
          <w:sz w:val="24"/>
          <w:szCs w:val="24"/>
        </w:rPr>
        <w:t>）按法律法规规定的其他原则处理</w:t>
      </w:r>
      <w:r>
        <w:rPr>
          <w:rFonts w:hAnsi="宋体"/>
          <w:bCs/>
          <w:sz w:val="24"/>
          <w:szCs w:val="24"/>
        </w:rPr>
        <w:t>估值错误</w:t>
      </w:r>
      <w:r>
        <w:rPr>
          <w:rFonts w:hAnsi="宋体"/>
          <w:sz w:val="24"/>
          <w:szCs w:val="24"/>
        </w:rPr>
        <w:t>。</w:t>
      </w:r>
    </w:p>
    <w:p w:rsidR="00783788" w:rsidRDefault="002C6E18">
      <w:pPr>
        <w:adjustRightInd w:val="0"/>
        <w:snapToGrid w:val="0"/>
        <w:spacing w:line="360" w:lineRule="auto"/>
        <w:ind w:firstLineChars="200" w:firstLine="480"/>
        <w:rPr>
          <w:sz w:val="24"/>
          <w:szCs w:val="24"/>
        </w:rPr>
      </w:pPr>
      <w:r>
        <w:rPr>
          <w:sz w:val="24"/>
          <w:szCs w:val="24"/>
        </w:rPr>
        <w:t>3</w:t>
      </w:r>
      <w:r>
        <w:rPr>
          <w:rFonts w:hAnsi="宋体"/>
          <w:sz w:val="24"/>
          <w:szCs w:val="24"/>
        </w:rPr>
        <w:t>、</w:t>
      </w:r>
      <w:r>
        <w:rPr>
          <w:rFonts w:hAnsi="宋体"/>
          <w:bCs/>
          <w:sz w:val="24"/>
          <w:szCs w:val="24"/>
        </w:rPr>
        <w:t>估值错误</w:t>
      </w:r>
      <w:r>
        <w:rPr>
          <w:rFonts w:hAnsi="宋体"/>
          <w:sz w:val="24"/>
          <w:szCs w:val="24"/>
        </w:rPr>
        <w:t>处理程序</w:t>
      </w:r>
    </w:p>
    <w:p w:rsidR="00783788" w:rsidRDefault="002C6E18">
      <w:pPr>
        <w:adjustRightInd w:val="0"/>
        <w:snapToGrid w:val="0"/>
        <w:spacing w:line="360" w:lineRule="auto"/>
        <w:ind w:firstLineChars="200" w:firstLine="480"/>
        <w:rPr>
          <w:sz w:val="24"/>
          <w:szCs w:val="24"/>
        </w:rPr>
      </w:pPr>
      <w:r>
        <w:rPr>
          <w:rFonts w:hAnsi="宋体"/>
          <w:bCs/>
          <w:sz w:val="24"/>
          <w:szCs w:val="24"/>
        </w:rPr>
        <w:t>估值错误</w:t>
      </w:r>
      <w:r>
        <w:rPr>
          <w:rFonts w:hAnsi="宋体"/>
          <w:sz w:val="24"/>
          <w:szCs w:val="24"/>
        </w:rPr>
        <w:t>被发现后，有关的当事人应当及时进行处理，处理的程序如下：</w:t>
      </w:r>
    </w:p>
    <w:p w:rsidR="00783788" w:rsidRDefault="002C6E18">
      <w:pPr>
        <w:adjustRightInd w:val="0"/>
        <w:snapToGrid w:val="0"/>
        <w:spacing w:line="360" w:lineRule="auto"/>
        <w:ind w:firstLineChars="200" w:firstLine="480"/>
        <w:rPr>
          <w:sz w:val="24"/>
          <w:szCs w:val="24"/>
        </w:rPr>
      </w:pPr>
      <w:r>
        <w:rPr>
          <w:rFonts w:hAnsi="宋体"/>
          <w:sz w:val="24"/>
          <w:szCs w:val="24"/>
        </w:rPr>
        <w:t>（</w:t>
      </w:r>
      <w:r>
        <w:rPr>
          <w:sz w:val="24"/>
          <w:szCs w:val="24"/>
        </w:rPr>
        <w:t>1</w:t>
      </w:r>
      <w:r>
        <w:rPr>
          <w:rFonts w:hAnsi="宋体"/>
          <w:sz w:val="24"/>
          <w:szCs w:val="24"/>
        </w:rPr>
        <w:t>）查明</w:t>
      </w:r>
      <w:r>
        <w:rPr>
          <w:rFonts w:hAnsi="宋体"/>
          <w:bCs/>
          <w:sz w:val="24"/>
          <w:szCs w:val="24"/>
        </w:rPr>
        <w:t>估值错误</w:t>
      </w:r>
      <w:r>
        <w:rPr>
          <w:rFonts w:hAnsi="宋体"/>
          <w:sz w:val="24"/>
          <w:szCs w:val="24"/>
        </w:rPr>
        <w:t>发生的原因，列明所有的当事人，并根据</w:t>
      </w:r>
      <w:r>
        <w:rPr>
          <w:rFonts w:hAnsi="宋体"/>
          <w:bCs/>
          <w:sz w:val="24"/>
          <w:szCs w:val="24"/>
        </w:rPr>
        <w:t>估值错误</w:t>
      </w:r>
      <w:r>
        <w:rPr>
          <w:rFonts w:hAnsi="宋体"/>
          <w:sz w:val="24"/>
          <w:szCs w:val="24"/>
        </w:rPr>
        <w:t>发生的原因确定</w:t>
      </w:r>
      <w:r>
        <w:rPr>
          <w:rFonts w:hAnsi="宋体"/>
          <w:bCs/>
          <w:sz w:val="24"/>
          <w:szCs w:val="24"/>
        </w:rPr>
        <w:t>估值错误</w:t>
      </w:r>
      <w:r>
        <w:rPr>
          <w:rFonts w:hAnsi="宋体"/>
          <w:sz w:val="24"/>
          <w:szCs w:val="24"/>
        </w:rPr>
        <w:t>的责任方；</w:t>
      </w:r>
    </w:p>
    <w:p w:rsidR="00783788" w:rsidRDefault="002C6E18">
      <w:pPr>
        <w:adjustRightInd w:val="0"/>
        <w:snapToGrid w:val="0"/>
        <w:spacing w:line="360" w:lineRule="auto"/>
        <w:ind w:firstLineChars="200" w:firstLine="480"/>
        <w:rPr>
          <w:sz w:val="24"/>
          <w:szCs w:val="24"/>
        </w:rPr>
      </w:pPr>
      <w:r>
        <w:rPr>
          <w:rFonts w:hAnsi="宋体"/>
          <w:sz w:val="24"/>
          <w:szCs w:val="24"/>
        </w:rPr>
        <w:t>（</w:t>
      </w:r>
      <w:r>
        <w:rPr>
          <w:sz w:val="24"/>
          <w:szCs w:val="24"/>
        </w:rPr>
        <w:t>2</w:t>
      </w:r>
      <w:r>
        <w:rPr>
          <w:rFonts w:hAnsi="宋体"/>
          <w:sz w:val="24"/>
          <w:szCs w:val="24"/>
        </w:rPr>
        <w:t>）根据</w:t>
      </w:r>
      <w:r>
        <w:rPr>
          <w:rFonts w:hAnsi="宋体"/>
          <w:bCs/>
          <w:sz w:val="24"/>
          <w:szCs w:val="24"/>
        </w:rPr>
        <w:t>估值错误</w:t>
      </w:r>
      <w:r>
        <w:rPr>
          <w:rFonts w:hAnsi="宋体"/>
          <w:sz w:val="24"/>
          <w:szCs w:val="24"/>
        </w:rPr>
        <w:t>处理原则或当事人协商的方法对因</w:t>
      </w:r>
      <w:r>
        <w:rPr>
          <w:rFonts w:hAnsi="宋体"/>
          <w:bCs/>
          <w:sz w:val="24"/>
          <w:szCs w:val="24"/>
        </w:rPr>
        <w:t>估值错误</w:t>
      </w:r>
      <w:r>
        <w:rPr>
          <w:rFonts w:hAnsi="宋体"/>
          <w:sz w:val="24"/>
          <w:szCs w:val="24"/>
        </w:rPr>
        <w:t>造成的损失进行评估；</w:t>
      </w:r>
    </w:p>
    <w:p w:rsidR="00783788" w:rsidRDefault="002C6E18">
      <w:pPr>
        <w:adjustRightInd w:val="0"/>
        <w:snapToGrid w:val="0"/>
        <w:spacing w:line="360" w:lineRule="auto"/>
        <w:ind w:firstLineChars="200" w:firstLine="480"/>
        <w:rPr>
          <w:sz w:val="24"/>
          <w:szCs w:val="24"/>
        </w:rPr>
      </w:pPr>
      <w:r>
        <w:rPr>
          <w:rFonts w:hAnsi="宋体"/>
          <w:sz w:val="24"/>
          <w:szCs w:val="24"/>
        </w:rPr>
        <w:t>（</w:t>
      </w:r>
      <w:r>
        <w:rPr>
          <w:sz w:val="24"/>
          <w:szCs w:val="24"/>
        </w:rPr>
        <w:t>3</w:t>
      </w:r>
      <w:r>
        <w:rPr>
          <w:rFonts w:hAnsi="宋体"/>
          <w:sz w:val="24"/>
          <w:szCs w:val="24"/>
        </w:rPr>
        <w:t>）根据</w:t>
      </w:r>
      <w:r>
        <w:rPr>
          <w:rFonts w:hAnsi="宋体"/>
          <w:bCs/>
          <w:sz w:val="24"/>
          <w:szCs w:val="24"/>
        </w:rPr>
        <w:t>估值错误</w:t>
      </w:r>
      <w:r>
        <w:rPr>
          <w:rFonts w:hAnsi="宋体"/>
          <w:sz w:val="24"/>
          <w:szCs w:val="24"/>
        </w:rPr>
        <w:t>处理原则或当事人协商的方法由</w:t>
      </w:r>
      <w:r>
        <w:rPr>
          <w:rFonts w:hAnsi="宋体"/>
          <w:bCs/>
          <w:sz w:val="24"/>
          <w:szCs w:val="24"/>
        </w:rPr>
        <w:t>估值错误</w:t>
      </w:r>
      <w:r>
        <w:rPr>
          <w:rFonts w:hAnsi="宋体"/>
          <w:sz w:val="24"/>
          <w:szCs w:val="24"/>
        </w:rPr>
        <w:t>的责任方进行更正和赔偿损失；</w:t>
      </w:r>
    </w:p>
    <w:p w:rsidR="00783788" w:rsidRDefault="002C6E18">
      <w:pPr>
        <w:adjustRightInd w:val="0"/>
        <w:snapToGrid w:val="0"/>
        <w:spacing w:line="360" w:lineRule="auto"/>
        <w:ind w:firstLineChars="200" w:firstLine="480"/>
        <w:rPr>
          <w:sz w:val="24"/>
          <w:szCs w:val="24"/>
        </w:rPr>
      </w:pPr>
      <w:r>
        <w:rPr>
          <w:rFonts w:hAnsi="宋体"/>
          <w:sz w:val="24"/>
          <w:szCs w:val="24"/>
        </w:rPr>
        <w:t>（</w:t>
      </w:r>
      <w:r>
        <w:rPr>
          <w:sz w:val="24"/>
          <w:szCs w:val="24"/>
        </w:rPr>
        <w:t>4</w:t>
      </w:r>
      <w:r>
        <w:rPr>
          <w:rFonts w:hAnsi="宋体"/>
          <w:sz w:val="24"/>
          <w:szCs w:val="24"/>
        </w:rPr>
        <w:t>）根据</w:t>
      </w:r>
      <w:r>
        <w:rPr>
          <w:rFonts w:hAnsi="宋体"/>
          <w:bCs/>
          <w:sz w:val="24"/>
          <w:szCs w:val="24"/>
        </w:rPr>
        <w:t>估值错误</w:t>
      </w:r>
      <w:r>
        <w:rPr>
          <w:rFonts w:hAnsi="宋体"/>
          <w:sz w:val="24"/>
          <w:szCs w:val="24"/>
        </w:rPr>
        <w:t>处理的方法，需要修改基金登记机构交易数据的，由基金登记机构进行更正，并就</w:t>
      </w:r>
      <w:r>
        <w:rPr>
          <w:rFonts w:hAnsi="宋体"/>
          <w:bCs/>
          <w:sz w:val="24"/>
          <w:szCs w:val="24"/>
        </w:rPr>
        <w:t>估值错误</w:t>
      </w:r>
      <w:r>
        <w:rPr>
          <w:rFonts w:hAnsi="宋体"/>
          <w:sz w:val="24"/>
          <w:szCs w:val="24"/>
        </w:rPr>
        <w:t>的更正向有关当事人进行确认。</w:t>
      </w:r>
    </w:p>
    <w:p w:rsidR="00783788" w:rsidRDefault="002C6E18">
      <w:pPr>
        <w:adjustRightInd w:val="0"/>
        <w:snapToGrid w:val="0"/>
        <w:spacing w:line="360" w:lineRule="auto"/>
        <w:ind w:firstLineChars="200" w:firstLine="480"/>
        <w:rPr>
          <w:sz w:val="24"/>
          <w:szCs w:val="24"/>
        </w:rPr>
      </w:pPr>
      <w:r>
        <w:rPr>
          <w:sz w:val="24"/>
          <w:szCs w:val="24"/>
        </w:rPr>
        <w:t>4</w:t>
      </w:r>
      <w:r>
        <w:rPr>
          <w:rFonts w:hAnsi="宋体"/>
          <w:sz w:val="24"/>
          <w:szCs w:val="24"/>
        </w:rPr>
        <w:t>、基金份额净值</w:t>
      </w:r>
      <w:r>
        <w:rPr>
          <w:rFonts w:hAnsi="宋体"/>
          <w:bCs/>
          <w:sz w:val="24"/>
          <w:szCs w:val="24"/>
        </w:rPr>
        <w:t>估值错误</w:t>
      </w:r>
      <w:r>
        <w:rPr>
          <w:rFonts w:hAnsi="宋体"/>
          <w:sz w:val="24"/>
          <w:szCs w:val="24"/>
        </w:rPr>
        <w:t>处理的方法如下：</w:t>
      </w:r>
    </w:p>
    <w:p w:rsidR="00783788" w:rsidRDefault="002C6E18">
      <w:pPr>
        <w:adjustRightInd w:val="0"/>
        <w:snapToGrid w:val="0"/>
        <w:spacing w:line="360" w:lineRule="auto"/>
        <w:ind w:firstLineChars="200" w:firstLine="480"/>
        <w:rPr>
          <w:sz w:val="24"/>
          <w:szCs w:val="24"/>
        </w:rPr>
      </w:pPr>
      <w:r>
        <w:rPr>
          <w:rFonts w:hAnsi="宋体"/>
          <w:sz w:val="24"/>
          <w:szCs w:val="24"/>
        </w:rPr>
        <w:t>（</w:t>
      </w:r>
      <w:r>
        <w:rPr>
          <w:sz w:val="24"/>
          <w:szCs w:val="24"/>
        </w:rPr>
        <w:t>1</w:t>
      </w:r>
      <w:r>
        <w:rPr>
          <w:rFonts w:hAnsi="宋体"/>
          <w:sz w:val="24"/>
          <w:szCs w:val="24"/>
        </w:rPr>
        <w:t>）基金份额净值计算出现错误时，基金管理人应当立即予以纠正，通报基金托管人，并采取合理的措施防止损失进一步扩大。</w:t>
      </w:r>
    </w:p>
    <w:p w:rsidR="00783788" w:rsidRDefault="002C6E18">
      <w:pPr>
        <w:adjustRightInd w:val="0"/>
        <w:snapToGrid w:val="0"/>
        <w:spacing w:line="360" w:lineRule="auto"/>
        <w:ind w:firstLineChars="200" w:firstLine="480"/>
        <w:rPr>
          <w:sz w:val="24"/>
          <w:szCs w:val="24"/>
        </w:rPr>
      </w:pPr>
      <w:r>
        <w:rPr>
          <w:rFonts w:hAnsi="宋体"/>
          <w:sz w:val="24"/>
          <w:szCs w:val="24"/>
        </w:rPr>
        <w:t>（</w:t>
      </w:r>
      <w:r>
        <w:rPr>
          <w:sz w:val="24"/>
          <w:szCs w:val="24"/>
        </w:rPr>
        <w:t>2</w:t>
      </w:r>
      <w:r>
        <w:rPr>
          <w:rFonts w:hAnsi="宋体"/>
          <w:sz w:val="24"/>
          <w:szCs w:val="24"/>
        </w:rPr>
        <w:t>）错误偏差达到基金份额净值的</w:t>
      </w:r>
      <w:r>
        <w:rPr>
          <w:sz w:val="24"/>
          <w:szCs w:val="24"/>
        </w:rPr>
        <w:t>0.25%</w:t>
      </w:r>
      <w:r>
        <w:rPr>
          <w:rFonts w:hAnsi="宋体"/>
          <w:sz w:val="24"/>
          <w:szCs w:val="24"/>
        </w:rPr>
        <w:t>时，基金管理人应当通报基金托管人并报中国证监会备案；错误偏差达到基金份额净值的</w:t>
      </w:r>
      <w:r>
        <w:rPr>
          <w:sz w:val="24"/>
          <w:szCs w:val="24"/>
        </w:rPr>
        <w:t>0.5%</w:t>
      </w:r>
      <w:r>
        <w:rPr>
          <w:rFonts w:hAnsi="宋体"/>
          <w:sz w:val="24"/>
          <w:szCs w:val="24"/>
        </w:rPr>
        <w:t>时，基金管理人应当公告。</w:t>
      </w:r>
    </w:p>
    <w:p w:rsidR="00783788" w:rsidRDefault="002C6E18">
      <w:pPr>
        <w:adjustRightInd w:val="0"/>
        <w:snapToGrid w:val="0"/>
        <w:spacing w:line="360" w:lineRule="auto"/>
        <w:ind w:firstLineChars="200" w:firstLine="480"/>
        <w:rPr>
          <w:sz w:val="24"/>
          <w:szCs w:val="24"/>
        </w:rPr>
      </w:pPr>
      <w:r>
        <w:rPr>
          <w:rFonts w:hAnsi="宋体"/>
          <w:sz w:val="24"/>
          <w:szCs w:val="24"/>
        </w:rPr>
        <w:t>（</w:t>
      </w:r>
      <w:r>
        <w:rPr>
          <w:sz w:val="24"/>
          <w:szCs w:val="24"/>
        </w:rPr>
        <w:t>3</w:t>
      </w:r>
      <w:r>
        <w:rPr>
          <w:rFonts w:hAnsi="宋体"/>
          <w:sz w:val="24"/>
          <w:szCs w:val="24"/>
        </w:rPr>
        <w:t>）前述内容如法律法规或监管机关另有规定的，从其规定处理。</w:t>
      </w:r>
    </w:p>
    <w:p w:rsidR="00783788" w:rsidRDefault="002C6E18">
      <w:pPr>
        <w:adjustRightInd w:val="0"/>
        <w:snapToGrid w:val="0"/>
        <w:spacing w:line="360" w:lineRule="auto"/>
        <w:ind w:firstLineChars="200" w:firstLine="482"/>
        <w:rPr>
          <w:b/>
          <w:sz w:val="24"/>
          <w:szCs w:val="24"/>
        </w:rPr>
      </w:pPr>
      <w:r>
        <w:rPr>
          <w:rFonts w:hAnsi="宋体"/>
          <w:b/>
          <w:sz w:val="24"/>
          <w:szCs w:val="24"/>
        </w:rPr>
        <w:t>（六）暂停估值的情形</w:t>
      </w:r>
    </w:p>
    <w:p w:rsidR="00783788" w:rsidRDefault="002C6E18">
      <w:pPr>
        <w:adjustRightInd w:val="0"/>
        <w:snapToGrid w:val="0"/>
        <w:spacing w:line="360" w:lineRule="auto"/>
        <w:ind w:firstLineChars="200" w:firstLine="480"/>
        <w:rPr>
          <w:sz w:val="24"/>
          <w:szCs w:val="24"/>
        </w:rPr>
      </w:pPr>
      <w:r>
        <w:rPr>
          <w:sz w:val="24"/>
          <w:szCs w:val="24"/>
        </w:rPr>
        <w:t>1</w:t>
      </w:r>
      <w:r>
        <w:rPr>
          <w:rFonts w:hAnsi="宋体"/>
          <w:sz w:val="24"/>
          <w:szCs w:val="24"/>
        </w:rPr>
        <w:t>、基金投资所涉及的证券交易市场遇法定节假日或因其他原因暂停营业时；</w:t>
      </w:r>
    </w:p>
    <w:p w:rsidR="00783788" w:rsidRDefault="002C6E18">
      <w:pPr>
        <w:adjustRightInd w:val="0"/>
        <w:snapToGrid w:val="0"/>
        <w:spacing w:line="360" w:lineRule="auto"/>
        <w:ind w:firstLineChars="200" w:firstLine="480"/>
        <w:rPr>
          <w:sz w:val="24"/>
          <w:szCs w:val="24"/>
        </w:rPr>
      </w:pPr>
      <w:r>
        <w:rPr>
          <w:sz w:val="24"/>
          <w:szCs w:val="24"/>
        </w:rPr>
        <w:t>2</w:t>
      </w:r>
      <w:r>
        <w:rPr>
          <w:rFonts w:hAnsi="宋体"/>
          <w:sz w:val="24"/>
          <w:szCs w:val="24"/>
        </w:rPr>
        <w:t>、因不可抗力致使基金管理人、基金托管人无法准确评估基金资产价值时；</w:t>
      </w:r>
    </w:p>
    <w:p w:rsidR="00783788" w:rsidRDefault="002C6E18">
      <w:pPr>
        <w:adjustRightInd w:val="0"/>
        <w:snapToGrid w:val="0"/>
        <w:spacing w:line="360" w:lineRule="auto"/>
        <w:ind w:firstLineChars="200" w:firstLine="480"/>
        <w:rPr>
          <w:sz w:val="24"/>
          <w:szCs w:val="24"/>
        </w:rPr>
      </w:pPr>
      <w:r>
        <w:rPr>
          <w:sz w:val="24"/>
          <w:szCs w:val="24"/>
        </w:rPr>
        <w:t>3</w:t>
      </w:r>
      <w:r>
        <w:rPr>
          <w:rFonts w:hAnsi="宋体"/>
          <w:sz w:val="24"/>
          <w:szCs w:val="24"/>
        </w:rPr>
        <w:t>、</w:t>
      </w:r>
      <w:r>
        <w:rPr>
          <w:rFonts w:hAnsi="宋体"/>
          <w:bCs/>
          <w:sz w:val="24"/>
          <w:szCs w:val="24"/>
        </w:rPr>
        <w:t>占基金相当比例的投资品种的估值出现重大转变，而基金管理人为保障基金份额持有人的利益，已决定延迟估值；</w:t>
      </w:r>
    </w:p>
    <w:p w:rsidR="00783788" w:rsidRDefault="002C6E18">
      <w:pPr>
        <w:adjustRightInd w:val="0"/>
        <w:snapToGrid w:val="0"/>
        <w:spacing w:line="360" w:lineRule="auto"/>
        <w:ind w:firstLineChars="200" w:firstLine="480"/>
        <w:rPr>
          <w:sz w:val="24"/>
          <w:szCs w:val="24"/>
        </w:rPr>
      </w:pPr>
      <w:r>
        <w:rPr>
          <w:sz w:val="24"/>
          <w:szCs w:val="24"/>
        </w:rPr>
        <w:t>4</w:t>
      </w:r>
      <w:r>
        <w:rPr>
          <w:rFonts w:hAnsi="宋体"/>
          <w:sz w:val="24"/>
          <w:szCs w:val="24"/>
        </w:rPr>
        <w:t>、中国证监会和基金合同认定的其它情形。</w:t>
      </w:r>
    </w:p>
    <w:p w:rsidR="00783788" w:rsidRDefault="002C6E18">
      <w:pPr>
        <w:adjustRightInd w:val="0"/>
        <w:snapToGrid w:val="0"/>
        <w:spacing w:line="360" w:lineRule="auto"/>
        <w:ind w:firstLineChars="200" w:firstLine="482"/>
        <w:rPr>
          <w:b/>
          <w:sz w:val="24"/>
          <w:szCs w:val="24"/>
        </w:rPr>
      </w:pPr>
      <w:r>
        <w:rPr>
          <w:rFonts w:hAnsi="宋体"/>
          <w:b/>
          <w:sz w:val="24"/>
          <w:szCs w:val="24"/>
        </w:rPr>
        <w:t>（七）基金净值的确认</w:t>
      </w:r>
    </w:p>
    <w:p w:rsidR="00783788" w:rsidRDefault="002C6E18">
      <w:pPr>
        <w:adjustRightInd w:val="0"/>
        <w:snapToGrid w:val="0"/>
        <w:spacing w:line="360" w:lineRule="auto"/>
        <w:ind w:firstLineChars="200" w:firstLine="480"/>
        <w:rPr>
          <w:sz w:val="24"/>
          <w:szCs w:val="24"/>
        </w:rPr>
      </w:pPr>
      <w:r>
        <w:rPr>
          <w:rFonts w:hAnsi="宋体"/>
          <w:sz w:val="24"/>
          <w:szCs w:val="24"/>
        </w:rPr>
        <w:t>用于基金信息披露的基金资产净值和基金份额净值由基金管理人负责计算，基金托管人负责进行复核。基金管理人应于每个开放日交易结束后计算当日的基金资产净值</w:t>
      </w:r>
      <w:r>
        <w:rPr>
          <w:rFonts w:hAnsi="宋体"/>
          <w:bCs/>
          <w:sz w:val="24"/>
          <w:szCs w:val="24"/>
        </w:rPr>
        <w:t>和基金份额净值</w:t>
      </w:r>
      <w:r>
        <w:rPr>
          <w:rFonts w:hAnsi="宋体"/>
          <w:sz w:val="24"/>
          <w:szCs w:val="24"/>
        </w:rPr>
        <w:t>并发送给基金托管人。基金托管人对净值计算结果复核确认后发送给基金管理人，由基金管理人对基金净值予以公布。</w:t>
      </w:r>
    </w:p>
    <w:p w:rsidR="00783788" w:rsidRDefault="002C6E18">
      <w:pPr>
        <w:adjustRightInd w:val="0"/>
        <w:snapToGrid w:val="0"/>
        <w:spacing w:line="360" w:lineRule="auto"/>
        <w:ind w:firstLineChars="200" w:firstLine="482"/>
        <w:rPr>
          <w:b/>
          <w:sz w:val="24"/>
          <w:szCs w:val="24"/>
        </w:rPr>
      </w:pPr>
      <w:r>
        <w:rPr>
          <w:rFonts w:hAnsi="宋体"/>
          <w:b/>
          <w:sz w:val="24"/>
          <w:szCs w:val="24"/>
        </w:rPr>
        <w:t>（八）特殊情</w:t>
      </w:r>
      <w:r>
        <w:rPr>
          <w:rFonts w:hAnsi="宋体" w:hint="eastAsia"/>
          <w:b/>
          <w:sz w:val="24"/>
          <w:szCs w:val="24"/>
        </w:rPr>
        <w:t>况</w:t>
      </w:r>
      <w:r>
        <w:rPr>
          <w:rFonts w:hAnsi="宋体"/>
          <w:b/>
          <w:sz w:val="24"/>
          <w:szCs w:val="24"/>
        </w:rPr>
        <w:t>的处理</w:t>
      </w:r>
    </w:p>
    <w:p w:rsidR="00783788" w:rsidRDefault="002C6E18">
      <w:pPr>
        <w:adjustRightInd w:val="0"/>
        <w:snapToGrid w:val="0"/>
        <w:spacing w:line="360" w:lineRule="auto"/>
        <w:ind w:firstLineChars="200" w:firstLine="480"/>
        <w:rPr>
          <w:sz w:val="24"/>
          <w:szCs w:val="24"/>
        </w:rPr>
      </w:pPr>
      <w:r>
        <w:rPr>
          <w:sz w:val="24"/>
          <w:szCs w:val="24"/>
        </w:rPr>
        <w:t>1</w:t>
      </w:r>
      <w:r>
        <w:rPr>
          <w:rFonts w:hAnsi="宋体"/>
          <w:sz w:val="24"/>
          <w:szCs w:val="24"/>
        </w:rPr>
        <w:t>、基金管理人或基金托管人按估值方法的第</w:t>
      </w:r>
      <w:r>
        <w:rPr>
          <w:sz w:val="24"/>
          <w:szCs w:val="24"/>
        </w:rPr>
        <w:t>5</w:t>
      </w:r>
      <w:r>
        <w:rPr>
          <w:rFonts w:hAnsi="宋体"/>
          <w:sz w:val="24"/>
          <w:szCs w:val="24"/>
        </w:rPr>
        <w:t>项进行估值时，所造成的误差不作为基金资产估值错误处理。</w:t>
      </w:r>
    </w:p>
    <w:p w:rsidR="00783788" w:rsidRDefault="002C6E18">
      <w:pPr>
        <w:adjustRightInd w:val="0"/>
        <w:snapToGrid w:val="0"/>
        <w:spacing w:line="360" w:lineRule="auto"/>
        <w:ind w:firstLineChars="200" w:firstLine="480"/>
        <w:rPr>
          <w:sz w:val="24"/>
          <w:szCs w:val="24"/>
        </w:rPr>
      </w:pPr>
      <w:r>
        <w:rPr>
          <w:sz w:val="24"/>
          <w:szCs w:val="24"/>
        </w:rPr>
        <w:t>2</w:t>
      </w:r>
      <w:r>
        <w:rPr>
          <w:rFonts w:hAnsi="宋体"/>
          <w:sz w:val="24"/>
          <w:szCs w:val="24"/>
        </w:rPr>
        <w:t>、由于不可抗力原因，或由于证券交易所及登记结算公司发送的数据错误，或国家会计政策变更、市场规则变更等，基金管理人和基金托管人虽然已经采取必要、适当、合理的措施进行检查，但未能发现错误的，由此造成的基金资产估值错误，基金管理人和基金托管人免除赔偿责任。但基金管理人、基金托管人应当积极采取必要的措施消除或减轻由此造成的影响。</w:t>
      </w:r>
    </w:p>
    <w:p w:rsidR="00783788" w:rsidRDefault="00783788">
      <w:pPr>
        <w:adjustRightInd w:val="0"/>
        <w:snapToGrid w:val="0"/>
        <w:spacing w:line="360" w:lineRule="auto"/>
        <w:ind w:firstLineChars="200" w:firstLine="482"/>
        <w:rPr>
          <w:b/>
          <w:kern w:val="0"/>
          <w:sz w:val="24"/>
          <w:szCs w:val="24"/>
        </w:rPr>
      </w:pPr>
    </w:p>
    <w:p w:rsidR="00783788" w:rsidRDefault="002C6E18">
      <w:pPr>
        <w:widowControl/>
        <w:adjustRightInd w:val="0"/>
        <w:snapToGrid w:val="0"/>
        <w:spacing w:beforeLines="100" w:before="240" w:afterLines="50" w:after="120" w:line="360" w:lineRule="auto"/>
        <w:jc w:val="center"/>
        <w:outlineLvl w:val="0"/>
        <w:rPr>
          <w:rFonts w:ascii="宋体" w:hAnsi="宋体"/>
          <w:b/>
          <w:kern w:val="0"/>
          <w:sz w:val="30"/>
        </w:rPr>
      </w:pPr>
      <w:bookmarkStart w:id="82" w:name="_Toc382321326"/>
      <w:r>
        <w:rPr>
          <w:rFonts w:ascii="宋体" w:hAnsi="宋体" w:hint="eastAsia"/>
          <w:b/>
          <w:kern w:val="0"/>
          <w:sz w:val="30"/>
        </w:rPr>
        <w:t>十五、基金收益与分配</w:t>
      </w:r>
      <w:bookmarkEnd w:id="82"/>
    </w:p>
    <w:p w:rsidR="00783788" w:rsidRDefault="002C6E18">
      <w:pPr>
        <w:adjustRightInd w:val="0"/>
        <w:snapToGrid w:val="0"/>
        <w:spacing w:line="360" w:lineRule="auto"/>
        <w:ind w:firstLineChars="200" w:firstLine="480"/>
        <w:rPr>
          <w:sz w:val="24"/>
          <w:szCs w:val="24"/>
        </w:rPr>
      </w:pPr>
      <w:r>
        <w:rPr>
          <w:rFonts w:hAnsi="宋体"/>
          <w:bCs/>
          <w:sz w:val="24"/>
          <w:szCs w:val="24"/>
        </w:rPr>
        <w:t>在存续期内，本基金按照基金合同的约定每月定期向基金份额持有人支付一定的现金</w:t>
      </w:r>
      <w:r>
        <w:rPr>
          <w:rFonts w:hAnsi="宋体"/>
          <w:sz w:val="24"/>
          <w:szCs w:val="24"/>
        </w:rPr>
        <w:t>，除上述定期支付外，本基金不另外进行收益分配。</w:t>
      </w:r>
      <w:r>
        <w:rPr>
          <w:rFonts w:hAnsi="宋体"/>
          <w:bCs/>
          <w:sz w:val="24"/>
          <w:szCs w:val="24"/>
        </w:rPr>
        <w:t>关于定期支付的相关规定见本招募说明书第九部分</w:t>
      </w:r>
      <w:r>
        <w:rPr>
          <w:rFonts w:hint="eastAsia"/>
          <w:bCs/>
          <w:sz w:val="24"/>
          <w:szCs w:val="24"/>
        </w:rPr>
        <w:t>“</w:t>
      </w:r>
      <w:r>
        <w:rPr>
          <w:rFonts w:hAnsi="宋体"/>
          <w:bCs/>
          <w:sz w:val="24"/>
          <w:szCs w:val="24"/>
        </w:rPr>
        <w:t>基金的定期支付</w:t>
      </w:r>
      <w:r>
        <w:rPr>
          <w:rFonts w:hint="eastAsia"/>
          <w:bCs/>
          <w:sz w:val="24"/>
          <w:szCs w:val="24"/>
        </w:rPr>
        <w:t>”</w:t>
      </w:r>
      <w:r>
        <w:rPr>
          <w:rFonts w:hAnsi="宋体"/>
          <w:bCs/>
          <w:sz w:val="24"/>
          <w:szCs w:val="24"/>
        </w:rPr>
        <w:t>。</w:t>
      </w:r>
    </w:p>
    <w:p w:rsidR="00783788" w:rsidRDefault="00783788">
      <w:pPr>
        <w:widowControl/>
        <w:adjustRightInd w:val="0"/>
        <w:snapToGrid w:val="0"/>
        <w:spacing w:line="360" w:lineRule="auto"/>
        <w:ind w:firstLineChars="200" w:firstLine="480"/>
        <w:rPr>
          <w:kern w:val="0"/>
          <w:sz w:val="24"/>
          <w:szCs w:val="24"/>
        </w:rPr>
      </w:pPr>
    </w:p>
    <w:p w:rsidR="00783788" w:rsidRDefault="002C6E18">
      <w:pPr>
        <w:widowControl/>
        <w:adjustRightInd w:val="0"/>
        <w:snapToGrid w:val="0"/>
        <w:spacing w:beforeLines="100" w:before="240" w:afterLines="50" w:after="120" w:line="360" w:lineRule="auto"/>
        <w:jc w:val="center"/>
        <w:outlineLvl w:val="0"/>
        <w:rPr>
          <w:rFonts w:ascii="宋体" w:hAnsi="宋体"/>
          <w:b/>
          <w:kern w:val="0"/>
          <w:sz w:val="30"/>
        </w:rPr>
      </w:pPr>
      <w:bookmarkStart w:id="83" w:name="_Toc382321327"/>
      <w:r>
        <w:rPr>
          <w:rFonts w:ascii="宋体" w:hAnsi="宋体" w:hint="eastAsia"/>
          <w:b/>
          <w:kern w:val="0"/>
          <w:sz w:val="30"/>
        </w:rPr>
        <w:t>十六、基金的费用与税收</w:t>
      </w:r>
      <w:bookmarkEnd w:id="83"/>
    </w:p>
    <w:p w:rsidR="00783788" w:rsidRDefault="002C6E18">
      <w:pPr>
        <w:adjustRightInd w:val="0"/>
        <w:snapToGrid w:val="0"/>
        <w:spacing w:line="360" w:lineRule="auto"/>
        <w:ind w:firstLineChars="200" w:firstLine="482"/>
        <w:outlineLvl w:val="1"/>
        <w:rPr>
          <w:b/>
          <w:sz w:val="24"/>
        </w:rPr>
      </w:pPr>
      <w:r>
        <w:rPr>
          <w:rFonts w:hAnsi="宋体"/>
          <w:b/>
          <w:sz w:val="24"/>
        </w:rPr>
        <w:t>（一）基金费用的种类</w:t>
      </w:r>
      <w:r>
        <w:rPr>
          <w:b/>
          <w:sz w:val="24"/>
        </w:rPr>
        <w:t xml:space="preserve"> </w:t>
      </w:r>
    </w:p>
    <w:p w:rsidR="00783788" w:rsidRDefault="002C6E18">
      <w:pPr>
        <w:adjustRightInd w:val="0"/>
        <w:snapToGrid w:val="0"/>
        <w:spacing w:line="360" w:lineRule="auto"/>
        <w:ind w:firstLineChars="200" w:firstLine="480"/>
        <w:outlineLvl w:val="1"/>
        <w:rPr>
          <w:sz w:val="24"/>
        </w:rPr>
      </w:pPr>
      <w:r>
        <w:rPr>
          <w:sz w:val="24"/>
        </w:rPr>
        <w:t>1</w:t>
      </w:r>
      <w:r>
        <w:rPr>
          <w:rFonts w:hAnsi="宋体"/>
          <w:sz w:val="24"/>
        </w:rPr>
        <w:t>、基金管理人的管理费；</w:t>
      </w:r>
    </w:p>
    <w:p w:rsidR="00783788" w:rsidRDefault="002C6E18">
      <w:pPr>
        <w:adjustRightInd w:val="0"/>
        <w:snapToGrid w:val="0"/>
        <w:spacing w:line="360" w:lineRule="auto"/>
        <w:ind w:firstLineChars="200" w:firstLine="480"/>
        <w:rPr>
          <w:sz w:val="24"/>
        </w:rPr>
      </w:pPr>
      <w:r>
        <w:rPr>
          <w:sz w:val="24"/>
        </w:rPr>
        <w:t>2</w:t>
      </w:r>
      <w:r>
        <w:rPr>
          <w:rFonts w:hAnsi="宋体"/>
          <w:sz w:val="24"/>
        </w:rPr>
        <w:t>、基金托管人的托管费；</w:t>
      </w:r>
    </w:p>
    <w:p w:rsidR="00783788" w:rsidRDefault="002C6E18">
      <w:pPr>
        <w:adjustRightInd w:val="0"/>
        <w:snapToGrid w:val="0"/>
        <w:spacing w:line="360" w:lineRule="auto"/>
        <w:ind w:firstLineChars="200" w:firstLine="480"/>
        <w:rPr>
          <w:bCs/>
          <w:sz w:val="24"/>
        </w:rPr>
      </w:pPr>
      <w:r>
        <w:rPr>
          <w:bCs/>
          <w:sz w:val="24"/>
        </w:rPr>
        <w:t>3</w:t>
      </w:r>
      <w:r>
        <w:rPr>
          <w:rFonts w:hAnsi="宋体"/>
          <w:bCs/>
          <w:sz w:val="24"/>
        </w:rPr>
        <w:t>、基金合同生效后与基金相关的信息披露费用；</w:t>
      </w:r>
    </w:p>
    <w:p w:rsidR="00783788" w:rsidRDefault="002C6E18">
      <w:pPr>
        <w:adjustRightInd w:val="0"/>
        <w:snapToGrid w:val="0"/>
        <w:spacing w:line="360" w:lineRule="auto"/>
        <w:ind w:firstLineChars="200" w:firstLine="480"/>
        <w:rPr>
          <w:bCs/>
          <w:sz w:val="24"/>
        </w:rPr>
      </w:pPr>
      <w:r>
        <w:rPr>
          <w:bCs/>
          <w:sz w:val="24"/>
        </w:rPr>
        <w:t>4</w:t>
      </w:r>
      <w:r>
        <w:rPr>
          <w:rFonts w:hAnsi="宋体"/>
          <w:bCs/>
          <w:sz w:val="24"/>
        </w:rPr>
        <w:t>、基金合同生效后与基金相关的会计师费、律师费和诉讼费；</w:t>
      </w:r>
    </w:p>
    <w:p w:rsidR="00783788" w:rsidRDefault="002C6E18">
      <w:pPr>
        <w:adjustRightInd w:val="0"/>
        <w:snapToGrid w:val="0"/>
        <w:spacing w:line="360" w:lineRule="auto"/>
        <w:ind w:firstLineChars="200" w:firstLine="480"/>
        <w:rPr>
          <w:bCs/>
          <w:sz w:val="24"/>
        </w:rPr>
      </w:pPr>
      <w:r>
        <w:rPr>
          <w:bCs/>
          <w:sz w:val="24"/>
        </w:rPr>
        <w:t>5</w:t>
      </w:r>
      <w:r>
        <w:rPr>
          <w:rFonts w:hAnsi="宋体"/>
          <w:bCs/>
          <w:sz w:val="24"/>
        </w:rPr>
        <w:t>、基金份额持有人大会费用</w:t>
      </w:r>
      <w:bookmarkStart w:id="84" w:name="_Toc109537393"/>
      <w:r>
        <w:rPr>
          <w:rFonts w:hAnsi="宋体"/>
          <w:bCs/>
          <w:sz w:val="24"/>
        </w:rPr>
        <w:t>；</w:t>
      </w:r>
    </w:p>
    <w:p w:rsidR="00783788" w:rsidRDefault="002C6E18">
      <w:pPr>
        <w:adjustRightInd w:val="0"/>
        <w:snapToGrid w:val="0"/>
        <w:spacing w:line="360" w:lineRule="auto"/>
        <w:ind w:firstLineChars="200" w:firstLine="480"/>
        <w:rPr>
          <w:bCs/>
          <w:sz w:val="24"/>
        </w:rPr>
      </w:pPr>
      <w:r>
        <w:rPr>
          <w:bCs/>
          <w:sz w:val="24"/>
        </w:rPr>
        <w:t>6</w:t>
      </w:r>
      <w:r>
        <w:rPr>
          <w:rFonts w:hAnsi="宋体"/>
          <w:bCs/>
          <w:sz w:val="24"/>
        </w:rPr>
        <w:t>、基金的证券交易</w:t>
      </w:r>
      <w:bookmarkEnd w:id="84"/>
      <w:r>
        <w:rPr>
          <w:rFonts w:hAnsi="宋体"/>
          <w:bCs/>
          <w:sz w:val="24"/>
        </w:rPr>
        <w:t>费用；</w:t>
      </w:r>
    </w:p>
    <w:p w:rsidR="00783788" w:rsidRDefault="002C6E18">
      <w:pPr>
        <w:adjustRightInd w:val="0"/>
        <w:snapToGrid w:val="0"/>
        <w:spacing w:line="360" w:lineRule="auto"/>
        <w:ind w:firstLineChars="200" w:firstLine="480"/>
        <w:rPr>
          <w:bCs/>
          <w:sz w:val="24"/>
        </w:rPr>
      </w:pPr>
      <w:r>
        <w:rPr>
          <w:bCs/>
          <w:sz w:val="24"/>
        </w:rPr>
        <w:t>7</w:t>
      </w:r>
      <w:r>
        <w:rPr>
          <w:rFonts w:hAnsi="宋体"/>
          <w:bCs/>
          <w:sz w:val="24"/>
        </w:rPr>
        <w:t>、基金的银行汇划费用；</w:t>
      </w:r>
    </w:p>
    <w:p w:rsidR="00783788" w:rsidRDefault="002C6E18">
      <w:pPr>
        <w:adjustRightInd w:val="0"/>
        <w:snapToGrid w:val="0"/>
        <w:spacing w:line="360" w:lineRule="auto"/>
        <w:ind w:firstLineChars="200" w:firstLine="480"/>
        <w:rPr>
          <w:bCs/>
          <w:sz w:val="24"/>
        </w:rPr>
      </w:pPr>
      <w:r>
        <w:rPr>
          <w:bCs/>
          <w:sz w:val="24"/>
        </w:rPr>
        <w:t>8</w:t>
      </w:r>
      <w:r>
        <w:rPr>
          <w:rFonts w:hAnsi="宋体"/>
          <w:bCs/>
          <w:sz w:val="24"/>
        </w:rPr>
        <w:t>、</w:t>
      </w:r>
      <w:r>
        <w:rPr>
          <w:rFonts w:hAnsi="宋体"/>
          <w:sz w:val="24"/>
        </w:rPr>
        <w:t>基金的开户费用、账户维护费用；</w:t>
      </w:r>
    </w:p>
    <w:p w:rsidR="00783788" w:rsidRDefault="002C6E18">
      <w:pPr>
        <w:adjustRightInd w:val="0"/>
        <w:snapToGrid w:val="0"/>
        <w:spacing w:line="360" w:lineRule="auto"/>
        <w:ind w:firstLineChars="200" w:firstLine="480"/>
        <w:rPr>
          <w:bCs/>
          <w:sz w:val="24"/>
        </w:rPr>
      </w:pPr>
      <w:r>
        <w:rPr>
          <w:bCs/>
          <w:sz w:val="24"/>
        </w:rPr>
        <w:t>9</w:t>
      </w:r>
      <w:r>
        <w:rPr>
          <w:rFonts w:hAnsi="宋体"/>
          <w:bCs/>
          <w:sz w:val="24"/>
        </w:rPr>
        <w:t>、按照国家有关规定和基金合同约定，可以在基金财产中列支的其他费用。</w:t>
      </w:r>
    </w:p>
    <w:p w:rsidR="00783788" w:rsidRDefault="002C6E18">
      <w:pPr>
        <w:adjustRightInd w:val="0"/>
        <w:snapToGrid w:val="0"/>
        <w:spacing w:line="360" w:lineRule="auto"/>
        <w:ind w:firstLineChars="200" w:firstLine="482"/>
        <w:outlineLvl w:val="1"/>
        <w:rPr>
          <w:b/>
          <w:sz w:val="24"/>
        </w:rPr>
      </w:pPr>
      <w:r>
        <w:rPr>
          <w:rFonts w:hAnsi="宋体"/>
          <w:b/>
          <w:sz w:val="24"/>
        </w:rPr>
        <w:t>（二）基金费用计提方法、计提标准和支付方式</w:t>
      </w:r>
      <w:r>
        <w:rPr>
          <w:b/>
          <w:sz w:val="24"/>
        </w:rPr>
        <w:t xml:space="preserve"> </w:t>
      </w:r>
    </w:p>
    <w:p w:rsidR="00783788" w:rsidRDefault="002C6E18">
      <w:pPr>
        <w:spacing w:line="360" w:lineRule="auto"/>
        <w:ind w:firstLineChars="200" w:firstLine="480"/>
        <w:rPr>
          <w:bCs/>
          <w:sz w:val="24"/>
        </w:rPr>
      </w:pPr>
      <w:r>
        <w:rPr>
          <w:bCs/>
          <w:sz w:val="24"/>
        </w:rPr>
        <w:t>1</w:t>
      </w:r>
      <w:r>
        <w:rPr>
          <w:rFonts w:hint="eastAsia"/>
          <w:bCs/>
          <w:sz w:val="24"/>
        </w:rPr>
        <w:t>、与基金运作有关的费用</w:t>
      </w:r>
    </w:p>
    <w:p w:rsidR="00783788" w:rsidRDefault="002C6E18">
      <w:pPr>
        <w:adjustRightInd w:val="0"/>
        <w:snapToGrid w:val="0"/>
        <w:spacing w:line="360" w:lineRule="auto"/>
        <w:ind w:firstLineChars="200" w:firstLine="480"/>
        <w:rPr>
          <w:sz w:val="24"/>
        </w:rPr>
      </w:pPr>
      <w:r>
        <w:rPr>
          <w:rFonts w:hint="eastAsia"/>
          <w:sz w:val="24"/>
        </w:rPr>
        <w:t>（</w:t>
      </w:r>
      <w:r>
        <w:rPr>
          <w:sz w:val="24"/>
        </w:rPr>
        <w:t>1</w:t>
      </w:r>
      <w:r>
        <w:rPr>
          <w:rFonts w:hAnsi="宋体" w:hint="eastAsia"/>
          <w:sz w:val="24"/>
        </w:rPr>
        <w:t>）</w:t>
      </w:r>
      <w:r>
        <w:rPr>
          <w:rFonts w:hAnsi="宋体"/>
          <w:sz w:val="24"/>
        </w:rPr>
        <w:t>基金管理人的管理费</w:t>
      </w:r>
    </w:p>
    <w:p w:rsidR="00783788" w:rsidRDefault="002C6E18">
      <w:pPr>
        <w:adjustRightInd w:val="0"/>
        <w:snapToGrid w:val="0"/>
        <w:spacing w:line="360" w:lineRule="auto"/>
        <w:ind w:firstLineChars="200" w:firstLine="480"/>
        <w:rPr>
          <w:sz w:val="24"/>
        </w:rPr>
      </w:pPr>
      <w:r>
        <w:rPr>
          <w:rFonts w:hAnsi="宋体"/>
          <w:bCs/>
          <w:sz w:val="24"/>
        </w:rPr>
        <w:t>本基金的管理费</w:t>
      </w:r>
      <w:r>
        <w:rPr>
          <w:rFonts w:hAnsi="宋体"/>
          <w:sz w:val="24"/>
        </w:rPr>
        <w:t>按前一日基金资产净值的</w:t>
      </w:r>
      <w:r>
        <w:rPr>
          <w:sz w:val="24"/>
        </w:rPr>
        <w:t>1.5%</w:t>
      </w:r>
      <w:r>
        <w:rPr>
          <w:rFonts w:hAnsi="宋体"/>
          <w:sz w:val="24"/>
        </w:rPr>
        <w:t>年费率计提。</w:t>
      </w:r>
      <w:r>
        <w:rPr>
          <w:rFonts w:hAnsi="宋体"/>
          <w:bCs/>
          <w:sz w:val="24"/>
        </w:rPr>
        <w:t>管理费的</w:t>
      </w:r>
      <w:r>
        <w:rPr>
          <w:rFonts w:hAnsi="宋体"/>
          <w:sz w:val="24"/>
        </w:rPr>
        <w:t>计算方法如下：</w:t>
      </w:r>
    </w:p>
    <w:p w:rsidR="00783788" w:rsidRDefault="002C6E18">
      <w:pPr>
        <w:adjustRightInd w:val="0"/>
        <w:snapToGrid w:val="0"/>
        <w:spacing w:line="360" w:lineRule="auto"/>
        <w:ind w:firstLineChars="200" w:firstLine="480"/>
        <w:rPr>
          <w:sz w:val="24"/>
        </w:rPr>
      </w:pPr>
      <w:r>
        <w:rPr>
          <w:sz w:val="24"/>
        </w:rPr>
        <w:t>H</w:t>
      </w:r>
      <w:r>
        <w:rPr>
          <w:rFonts w:hAnsi="宋体"/>
          <w:sz w:val="24"/>
        </w:rPr>
        <w:t>＝</w:t>
      </w:r>
      <w:r>
        <w:rPr>
          <w:sz w:val="24"/>
        </w:rPr>
        <w:t>E×1.5%÷</w:t>
      </w:r>
      <w:r>
        <w:rPr>
          <w:rFonts w:hAnsi="宋体"/>
          <w:sz w:val="24"/>
        </w:rPr>
        <w:t>当年天数</w:t>
      </w:r>
    </w:p>
    <w:p w:rsidR="00783788" w:rsidRDefault="002C6E18">
      <w:pPr>
        <w:adjustRightInd w:val="0"/>
        <w:snapToGrid w:val="0"/>
        <w:spacing w:line="360" w:lineRule="auto"/>
        <w:ind w:firstLineChars="200" w:firstLine="480"/>
        <w:rPr>
          <w:sz w:val="24"/>
        </w:rPr>
      </w:pPr>
      <w:r>
        <w:rPr>
          <w:sz w:val="24"/>
        </w:rPr>
        <w:t>H</w:t>
      </w:r>
      <w:r>
        <w:rPr>
          <w:rFonts w:hAnsi="宋体"/>
          <w:sz w:val="24"/>
        </w:rPr>
        <w:t>为每日应计提的基金管理费</w:t>
      </w:r>
    </w:p>
    <w:p w:rsidR="00783788" w:rsidRDefault="002C6E18">
      <w:pPr>
        <w:adjustRightInd w:val="0"/>
        <w:snapToGrid w:val="0"/>
        <w:spacing w:line="360" w:lineRule="auto"/>
        <w:ind w:firstLineChars="200" w:firstLine="480"/>
        <w:rPr>
          <w:sz w:val="24"/>
        </w:rPr>
      </w:pPr>
      <w:r>
        <w:rPr>
          <w:sz w:val="24"/>
        </w:rPr>
        <w:t>E</w:t>
      </w:r>
      <w:r>
        <w:rPr>
          <w:rFonts w:hAnsi="宋体"/>
          <w:sz w:val="24"/>
        </w:rPr>
        <w:t>为前一日的基金资产净值</w:t>
      </w:r>
    </w:p>
    <w:p w:rsidR="00783788" w:rsidRDefault="002C6E18">
      <w:pPr>
        <w:adjustRightInd w:val="0"/>
        <w:snapToGrid w:val="0"/>
        <w:spacing w:line="360" w:lineRule="auto"/>
        <w:ind w:firstLineChars="200" w:firstLine="480"/>
        <w:rPr>
          <w:bCs/>
          <w:sz w:val="24"/>
        </w:rPr>
      </w:pPr>
      <w:r>
        <w:rPr>
          <w:rFonts w:hAnsi="宋体"/>
          <w:bCs/>
          <w:sz w:val="24"/>
        </w:rPr>
        <w:t>基金管理费每日计算，逐日累计至每月月末，按月支付，由基金管理人向基金托管人发送基金管理费划款指令，基金托管人复核后于次月前</w:t>
      </w:r>
      <w:r>
        <w:rPr>
          <w:bCs/>
          <w:sz w:val="24"/>
        </w:rPr>
        <w:t>3</w:t>
      </w:r>
      <w:r>
        <w:rPr>
          <w:rFonts w:hAnsi="宋体"/>
          <w:bCs/>
          <w:sz w:val="24"/>
        </w:rPr>
        <w:t>个工作日内从基金财产中一次性支付给基金管理人。若遇不可抗力致使无法按时支付的，支付日期顺延至最近可支付日支付。</w:t>
      </w:r>
    </w:p>
    <w:p w:rsidR="00783788" w:rsidRDefault="002C6E18">
      <w:pPr>
        <w:adjustRightInd w:val="0"/>
        <w:snapToGrid w:val="0"/>
        <w:spacing w:line="360" w:lineRule="auto"/>
        <w:ind w:firstLineChars="200" w:firstLine="480"/>
        <w:rPr>
          <w:sz w:val="24"/>
        </w:rPr>
      </w:pPr>
      <w:r>
        <w:rPr>
          <w:rFonts w:hint="eastAsia"/>
          <w:sz w:val="24"/>
        </w:rPr>
        <w:t>（</w:t>
      </w:r>
      <w:r>
        <w:rPr>
          <w:sz w:val="24"/>
        </w:rPr>
        <w:t>2</w:t>
      </w:r>
      <w:r>
        <w:rPr>
          <w:rFonts w:hAnsi="宋体" w:hint="eastAsia"/>
          <w:sz w:val="24"/>
        </w:rPr>
        <w:t>）</w:t>
      </w:r>
      <w:r>
        <w:rPr>
          <w:rFonts w:hAnsi="宋体"/>
          <w:sz w:val="24"/>
        </w:rPr>
        <w:t>基金托管人的托管费</w:t>
      </w:r>
    </w:p>
    <w:p w:rsidR="00783788" w:rsidRDefault="002C6E18">
      <w:pPr>
        <w:adjustRightInd w:val="0"/>
        <w:snapToGrid w:val="0"/>
        <w:spacing w:line="360" w:lineRule="auto"/>
        <w:ind w:firstLineChars="200" w:firstLine="480"/>
        <w:rPr>
          <w:sz w:val="24"/>
        </w:rPr>
      </w:pPr>
      <w:r>
        <w:rPr>
          <w:rFonts w:hAnsi="宋体"/>
          <w:bCs/>
          <w:sz w:val="24"/>
        </w:rPr>
        <w:t>本基金的托管费按前一日基金资产净值的</w:t>
      </w:r>
      <w:r>
        <w:rPr>
          <w:bCs/>
          <w:sz w:val="24"/>
        </w:rPr>
        <w:t>0.25%</w:t>
      </w:r>
      <w:r>
        <w:rPr>
          <w:rFonts w:hAnsi="宋体"/>
          <w:bCs/>
          <w:sz w:val="24"/>
        </w:rPr>
        <w:t>的年费率计提。托管费的计算方法如下</w:t>
      </w:r>
      <w:r>
        <w:rPr>
          <w:rFonts w:hAnsi="宋体"/>
          <w:sz w:val="24"/>
        </w:rPr>
        <w:t>：</w:t>
      </w:r>
    </w:p>
    <w:p w:rsidR="00783788" w:rsidRDefault="002C6E18">
      <w:pPr>
        <w:adjustRightInd w:val="0"/>
        <w:snapToGrid w:val="0"/>
        <w:spacing w:line="360" w:lineRule="auto"/>
        <w:ind w:firstLineChars="200" w:firstLine="480"/>
        <w:rPr>
          <w:sz w:val="24"/>
        </w:rPr>
      </w:pPr>
      <w:r>
        <w:rPr>
          <w:sz w:val="24"/>
        </w:rPr>
        <w:t>H</w:t>
      </w:r>
      <w:r>
        <w:rPr>
          <w:rFonts w:hAnsi="宋体"/>
          <w:sz w:val="24"/>
        </w:rPr>
        <w:t>＝</w:t>
      </w:r>
      <w:r>
        <w:rPr>
          <w:sz w:val="24"/>
        </w:rPr>
        <w:t>E×0.25%÷</w:t>
      </w:r>
      <w:r>
        <w:rPr>
          <w:rFonts w:hAnsi="宋体"/>
          <w:sz w:val="24"/>
        </w:rPr>
        <w:t>当年天数</w:t>
      </w:r>
    </w:p>
    <w:p w:rsidR="00783788" w:rsidRDefault="002C6E18">
      <w:pPr>
        <w:adjustRightInd w:val="0"/>
        <w:snapToGrid w:val="0"/>
        <w:spacing w:line="360" w:lineRule="auto"/>
        <w:ind w:firstLineChars="200" w:firstLine="480"/>
        <w:rPr>
          <w:sz w:val="24"/>
        </w:rPr>
      </w:pPr>
      <w:r>
        <w:rPr>
          <w:sz w:val="24"/>
        </w:rPr>
        <w:t>H</w:t>
      </w:r>
      <w:r>
        <w:rPr>
          <w:rFonts w:hAnsi="宋体"/>
          <w:sz w:val="24"/>
        </w:rPr>
        <w:t>为每日应计提的基金托管费</w:t>
      </w:r>
    </w:p>
    <w:p w:rsidR="00783788" w:rsidRDefault="002C6E18">
      <w:pPr>
        <w:adjustRightInd w:val="0"/>
        <w:snapToGrid w:val="0"/>
        <w:spacing w:line="360" w:lineRule="auto"/>
        <w:ind w:firstLineChars="200" w:firstLine="480"/>
        <w:rPr>
          <w:sz w:val="24"/>
        </w:rPr>
      </w:pPr>
      <w:r>
        <w:rPr>
          <w:sz w:val="24"/>
        </w:rPr>
        <w:t>E</w:t>
      </w:r>
      <w:r>
        <w:rPr>
          <w:rFonts w:hAnsi="宋体"/>
          <w:sz w:val="24"/>
        </w:rPr>
        <w:t>为前一日的基金资产净值</w:t>
      </w:r>
    </w:p>
    <w:p w:rsidR="00783788" w:rsidRDefault="002C6E18">
      <w:pPr>
        <w:adjustRightInd w:val="0"/>
        <w:snapToGrid w:val="0"/>
        <w:spacing w:line="360" w:lineRule="auto"/>
        <w:ind w:firstLineChars="200" w:firstLine="480"/>
        <w:rPr>
          <w:bCs/>
          <w:sz w:val="24"/>
        </w:rPr>
      </w:pPr>
      <w:r>
        <w:rPr>
          <w:rFonts w:hAnsi="宋体"/>
          <w:bCs/>
          <w:sz w:val="24"/>
        </w:rPr>
        <w:t>基金托管费每日计算，逐日累计至每月月末，按月支付，由基金管理人向基金托管人发送基金托管费划款指令，基金托管人复核后于次月前</w:t>
      </w:r>
      <w:r>
        <w:rPr>
          <w:bCs/>
          <w:sz w:val="24"/>
        </w:rPr>
        <w:t>3</w:t>
      </w:r>
      <w:r>
        <w:rPr>
          <w:rFonts w:hAnsi="宋体"/>
          <w:bCs/>
          <w:sz w:val="24"/>
        </w:rPr>
        <w:t>个工作日内从基金财产中一次性支取。若遇不可抗力致使无法按时支付的，支付日期顺延至最近可支付日支付。</w:t>
      </w:r>
    </w:p>
    <w:p w:rsidR="00783788" w:rsidRDefault="002C6E18">
      <w:pPr>
        <w:spacing w:line="360" w:lineRule="auto"/>
        <w:ind w:firstLineChars="200" w:firstLine="480"/>
        <w:rPr>
          <w:rFonts w:ascii="宋体" w:hAnsi="宋体"/>
          <w:sz w:val="24"/>
        </w:rPr>
      </w:pPr>
      <w:r>
        <w:rPr>
          <w:rFonts w:ascii="宋体" w:hAnsi="宋体" w:hint="eastAsia"/>
          <w:sz w:val="24"/>
        </w:rPr>
        <w:t>2、与基金销售有关的费用</w:t>
      </w:r>
    </w:p>
    <w:p w:rsidR="00783788" w:rsidRDefault="002C6E18">
      <w:pPr>
        <w:spacing w:line="360" w:lineRule="auto"/>
        <w:ind w:firstLineChars="200" w:firstLine="480"/>
        <w:rPr>
          <w:rFonts w:ascii="宋体" w:hAnsi="宋体"/>
          <w:sz w:val="24"/>
        </w:rPr>
      </w:pPr>
      <w:r>
        <w:rPr>
          <w:rFonts w:ascii="宋体" w:hAnsi="宋体" w:hint="eastAsia"/>
          <w:sz w:val="24"/>
        </w:rPr>
        <w:t>（1）申购费</w:t>
      </w:r>
    </w:p>
    <w:p w:rsidR="00783788" w:rsidRDefault="002C6E18">
      <w:pPr>
        <w:spacing w:line="360" w:lineRule="auto"/>
        <w:ind w:firstLineChars="200" w:firstLine="480"/>
        <w:rPr>
          <w:rFonts w:ascii="宋体" w:hAnsi="宋体"/>
          <w:sz w:val="24"/>
        </w:rPr>
      </w:pPr>
      <w:r>
        <w:rPr>
          <w:rFonts w:ascii="宋体" w:hAnsi="宋体" w:hint="eastAsia"/>
          <w:sz w:val="24"/>
        </w:rPr>
        <w:t>本基金申购费的费率水平、计算公式和收取方式详见“基金份额的申购与赎回”一章。</w:t>
      </w:r>
    </w:p>
    <w:p w:rsidR="00783788" w:rsidRDefault="002C6E18">
      <w:pPr>
        <w:spacing w:line="360" w:lineRule="auto"/>
        <w:ind w:firstLineChars="200" w:firstLine="480"/>
        <w:rPr>
          <w:rFonts w:ascii="宋体" w:hAnsi="宋体"/>
          <w:sz w:val="24"/>
        </w:rPr>
      </w:pPr>
      <w:r>
        <w:rPr>
          <w:rFonts w:ascii="宋体" w:hAnsi="宋体" w:hint="eastAsia"/>
          <w:sz w:val="24"/>
        </w:rPr>
        <w:t>（2）赎回费</w:t>
      </w:r>
    </w:p>
    <w:p w:rsidR="00783788" w:rsidRDefault="002C6E18">
      <w:pPr>
        <w:spacing w:line="360" w:lineRule="auto"/>
        <w:ind w:firstLineChars="200" w:firstLine="480"/>
        <w:rPr>
          <w:rFonts w:ascii="宋体" w:hAnsi="宋体"/>
          <w:sz w:val="24"/>
        </w:rPr>
      </w:pPr>
      <w:r>
        <w:rPr>
          <w:rFonts w:ascii="宋体" w:hAnsi="宋体" w:hint="eastAsia"/>
          <w:sz w:val="24"/>
        </w:rPr>
        <w:t>本基金赎回费的费率水平、计算公式和收取方式详见“基金份额的申购与赎回”一章。</w:t>
      </w:r>
    </w:p>
    <w:p w:rsidR="00783788" w:rsidRDefault="002C6E18">
      <w:pPr>
        <w:spacing w:line="360" w:lineRule="auto"/>
        <w:ind w:firstLineChars="200" w:firstLine="480"/>
        <w:rPr>
          <w:rFonts w:ascii="宋体" w:hAnsi="宋体"/>
          <w:sz w:val="24"/>
        </w:rPr>
      </w:pPr>
      <w:r>
        <w:rPr>
          <w:rFonts w:ascii="宋体" w:hAnsi="宋体" w:hint="eastAsia"/>
          <w:sz w:val="24"/>
        </w:rPr>
        <w:t>（3）转换费</w:t>
      </w:r>
    </w:p>
    <w:p w:rsidR="00783788" w:rsidRDefault="002C6E18">
      <w:pPr>
        <w:spacing w:line="360" w:lineRule="auto"/>
        <w:ind w:firstLineChars="200" w:firstLine="480"/>
        <w:rPr>
          <w:rFonts w:ascii="宋体" w:hAnsi="宋体"/>
          <w:sz w:val="24"/>
        </w:rPr>
      </w:pPr>
      <w:r>
        <w:rPr>
          <w:rFonts w:ascii="宋体" w:hAnsi="宋体" w:hint="eastAsia"/>
          <w:sz w:val="24"/>
        </w:rPr>
        <w:t>本基金转换费的费率水平、计算公式和收取方式详见“基金的转换”一章。</w:t>
      </w:r>
    </w:p>
    <w:p w:rsidR="00783788" w:rsidRDefault="002C6E18">
      <w:pPr>
        <w:adjustRightInd w:val="0"/>
        <w:snapToGrid w:val="0"/>
        <w:spacing w:line="360" w:lineRule="auto"/>
        <w:ind w:firstLineChars="200" w:firstLine="480"/>
        <w:rPr>
          <w:sz w:val="24"/>
        </w:rPr>
      </w:pPr>
      <w:r>
        <w:rPr>
          <w:bCs/>
          <w:sz w:val="24"/>
        </w:rPr>
        <w:t>3</w:t>
      </w:r>
      <w:r>
        <w:rPr>
          <w:rFonts w:hAnsi="宋体"/>
          <w:bCs/>
          <w:sz w:val="24"/>
        </w:rPr>
        <w:t>、上述</w:t>
      </w:r>
      <w:r>
        <w:rPr>
          <w:rFonts w:hint="eastAsia"/>
          <w:bCs/>
          <w:sz w:val="24"/>
        </w:rPr>
        <w:t>“（</w:t>
      </w:r>
      <w:r>
        <w:rPr>
          <w:rFonts w:hAnsi="宋体"/>
          <w:bCs/>
          <w:sz w:val="24"/>
        </w:rPr>
        <w:t>一</w:t>
      </w:r>
      <w:r>
        <w:rPr>
          <w:rFonts w:hAnsi="宋体" w:hint="eastAsia"/>
          <w:bCs/>
          <w:sz w:val="24"/>
        </w:rPr>
        <w:t>）</w:t>
      </w:r>
      <w:r>
        <w:rPr>
          <w:rFonts w:hAnsi="宋体"/>
          <w:bCs/>
          <w:sz w:val="24"/>
        </w:rPr>
        <w:t>基金费用的种类</w:t>
      </w:r>
      <w:r>
        <w:rPr>
          <w:rFonts w:hint="eastAsia"/>
          <w:bCs/>
          <w:sz w:val="24"/>
        </w:rPr>
        <w:t>”</w:t>
      </w:r>
      <w:r>
        <w:rPr>
          <w:rFonts w:hAnsi="宋体"/>
          <w:bCs/>
          <w:sz w:val="24"/>
        </w:rPr>
        <w:t>中第</w:t>
      </w:r>
      <w:r>
        <w:rPr>
          <w:bCs/>
          <w:sz w:val="24"/>
        </w:rPr>
        <w:t>3</w:t>
      </w:r>
      <w:r>
        <w:rPr>
          <w:rFonts w:hAnsi="宋体"/>
          <w:bCs/>
          <w:sz w:val="24"/>
        </w:rPr>
        <w:t>－</w:t>
      </w:r>
      <w:r>
        <w:rPr>
          <w:bCs/>
          <w:sz w:val="24"/>
        </w:rPr>
        <w:t>9</w:t>
      </w:r>
      <w:r>
        <w:rPr>
          <w:rFonts w:hAnsi="宋体"/>
          <w:bCs/>
          <w:sz w:val="24"/>
        </w:rPr>
        <w:t>项费用，根据有关法规及相应协议规定，按费用实际支出金额列入当期费用，由基金托管人从基金财产中支付。</w:t>
      </w:r>
    </w:p>
    <w:p w:rsidR="00783788" w:rsidRDefault="002C6E18">
      <w:pPr>
        <w:adjustRightInd w:val="0"/>
        <w:snapToGrid w:val="0"/>
        <w:spacing w:line="360" w:lineRule="auto"/>
        <w:ind w:firstLineChars="200" w:firstLine="482"/>
        <w:outlineLvl w:val="1"/>
        <w:rPr>
          <w:b/>
          <w:sz w:val="24"/>
        </w:rPr>
      </w:pPr>
      <w:r>
        <w:rPr>
          <w:rFonts w:hAnsi="宋体"/>
          <w:b/>
          <w:sz w:val="24"/>
        </w:rPr>
        <w:t>（三）不列入基金费用的项目</w:t>
      </w:r>
      <w:r>
        <w:rPr>
          <w:b/>
          <w:sz w:val="24"/>
        </w:rPr>
        <w:t xml:space="preserve"> </w:t>
      </w:r>
    </w:p>
    <w:p w:rsidR="00783788" w:rsidRDefault="002C6E18">
      <w:pPr>
        <w:adjustRightInd w:val="0"/>
        <w:snapToGrid w:val="0"/>
        <w:spacing w:line="360" w:lineRule="auto"/>
        <w:ind w:firstLineChars="200" w:firstLine="480"/>
        <w:rPr>
          <w:bCs/>
          <w:sz w:val="24"/>
        </w:rPr>
      </w:pPr>
      <w:r>
        <w:rPr>
          <w:rFonts w:hAnsi="宋体"/>
          <w:bCs/>
          <w:sz w:val="24"/>
        </w:rPr>
        <w:t>下列费用不列入基金费用：</w:t>
      </w:r>
    </w:p>
    <w:p w:rsidR="00783788" w:rsidRDefault="002C6E18">
      <w:pPr>
        <w:adjustRightInd w:val="0"/>
        <w:snapToGrid w:val="0"/>
        <w:spacing w:line="360" w:lineRule="auto"/>
        <w:ind w:firstLineChars="200" w:firstLine="480"/>
        <w:rPr>
          <w:bCs/>
          <w:sz w:val="24"/>
        </w:rPr>
      </w:pPr>
      <w:r>
        <w:rPr>
          <w:bCs/>
          <w:sz w:val="24"/>
        </w:rPr>
        <w:t>1</w:t>
      </w:r>
      <w:r>
        <w:rPr>
          <w:rFonts w:hAnsi="宋体"/>
          <w:bCs/>
          <w:sz w:val="24"/>
        </w:rPr>
        <w:t>、基金管理人和基金托管人因未履行或未完全履行义务导致的费用支出或基金财产的损失；</w:t>
      </w:r>
    </w:p>
    <w:p w:rsidR="00783788" w:rsidRDefault="002C6E18">
      <w:pPr>
        <w:adjustRightInd w:val="0"/>
        <w:snapToGrid w:val="0"/>
        <w:spacing w:line="360" w:lineRule="auto"/>
        <w:ind w:firstLineChars="200" w:firstLine="480"/>
        <w:rPr>
          <w:bCs/>
          <w:sz w:val="24"/>
        </w:rPr>
      </w:pPr>
      <w:r>
        <w:rPr>
          <w:bCs/>
          <w:sz w:val="24"/>
        </w:rPr>
        <w:t>2</w:t>
      </w:r>
      <w:r>
        <w:rPr>
          <w:rFonts w:hAnsi="宋体"/>
          <w:bCs/>
          <w:sz w:val="24"/>
        </w:rPr>
        <w:t>、基金管理人和基金托管人处理与基金运作无关的事项发生的费用；</w:t>
      </w:r>
    </w:p>
    <w:p w:rsidR="00783788" w:rsidRDefault="002C6E18">
      <w:pPr>
        <w:adjustRightInd w:val="0"/>
        <w:snapToGrid w:val="0"/>
        <w:spacing w:line="360" w:lineRule="auto"/>
        <w:ind w:firstLineChars="200" w:firstLine="480"/>
        <w:rPr>
          <w:bCs/>
          <w:sz w:val="24"/>
        </w:rPr>
      </w:pPr>
      <w:r>
        <w:rPr>
          <w:bCs/>
          <w:sz w:val="24"/>
        </w:rPr>
        <w:t>3</w:t>
      </w:r>
      <w:r>
        <w:rPr>
          <w:rFonts w:hAnsi="宋体"/>
          <w:bCs/>
          <w:sz w:val="24"/>
        </w:rPr>
        <w:t>、基金合同生效前的相关费用；</w:t>
      </w:r>
    </w:p>
    <w:p w:rsidR="00783788" w:rsidRDefault="002C6E18">
      <w:pPr>
        <w:adjustRightInd w:val="0"/>
        <w:snapToGrid w:val="0"/>
        <w:spacing w:line="360" w:lineRule="auto"/>
        <w:ind w:firstLineChars="200" w:firstLine="480"/>
        <w:rPr>
          <w:sz w:val="24"/>
        </w:rPr>
      </w:pPr>
      <w:bookmarkStart w:id="85" w:name="_Hlt81193394"/>
      <w:bookmarkEnd w:id="85"/>
      <w:r>
        <w:rPr>
          <w:bCs/>
          <w:sz w:val="24"/>
        </w:rPr>
        <w:t>4</w:t>
      </w:r>
      <w:r>
        <w:rPr>
          <w:rFonts w:hAnsi="宋体"/>
          <w:bCs/>
          <w:sz w:val="24"/>
        </w:rPr>
        <w:t>、其他根据相关法律法规及中国证监会的有关规定不得列入基金费用的项目。</w:t>
      </w:r>
    </w:p>
    <w:p w:rsidR="00783788" w:rsidRDefault="002C6E18">
      <w:pPr>
        <w:adjustRightInd w:val="0"/>
        <w:snapToGrid w:val="0"/>
        <w:spacing w:line="360" w:lineRule="auto"/>
        <w:ind w:firstLineChars="200" w:firstLine="482"/>
        <w:outlineLvl w:val="1"/>
        <w:rPr>
          <w:b/>
          <w:sz w:val="24"/>
        </w:rPr>
      </w:pPr>
      <w:r>
        <w:rPr>
          <w:rFonts w:hAnsi="宋体"/>
          <w:b/>
          <w:sz w:val="24"/>
        </w:rPr>
        <w:t>（四）基金税收</w:t>
      </w:r>
      <w:r>
        <w:rPr>
          <w:b/>
          <w:sz w:val="24"/>
        </w:rPr>
        <w:t xml:space="preserve"> </w:t>
      </w:r>
    </w:p>
    <w:p w:rsidR="00783788" w:rsidRDefault="002C6E18">
      <w:pPr>
        <w:adjustRightInd w:val="0"/>
        <w:snapToGrid w:val="0"/>
        <w:spacing w:line="360" w:lineRule="auto"/>
        <w:ind w:firstLineChars="200" w:firstLine="480"/>
        <w:rPr>
          <w:sz w:val="24"/>
        </w:rPr>
      </w:pPr>
      <w:r>
        <w:rPr>
          <w:rFonts w:hAnsi="宋体"/>
          <w:bCs/>
          <w:sz w:val="24"/>
        </w:rPr>
        <w:t>本基金运作过程中涉及的各纳税主体，其纳税义务按国家税收</w:t>
      </w:r>
      <w:bookmarkStart w:id="86" w:name="_Hlt88900784"/>
      <w:bookmarkEnd w:id="86"/>
      <w:r>
        <w:rPr>
          <w:rFonts w:hAnsi="宋体"/>
          <w:bCs/>
          <w:sz w:val="24"/>
        </w:rPr>
        <w:t>法律、法规执行。</w:t>
      </w:r>
    </w:p>
    <w:p w:rsidR="00783788" w:rsidRDefault="00783788">
      <w:pPr>
        <w:widowControl/>
        <w:adjustRightInd w:val="0"/>
        <w:snapToGrid w:val="0"/>
        <w:spacing w:line="360" w:lineRule="auto"/>
        <w:ind w:firstLineChars="200" w:firstLine="480"/>
        <w:rPr>
          <w:kern w:val="0"/>
          <w:sz w:val="24"/>
        </w:rPr>
      </w:pPr>
    </w:p>
    <w:p w:rsidR="00783788" w:rsidRDefault="002C6E18">
      <w:pPr>
        <w:widowControl/>
        <w:adjustRightInd w:val="0"/>
        <w:snapToGrid w:val="0"/>
        <w:spacing w:beforeLines="100" w:before="240" w:afterLines="50" w:after="120" w:line="360" w:lineRule="auto"/>
        <w:jc w:val="center"/>
        <w:outlineLvl w:val="0"/>
        <w:rPr>
          <w:rFonts w:ascii="宋体" w:hAnsi="宋体"/>
          <w:b/>
          <w:kern w:val="0"/>
          <w:sz w:val="30"/>
        </w:rPr>
      </w:pPr>
      <w:bookmarkStart w:id="87" w:name="_Toc382321328"/>
      <w:r>
        <w:rPr>
          <w:rFonts w:ascii="宋体" w:hAnsi="宋体" w:hint="eastAsia"/>
          <w:b/>
          <w:kern w:val="0"/>
          <w:sz w:val="30"/>
        </w:rPr>
        <w:t>十七、基金的会计与审计</w:t>
      </w:r>
      <w:bookmarkEnd w:id="87"/>
    </w:p>
    <w:p w:rsidR="00783788" w:rsidRDefault="002C6E18">
      <w:pPr>
        <w:adjustRightInd w:val="0"/>
        <w:snapToGrid w:val="0"/>
        <w:spacing w:line="360" w:lineRule="auto"/>
        <w:ind w:firstLineChars="200" w:firstLine="482"/>
        <w:outlineLvl w:val="1"/>
        <w:rPr>
          <w:b/>
          <w:sz w:val="24"/>
        </w:rPr>
      </w:pPr>
      <w:r>
        <w:rPr>
          <w:rFonts w:hAnsi="宋体"/>
          <w:b/>
          <w:sz w:val="24"/>
        </w:rPr>
        <w:t>（一）基金会计政策</w:t>
      </w:r>
      <w:r>
        <w:rPr>
          <w:b/>
          <w:sz w:val="24"/>
        </w:rPr>
        <w:t xml:space="preserve"> </w:t>
      </w:r>
    </w:p>
    <w:p w:rsidR="00783788" w:rsidRDefault="002C6E18">
      <w:pPr>
        <w:adjustRightInd w:val="0"/>
        <w:snapToGrid w:val="0"/>
        <w:spacing w:line="360" w:lineRule="auto"/>
        <w:ind w:firstLineChars="200" w:firstLine="480"/>
        <w:rPr>
          <w:sz w:val="24"/>
          <w:szCs w:val="18"/>
        </w:rPr>
      </w:pPr>
      <w:r>
        <w:rPr>
          <w:sz w:val="24"/>
        </w:rPr>
        <w:t>1</w:t>
      </w:r>
      <w:r>
        <w:rPr>
          <w:rFonts w:hAnsi="宋体"/>
          <w:sz w:val="24"/>
        </w:rPr>
        <w:t>、基金管理人为本基金的基金会计责任方；</w:t>
      </w:r>
    </w:p>
    <w:p w:rsidR="00783788" w:rsidRDefault="002C6E18">
      <w:pPr>
        <w:adjustRightInd w:val="0"/>
        <w:snapToGrid w:val="0"/>
        <w:spacing w:line="360" w:lineRule="auto"/>
        <w:ind w:firstLineChars="200" w:firstLine="480"/>
        <w:rPr>
          <w:sz w:val="24"/>
          <w:szCs w:val="18"/>
        </w:rPr>
      </w:pPr>
      <w:r>
        <w:rPr>
          <w:sz w:val="24"/>
        </w:rPr>
        <w:t>2</w:t>
      </w:r>
      <w:r>
        <w:rPr>
          <w:rFonts w:hAnsi="宋体"/>
          <w:sz w:val="24"/>
        </w:rPr>
        <w:t>、基金的会计年度为公历年度的</w:t>
      </w:r>
      <w:r>
        <w:rPr>
          <w:sz w:val="24"/>
        </w:rPr>
        <w:t>1</w:t>
      </w:r>
      <w:r>
        <w:rPr>
          <w:rFonts w:hAnsi="宋体"/>
          <w:sz w:val="24"/>
        </w:rPr>
        <w:t>月</w:t>
      </w:r>
      <w:r>
        <w:rPr>
          <w:sz w:val="24"/>
        </w:rPr>
        <w:t>1</w:t>
      </w:r>
      <w:r>
        <w:rPr>
          <w:rFonts w:hAnsi="宋体"/>
          <w:sz w:val="24"/>
        </w:rPr>
        <w:t>日至</w:t>
      </w:r>
      <w:r>
        <w:rPr>
          <w:sz w:val="24"/>
        </w:rPr>
        <w:t>12</w:t>
      </w:r>
      <w:r>
        <w:rPr>
          <w:rFonts w:hAnsi="宋体"/>
          <w:sz w:val="24"/>
        </w:rPr>
        <w:t>月</w:t>
      </w:r>
      <w:r>
        <w:rPr>
          <w:sz w:val="24"/>
        </w:rPr>
        <w:t>31</w:t>
      </w:r>
      <w:r>
        <w:rPr>
          <w:rFonts w:hAnsi="宋体"/>
          <w:sz w:val="24"/>
        </w:rPr>
        <w:t>日；</w:t>
      </w:r>
      <w:r>
        <w:rPr>
          <w:bCs/>
          <w:sz w:val="24"/>
        </w:rPr>
        <w:t xml:space="preserve"> </w:t>
      </w:r>
      <w:bookmarkStart w:id="88" w:name="_Toc109537394"/>
    </w:p>
    <w:p w:rsidR="00783788" w:rsidRDefault="002C6E18">
      <w:pPr>
        <w:adjustRightInd w:val="0"/>
        <w:snapToGrid w:val="0"/>
        <w:spacing w:line="360" w:lineRule="auto"/>
        <w:ind w:firstLineChars="200" w:firstLine="480"/>
        <w:rPr>
          <w:sz w:val="24"/>
          <w:szCs w:val="18"/>
        </w:rPr>
      </w:pPr>
      <w:r>
        <w:rPr>
          <w:sz w:val="24"/>
        </w:rPr>
        <w:t>3</w:t>
      </w:r>
      <w:r>
        <w:rPr>
          <w:rFonts w:hAnsi="宋体"/>
          <w:sz w:val="24"/>
        </w:rPr>
        <w:t>、</w:t>
      </w:r>
      <w:r>
        <w:rPr>
          <w:rFonts w:hAnsi="宋体"/>
          <w:sz w:val="24"/>
          <w:szCs w:val="21"/>
        </w:rPr>
        <w:t>基金核</w:t>
      </w:r>
      <w:bookmarkEnd w:id="88"/>
      <w:r>
        <w:rPr>
          <w:rFonts w:hAnsi="宋体"/>
          <w:sz w:val="24"/>
          <w:szCs w:val="21"/>
        </w:rPr>
        <w:t>算以人民币为记账本位币，以人民币元为记账单位；</w:t>
      </w:r>
    </w:p>
    <w:p w:rsidR="00783788" w:rsidRDefault="002C6E18">
      <w:pPr>
        <w:adjustRightInd w:val="0"/>
        <w:snapToGrid w:val="0"/>
        <w:spacing w:line="360" w:lineRule="auto"/>
        <w:ind w:firstLineChars="200" w:firstLine="480"/>
        <w:rPr>
          <w:sz w:val="24"/>
          <w:szCs w:val="18"/>
        </w:rPr>
      </w:pPr>
      <w:r>
        <w:rPr>
          <w:sz w:val="24"/>
        </w:rPr>
        <w:t>4</w:t>
      </w:r>
      <w:r>
        <w:rPr>
          <w:rFonts w:hAnsi="宋体"/>
          <w:sz w:val="24"/>
        </w:rPr>
        <w:t>、会计制度执行国家有关会计制度；</w:t>
      </w:r>
    </w:p>
    <w:p w:rsidR="00783788" w:rsidRDefault="002C6E18">
      <w:pPr>
        <w:adjustRightInd w:val="0"/>
        <w:snapToGrid w:val="0"/>
        <w:spacing w:line="360" w:lineRule="auto"/>
        <w:ind w:firstLineChars="200" w:firstLine="480"/>
        <w:rPr>
          <w:sz w:val="24"/>
          <w:szCs w:val="18"/>
        </w:rPr>
      </w:pPr>
      <w:r>
        <w:rPr>
          <w:sz w:val="24"/>
        </w:rPr>
        <w:t>5</w:t>
      </w:r>
      <w:r>
        <w:rPr>
          <w:rFonts w:hAnsi="宋体"/>
          <w:sz w:val="24"/>
        </w:rPr>
        <w:t>、本基金独立建账、独立核算；</w:t>
      </w:r>
    </w:p>
    <w:p w:rsidR="00783788" w:rsidRDefault="002C6E18">
      <w:pPr>
        <w:adjustRightInd w:val="0"/>
        <w:snapToGrid w:val="0"/>
        <w:spacing w:line="360" w:lineRule="auto"/>
        <w:ind w:firstLineChars="200" w:firstLine="480"/>
        <w:rPr>
          <w:sz w:val="24"/>
          <w:szCs w:val="18"/>
        </w:rPr>
      </w:pPr>
      <w:r>
        <w:rPr>
          <w:sz w:val="24"/>
          <w:szCs w:val="18"/>
        </w:rPr>
        <w:t>6</w:t>
      </w:r>
      <w:r>
        <w:rPr>
          <w:rFonts w:hAnsi="宋体"/>
          <w:sz w:val="24"/>
          <w:szCs w:val="18"/>
        </w:rPr>
        <w:t>、基金管理人及基金托管人各自保留完整的会计账目、凭证并进行日常的会计核算，按照有关规定编制基金会计报表；</w:t>
      </w:r>
    </w:p>
    <w:p w:rsidR="00783788" w:rsidRDefault="002C6E18">
      <w:pPr>
        <w:adjustRightInd w:val="0"/>
        <w:snapToGrid w:val="0"/>
        <w:spacing w:line="360" w:lineRule="auto"/>
        <w:ind w:firstLineChars="200" w:firstLine="480"/>
        <w:rPr>
          <w:sz w:val="24"/>
        </w:rPr>
      </w:pPr>
      <w:r>
        <w:rPr>
          <w:sz w:val="24"/>
          <w:szCs w:val="18"/>
        </w:rPr>
        <w:t>7</w:t>
      </w:r>
      <w:r>
        <w:rPr>
          <w:rFonts w:hAnsi="宋体"/>
          <w:sz w:val="24"/>
          <w:szCs w:val="18"/>
        </w:rPr>
        <w:t>、基金托管人每月与基金管理人就基金的会计核算、报表编制等进行核对并以书面方式确认。</w:t>
      </w:r>
    </w:p>
    <w:p w:rsidR="00783788" w:rsidRDefault="002C6E18">
      <w:pPr>
        <w:adjustRightInd w:val="0"/>
        <w:snapToGrid w:val="0"/>
        <w:spacing w:line="360" w:lineRule="auto"/>
        <w:ind w:firstLineChars="200" w:firstLine="482"/>
        <w:outlineLvl w:val="1"/>
        <w:rPr>
          <w:b/>
          <w:sz w:val="24"/>
        </w:rPr>
      </w:pPr>
      <w:r>
        <w:rPr>
          <w:rFonts w:hAnsi="宋体"/>
          <w:b/>
          <w:sz w:val="24"/>
        </w:rPr>
        <w:t>（二）基金的年度审计</w:t>
      </w:r>
      <w:r>
        <w:rPr>
          <w:b/>
          <w:sz w:val="24"/>
        </w:rPr>
        <w:t xml:space="preserve"> </w:t>
      </w:r>
    </w:p>
    <w:p w:rsidR="00783788" w:rsidRDefault="002C6E18">
      <w:pPr>
        <w:adjustRightInd w:val="0"/>
        <w:snapToGrid w:val="0"/>
        <w:spacing w:line="360" w:lineRule="auto"/>
        <w:ind w:firstLineChars="200" w:firstLine="480"/>
        <w:rPr>
          <w:sz w:val="24"/>
          <w:szCs w:val="18"/>
        </w:rPr>
      </w:pPr>
      <w:r>
        <w:rPr>
          <w:sz w:val="24"/>
        </w:rPr>
        <w:t>1</w:t>
      </w:r>
      <w:r>
        <w:rPr>
          <w:rFonts w:hAnsi="宋体"/>
          <w:sz w:val="24"/>
        </w:rPr>
        <w:t>、基金管理人聘请</w:t>
      </w:r>
      <w:r>
        <w:rPr>
          <w:rFonts w:hAnsi="宋体"/>
          <w:bCs/>
          <w:sz w:val="24"/>
        </w:rPr>
        <w:t>与基金管理人、基金托管人相互独立的具有证券从业资格的会计师事务所及其注册会计师对本基金的年度财务报表进行审计。</w:t>
      </w:r>
    </w:p>
    <w:p w:rsidR="00783788" w:rsidRDefault="002C6E18">
      <w:pPr>
        <w:adjustRightInd w:val="0"/>
        <w:snapToGrid w:val="0"/>
        <w:spacing w:line="360" w:lineRule="auto"/>
        <w:ind w:firstLineChars="200" w:firstLine="480"/>
        <w:rPr>
          <w:sz w:val="24"/>
          <w:szCs w:val="18"/>
        </w:rPr>
      </w:pPr>
      <w:r>
        <w:rPr>
          <w:sz w:val="24"/>
          <w:szCs w:val="21"/>
        </w:rPr>
        <w:t>2</w:t>
      </w:r>
      <w:r>
        <w:rPr>
          <w:rFonts w:hAnsi="宋体"/>
          <w:sz w:val="24"/>
          <w:szCs w:val="21"/>
        </w:rPr>
        <w:t>、会计师事务所更换经办注册会计师，应事先征得基金管理人同意。</w:t>
      </w:r>
    </w:p>
    <w:p w:rsidR="00783788" w:rsidRDefault="002C6E18">
      <w:pPr>
        <w:adjustRightInd w:val="0"/>
        <w:snapToGrid w:val="0"/>
        <w:spacing w:line="360" w:lineRule="auto"/>
        <w:ind w:firstLineChars="200" w:firstLine="480"/>
        <w:rPr>
          <w:sz w:val="24"/>
        </w:rPr>
      </w:pPr>
      <w:r>
        <w:rPr>
          <w:sz w:val="24"/>
        </w:rPr>
        <w:t>3</w:t>
      </w:r>
      <w:r>
        <w:rPr>
          <w:rFonts w:hAnsi="宋体"/>
          <w:sz w:val="24"/>
        </w:rPr>
        <w:t>、基金管理人认为有充足理由更换会计师事务所，须通报基金托管人。更换会计师事务所</w:t>
      </w:r>
      <w:r>
        <w:rPr>
          <w:rFonts w:hAnsi="宋体"/>
          <w:bCs/>
          <w:sz w:val="24"/>
        </w:rPr>
        <w:t>需在</w:t>
      </w:r>
      <w:r>
        <w:rPr>
          <w:bCs/>
          <w:sz w:val="24"/>
        </w:rPr>
        <w:t>2</w:t>
      </w:r>
      <w:r>
        <w:rPr>
          <w:rFonts w:hAnsi="宋体"/>
          <w:bCs/>
          <w:sz w:val="24"/>
        </w:rPr>
        <w:t>个工作日内</w:t>
      </w:r>
      <w:r>
        <w:rPr>
          <w:rFonts w:hAnsi="宋体"/>
          <w:sz w:val="24"/>
          <w:szCs w:val="18"/>
        </w:rPr>
        <w:t>在指定媒体公告</w:t>
      </w:r>
      <w:r>
        <w:rPr>
          <w:rFonts w:hAnsi="宋体"/>
          <w:bCs/>
          <w:sz w:val="24"/>
        </w:rPr>
        <w:t>并报中国证监会备案</w:t>
      </w:r>
      <w:r>
        <w:rPr>
          <w:rFonts w:hAnsi="宋体"/>
          <w:sz w:val="24"/>
        </w:rPr>
        <w:t>。</w:t>
      </w:r>
    </w:p>
    <w:p w:rsidR="00783788" w:rsidRDefault="00783788">
      <w:pPr>
        <w:widowControl/>
        <w:adjustRightInd w:val="0"/>
        <w:snapToGrid w:val="0"/>
        <w:spacing w:line="360" w:lineRule="auto"/>
        <w:ind w:firstLineChars="200" w:firstLine="480"/>
        <w:rPr>
          <w:kern w:val="0"/>
          <w:sz w:val="24"/>
        </w:rPr>
      </w:pPr>
    </w:p>
    <w:p w:rsidR="00783788" w:rsidRDefault="002C6E18">
      <w:pPr>
        <w:widowControl/>
        <w:adjustRightInd w:val="0"/>
        <w:snapToGrid w:val="0"/>
        <w:spacing w:beforeLines="100" w:before="240" w:afterLines="50" w:after="120" w:line="360" w:lineRule="auto"/>
        <w:jc w:val="center"/>
        <w:outlineLvl w:val="0"/>
        <w:rPr>
          <w:rFonts w:ascii="宋体" w:hAnsi="宋体"/>
          <w:b/>
          <w:kern w:val="0"/>
          <w:sz w:val="30"/>
        </w:rPr>
      </w:pPr>
      <w:bookmarkStart w:id="89" w:name="_Toc382321329"/>
      <w:r>
        <w:rPr>
          <w:rFonts w:ascii="宋体" w:hAnsi="宋体" w:hint="eastAsia"/>
          <w:b/>
          <w:kern w:val="0"/>
          <w:sz w:val="30"/>
        </w:rPr>
        <w:t>十八、基金的信息披露</w:t>
      </w:r>
      <w:bookmarkEnd w:id="89"/>
    </w:p>
    <w:p w:rsidR="00783788" w:rsidRDefault="002C6E18">
      <w:pPr>
        <w:adjustRightInd w:val="0"/>
        <w:snapToGrid w:val="0"/>
        <w:spacing w:line="360" w:lineRule="auto"/>
        <w:ind w:firstLineChars="200" w:firstLine="482"/>
        <w:rPr>
          <w:b/>
          <w:sz w:val="24"/>
        </w:rPr>
      </w:pPr>
      <w:r>
        <w:rPr>
          <w:rFonts w:hAnsi="宋体"/>
          <w:b/>
          <w:sz w:val="24"/>
        </w:rPr>
        <w:t>（一）</w:t>
      </w:r>
      <w:r>
        <w:rPr>
          <w:rFonts w:hAnsi="宋体"/>
          <w:sz w:val="24"/>
        </w:rPr>
        <w:t>本基金的信息披露应符合《基金法》、《运作办法》、《信息披露办法》、基金合同及其他有关规定。</w:t>
      </w:r>
    </w:p>
    <w:p w:rsidR="00783788" w:rsidRDefault="002C6E18">
      <w:pPr>
        <w:adjustRightInd w:val="0"/>
        <w:snapToGrid w:val="0"/>
        <w:spacing w:line="360" w:lineRule="auto"/>
        <w:ind w:firstLineChars="200" w:firstLine="482"/>
        <w:rPr>
          <w:b/>
          <w:sz w:val="24"/>
        </w:rPr>
      </w:pPr>
      <w:r>
        <w:rPr>
          <w:rFonts w:hAnsi="宋体"/>
          <w:b/>
          <w:bCs/>
          <w:sz w:val="24"/>
        </w:rPr>
        <w:t>（二）信息披露义务人</w:t>
      </w:r>
    </w:p>
    <w:p w:rsidR="00783788" w:rsidRDefault="002C6E18">
      <w:pPr>
        <w:adjustRightInd w:val="0"/>
        <w:snapToGrid w:val="0"/>
        <w:spacing w:line="360" w:lineRule="auto"/>
        <w:ind w:firstLineChars="200" w:firstLine="480"/>
        <w:rPr>
          <w:sz w:val="24"/>
        </w:rPr>
      </w:pPr>
      <w:r>
        <w:rPr>
          <w:rFonts w:hAnsi="宋体"/>
          <w:sz w:val="24"/>
        </w:rPr>
        <w:t>本基金信息披露义务人包括基金管理人、基金托管人、召集基金份额持有人大会的基金份额持有人等法律法规</w:t>
      </w:r>
      <w:bookmarkStart w:id="90" w:name="_Toc109537395"/>
      <w:r>
        <w:rPr>
          <w:rFonts w:hAnsi="宋体"/>
          <w:sz w:val="24"/>
        </w:rPr>
        <w:t>和中国证监会规定的自</w:t>
      </w:r>
      <w:bookmarkEnd w:id="90"/>
      <w:r>
        <w:rPr>
          <w:rFonts w:hAnsi="宋体"/>
          <w:sz w:val="24"/>
        </w:rPr>
        <w:t>然人、法人和其他组织。</w:t>
      </w:r>
    </w:p>
    <w:p w:rsidR="00783788" w:rsidRDefault="002C6E18">
      <w:pPr>
        <w:adjustRightInd w:val="0"/>
        <w:snapToGrid w:val="0"/>
        <w:spacing w:line="360" w:lineRule="auto"/>
        <w:ind w:firstLineChars="200" w:firstLine="480"/>
        <w:rPr>
          <w:sz w:val="24"/>
        </w:rPr>
      </w:pPr>
      <w:r>
        <w:rPr>
          <w:rFonts w:hAnsi="宋体"/>
          <w:sz w:val="24"/>
        </w:rPr>
        <w:t>本基金信息披露义务人按照法律法规和中国证监会的规定披露基金信息，并保证所披露信息的真实性、准确性和完整性。</w:t>
      </w:r>
    </w:p>
    <w:p w:rsidR="00783788" w:rsidRDefault="002C6E18">
      <w:pPr>
        <w:adjustRightInd w:val="0"/>
        <w:snapToGrid w:val="0"/>
        <w:spacing w:line="360" w:lineRule="auto"/>
        <w:ind w:firstLineChars="200" w:firstLine="480"/>
        <w:rPr>
          <w:sz w:val="24"/>
        </w:rPr>
      </w:pPr>
      <w:r>
        <w:rPr>
          <w:rFonts w:hAnsi="宋体"/>
          <w:sz w:val="24"/>
        </w:rPr>
        <w:t>本基金信息披露义务人应当在中国证监会规定时间内，将应予披露的基金信息通过中国证监会指定的全国性报刊（以下简称</w:t>
      </w:r>
      <w:r>
        <w:rPr>
          <w:sz w:val="24"/>
        </w:rPr>
        <w:t>“</w:t>
      </w:r>
      <w:r>
        <w:rPr>
          <w:rFonts w:hAnsi="宋体"/>
          <w:sz w:val="24"/>
        </w:rPr>
        <w:t>指定报刊</w:t>
      </w:r>
      <w:r>
        <w:rPr>
          <w:sz w:val="24"/>
        </w:rPr>
        <w:t>”</w:t>
      </w:r>
      <w:r>
        <w:rPr>
          <w:rFonts w:hAnsi="宋体"/>
          <w:sz w:val="24"/>
        </w:rPr>
        <w:t>）和基金管理人、基金托管人的互联网网站（以下简称</w:t>
      </w:r>
      <w:r>
        <w:rPr>
          <w:sz w:val="24"/>
        </w:rPr>
        <w:t>“</w:t>
      </w:r>
      <w:r>
        <w:rPr>
          <w:rFonts w:hAnsi="宋体"/>
          <w:sz w:val="24"/>
        </w:rPr>
        <w:t>网站</w:t>
      </w:r>
      <w:r>
        <w:rPr>
          <w:sz w:val="24"/>
        </w:rPr>
        <w:t>”</w:t>
      </w:r>
      <w:r>
        <w:rPr>
          <w:rFonts w:hAnsi="宋体"/>
          <w:sz w:val="24"/>
        </w:rPr>
        <w:t>）等媒介披露，并保证基金投资者能够按照基金合同约定的时间和方式查阅或者复制公开披露的信息资料。</w:t>
      </w:r>
    </w:p>
    <w:p w:rsidR="00783788" w:rsidRDefault="002C6E18">
      <w:pPr>
        <w:adjustRightInd w:val="0"/>
        <w:snapToGrid w:val="0"/>
        <w:spacing w:line="360" w:lineRule="auto"/>
        <w:ind w:firstLineChars="200" w:firstLine="482"/>
        <w:rPr>
          <w:b/>
          <w:sz w:val="24"/>
        </w:rPr>
      </w:pPr>
      <w:r>
        <w:rPr>
          <w:rFonts w:hAnsi="宋体"/>
          <w:b/>
          <w:sz w:val="24"/>
        </w:rPr>
        <w:t>（三）本基金信息披露义务人承诺公开披露的基金信息，不得有下列行为：</w:t>
      </w:r>
    </w:p>
    <w:p w:rsidR="00783788" w:rsidRDefault="002C6E18">
      <w:pPr>
        <w:adjustRightInd w:val="0"/>
        <w:snapToGrid w:val="0"/>
        <w:spacing w:line="360" w:lineRule="auto"/>
        <w:ind w:firstLineChars="200" w:firstLine="480"/>
        <w:rPr>
          <w:sz w:val="24"/>
        </w:rPr>
      </w:pPr>
      <w:r>
        <w:rPr>
          <w:sz w:val="24"/>
        </w:rPr>
        <w:t>1</w:t>
      </w:r>
      <w:r>
        <w:rPr>
          <w:rFonts w:hAnsi="宋体"/>
          <w:sz w:val="24"/>
        </w:rPr>
        <w:t>、虚假记载、误导性陈述或者重大遗漏；</w:t>
      </w:r>
    </w:p>
    <w:p w:rsidR="00783788" w:rsidRDefault="002C6E18">
      <w:pPr>
        <w:adjustRightInd w:val="0"/>
        <w:snapToGrid w:val="0"/>
        <w:spacing w:line="360" w:lineRule="auto"/>
        <w:ind w:firstLineChars="200" w:firstLine="480"/>
        <w:rPr>
          <w:sz w:val="24"/>
        </w:rPr>
      </w:pPr>
      <w:r>
        <w:rPr>
          <w:sz w:val="24"/>
        </w:rPr>
        <w:t>2</w:t>
      </w:r>
      <w:r>
        <w:rPr>
          <w:rFonts w:hAnsi="宋体"/>
          <w:sz w:val="24"/>
        </w:rPr>
        <w:t>、对证券投资业绩进行预测；</w:t>
      </w:r>
    </w:p>
    <w:p w:rsidR="00783788" w:rsidRDefault="002C6E18">
      <w:pPr>
        <w:adjustRightInd w:val="0"/>
        <w:snapToGrid w:val="0"/>
        <w:spacing w:line="360" w:lineRule="auto"/>
        <w:ind w:firstLineChars="200" w:firstLine="480"/>
        <w:rPr>
          <w:sz w:val="24"/>
        </w:rPr>
      </w:pPr>
      <w:r>
        <w:rPr>
          <w:sz w:val="24"/>
        </w:rPr>
        <w:t>3</w:t>
      </w:r>
      <w:r>
        <w:rPr>
          <w:rFonts w:hAnsi="宋体"/>
          <w:sz w:val="24"/>
        </w:rPr>
        <w:t>、违规承诺收益或者承担损失；</w:t>
      </w:r>
    </w:p>
    <w:p w:rsidR="00783788" w:rsidRDefault="002C6E18">
      <w:pPr>
        <w:adjustRightInd w:val="0"/>
        <w:snapToGrid w:val="0"/>
        <w:spacing w:line="360" w:lineRule="auto"/>
        <w:ind w:firstLineChars="200" w:firstLine="480"/>
        <w:rPr>
          <w:sz w:val="24"/>
        </w:rPr>
      </w:pPr>
      <w:r>
        <w:rPr>
          <w:sz w:val="24"/>
        </w:rPr>
        <w:t>4</w:t>
      </w:r>
      <w:r>
        <w:rPr>
          <w:rFonts w:hAnsi="宋体"/>
          <w:sz w:val="24"/>
        </w:rPr>
        <w:t>、诋毁其他基金管理人、基金托管人或者基金销售机构；</w:t>
      </w:r>
    </w:p>
    <w:p w:rsidR="00783788" w:rsidRDefault="002C6E18">
      <w:pPr>
        <w:adjustRightInd w:val="0"/>
        <w:snapToGrid w:val="0"/>
        <w:spacing w:line="360" w:lineRule="auto"/>
        <w:ind w:firstLineChars="200" w:firstLine="480"/>
        <w:rPr>
          <w:sz w:val="24"/>
        </w:rPr>
      </w:pPr>
      <w:r>
        <w:rPr>
          <w:sz w:val="24"/>
        </w:rPr>
        <w:t>5</w:t>
      </w:r>
      <w:r>
        <w:rPr>
          <w:rFonts w:hAnsi="宋体"/>
          <w:sz w:val="24"/>
        </w:rPr>
        <w:t>、登载任何自然人、法人或者其他组织的祝贺性、恭维性或推荐性的文字；</w:t>
      </w:r>
    </w:p>
    <w:p w:rsidR="00783788" w:rsidRDefault="002C6E18">
      <w:pPr>
        <w:adjustRightInd w:val="0"/>
        <w:snapToGrid w:val="0"/>
        <w:spacing w:line="360" w:lineRule="auto"/>
        <w:ind w:firstLineChars="200" w:firstLine="480"/>
        <w:rPr>
          <w:sz w:val="24"/>
        </w:rPr>
      </w:pPr>
      <w:r>
        <w:rPr>
          <w:sz w:val="24"/>
        </w:rPr>
        <w:t>6</w:t>
      </w:r>
      <w:r>
        <w:rPr>
          <w:rFonts w:hAnsi="宋体"/>
          <w:sz w:val="24"/>
        </w:rPr>
        <w:t>、中国证监会禁止的其他行为。</w:t>
      </w:r>
    </w:p>
    <w:p w:rsidR="00783788" w:rsidRDefault="002C6E18">
      <w:pPr>
        <w:adjustRightInd w:val="0"/>
        <w:snapToGrid w:val="0"/>
        <w:spacing w:line="360" w:lineRule="auto"/>
        <w:ind w:firstLineChars="200" w:firstLine="482"/>
        <w:rPr>
          <w:sz w:val="24"/>
        </w:rPr>
      </w:pPr>
      <w:r>
        <w:rPr>
          <w:rFonts w:hAnsi="宋体"/>
          <w:b/>
          <w:sz w:val="24"/>
        </w:rPr>
        <w:t>（四）</w:t>
      </w:r>
      <w:r>
        <w:rPr>
          <w:rFonts w:hAnsi="宋体"/>
          <w:sz w:val="24"/>
        </w:rPr>
        <w:t>本基金公开披露的信息应采用中文文本。如同时采用外文文本的，基金信息披露义务人应保证两种文本的内容一致。两种文本发生歧义的，以中文文本为准。</w:t>
      </w:r>
    </w:p>
    <w:p w:rsidR="00783788" w:rsidRDefault="002C6E18">
      <w:pPr>
        <w:adjustRightInd w:val="0"/>
        <w:snapToGrid w:val="0"/>
        <w:spacing w:line="360" w:lineRule="auto"/>
        <w:ind w:firstLineChars="200" w:firstLine="480"/>
        <w:rPr>
          <w:sz w:val="24"/>
        </w:rPr>
      </w:pPr>
      <w:r>
        <w:rPr>
          <w:rFonts w:hAnsi="宋体"/>
          <w:sz w:val="24"/>
        </w:rPr>
        <w:t>本基金公开披露的信息采用阿拉伯数字；除特别说明外，货币单位为人民币元。</w:t>
      </w:r>
    </w:p>
    <w:p w:rsidR="00783788" w:rsidRDefault="002C6E18">
      <w:pPr>
        <w:adjustRightInd w:val="0"/>
        <w:snapToGrid w:val="0"/>
        <w:spacing w:line="360" w:lineRule="auto"/>
        <w:ind w:firstLineChars="200" w:firstLine="482"/>
        <w:rPr>
          <w:b/>
          <w:sz w:val="24"/>
        </w:rPr>
      </w:pPr>
      <w:r>
        <w:rPr>
          <w:rFonts w:hAnsi="宋体"/>
          <w:b/>
          <w:sz w:val="24"/>
        </w:rPr>
        <w:t>（五）公开披露的基金信息</w:t>
      </w:r>
    </w:p>
    <w:p w:rsidR="00783788" w:rsidRDefault="002C6E18">
      <w:pPr>
        <w:adjustRightInd w:val="0"/>
        <w:snapToGrid w:val="0"/>
        <w:spacing w:line="360" w:lineRule="auto"/>
        <w:ind w:firstLineChars="200" w:firstLine="480"/>
        <w:rPr>
          <w:b/>
          <w:bCs/>
          <w:sz w:val="24"/>
        </w:rPr>
      </w:pPr>
      <w:r>
        <w:rPr>
          <w:rFonts w:hAnsi="宋体"/>
          <w:bCs/>
          <w:sz w:val="24"/>
        </w:rPr>
        <w:t>公开披露的基金信息包括：</w:t>
      </w:r>
    </w:p>
    <w:p w:rsidR="00783788" w:rsidRDefault="002C6E18">
      <w:pPr>
        <w:adjustRightInd w:val="0"/>
        <w:snapToGrid w:val="0"/>
        <w:spacing w:line="360" w:lineRule="auto"/>
        <w:ind w:firstLineChars="200" w:firstLine="480"/>
        <w:rPr>
          <w:bCs/>
          <w:sz w:val="24"/>
        </w:rPr>
      </w:pPr>
      <w:r>
        <w:rPr>
          <w:bCs/>
          <w:sz w:val="24"/>
        </w:rPr>
        <w:t>1</w:t>
      </w:r>
      <w:r>
        <w:rPr>
          <w:rFonts w:hAnsi="宋体"/>
          <w:bCs/>
          <w:sz w:val="24"/>
        </w:rPr>
        <w:t>、基金招募说明书、基金合同、基金托管协议</w:t>
      </w:r>
    </w:p>
    <w:p w:rsidR="00783788" w:rsidRDefault="002C6E18">
      <w:pPr>
        <w:adjustRightInd w:val="0"/>
        <w:snapToGrid w:val="0"/>
        <w:spacing w:line="360" w:lineRule="auto"/>
        <w:ind w:firstLineChars="200" w:firstLine="480"/>
        <w:rPr>
          <w:bCs/>
          <w:sz w:val="24"/>
        </w:rPr>
      </w:pPr>
      <w:r>
        <w:rPr>
          <w:rFonts w:hAnsi="宋体"/>
          <w:bCs/>
          <w:sz w:val="24"/>
        </w:rPr>
        <w:t>（</w:t>
      </w:r>
      <w:r>
        <w:rPr>
          <w:bCs/>
          <w:sz w:val="24"/>
        </w:rPr>
        <w:t>1</w:t>
      </w:r>
      <w:r>
        <w:rPr>
          <w:rFonts w:hAnsi="宋体"/>
          <w:bCs/>
          <w:sz w:val="24"/>
        </w:rPr>
        <w:t>）基金合同是界定基金合同当事人的各项权利、义务关系，明确基金份额持有人大会召开的规则及具体程序，说明基金产品的特性等涉及基金投资者重大利益的事项的法律文件。</w:t>
      </w:r>
    </w:p>
    <w:p w:rsidR="00783788" w:rsidRDefault="002C6E18">
      <w:pPr>
        <w:adjustRightInd w:val="0"/>
        <w:snapToGrid w:val="0"/>
        <w:spacing w:line="360" w:lineRule="auto"/>
        <w:ind w:firstLineChars="200" w:firstLine="480"/>
        <w:rPr>
          <w:bCs/>
          <w:sz w:val="24"/>
        </w:rPr>
      </w:pPr>
      <w:r>
        <w:rPr>
          <w:rFonts w:hAnsi="宋体"/>
          <w:bCs/>
          <w:sz w:val="24"/>
        </w:rPr>
        <w:t>（</w:t>
      </w:r>
      <w:r>
        <w:rPr>
          <w:bCs/>
          <w:sz w:val="24"/>
        </w:rPr>
        <w:t>2</w:t>
      </w:r>
      <w:r>
        <w:rPr>
          <w:rFonts w:hAnsi="宋体"/>
          <w:bCs/>
          <w:sz w:val="24"/>
        </w:rPr>
        <w:t>）基金招募说明书应当最大限度地披露影响基金投资者决策的全部事项，说明基金认购、申购和赎回安排、基金投资、基金产品特性、风险揭示、信息披露及基金份额持有人服务等内容。基金合同生效后，基金管理人在每</w:t>
      </w:r>
      <w:r>
        <w:rPr>
          <w:bCs/>
          <w:sz w:val="24"/>
        </w:rPr>
        <w:t>6</w:t>
      </w:r>
      <w:r>
        <w:rPr>
          <w:rFonts w:hAnsi="宋体"/>
          <w:bCs/>
          <w:sz w:val="24"/>
        </w:rPr>
        <w:t>个月结束之日起</w:t>
      </w:r>
      <w:r>
        <w:rPr>
          <w:bCs/>
          <w:sz w:val="24"/>
        </w:rPr>
        <w:t>45</w:t>
      </w:r>
      <w:r>
        <w:rPr>
          <w:rFonts w:hAnsi="宋体"/>
          <w:bCs/>
          <w:sz w:val="24"/>
        </w:rPr>
        <w:t>日内，更新招募说明书并登载在网站上，将更新后的招募说明书摘要登载在指定报刊上；基金管理人在公告的</w:t>
      </w:r>
      <w:r>
        <w:rPr>
          <w:bCs/>
          <w:sz w:val="24"/>
        </w:rPr>
        <w:t>15</w:t>
      </w:r>
      <w:r>
        <w:rPr>
          <w:rFonts w:hAnsi="宋体"/>
          <w:bCs/>
          <w:sz w:val="24"/>
        </w:rPr>
        <w:t>日前向主要办公场所所在地的中国证监会派出机构报送更新的招募说明书，并就有关更新内容提供书面说明。</w:t>
      </w:r>
    </w:p>
    <w:p w:rsidR="00783788" w:rsidRDefault="002C6E18">
      <w:pPr>
        <w:adjustRightInd w:val="0"/>
        <w:snapToGrid w:val="0"/>
        <w:spacing w:line="360" w:lineRule="auto"/>
        <w:ind w:firstLineChars="200" w:firstLine="480"/>
        <w:rPr>
          <w:bCs/>
          <w:sz w:val="24"/>
        </w:rPr>
      </w:pPr>
      <w:r>
        <w:rPr>
          <w:rFonts w:hAnsi="宋体"/>
          <w:bCs/>
          <w:sz w:val="24"/>
        </w:rPr>
        <w:t>（</w:t>
      </w:r>
      <w:r>
        <w:rPr>
          <w:bCs/>
          <w:sz w:val="24"/>
        </w:rPr>
        <w:t>3</w:t>
      </w:r>
      <w:r>
        <w:rPr>
          <w:rFonts w:hAnsi="宋体"/>
          <w:bCs/>
          <w:sz w:val="24"/>
        </w:rPr>
        <w:t>）基金托管协议是界定基金托管人和基金管理人在基金财产保管及基金运作监督等活动中的权利、义务关系的法律文件。</w:t>
      </w:r>
    </w:p>
    <w:p w:rsidR="00783788" w:rsidRDefault="002C6E18">
      <w:pPr>
        <w:adjustRightInd w:val="0"/>
        <w:snapToGrid w:val="0"/>
        <w:spacing w:line="360" w:lineRule="auto"/>
        <w:ind w:firstLineChars="200" w:firstLine="480"/>
        <w:rPr>
          <w:sz w:val="24"/>
        </w:rPr>
      </w:pPr>
      <w:r>
        <w:rPr>
          <w:rFonts w:hAnsi="宋体"/>
          <w:bCs/>
          <w:sz w:val="24"/>
        </w:rPr>
        <w:t>基金募集申请经中国证监会核准后，基金管理人在基金份额发售的</w:t>
      </w:r>
      <w:r>
        <w:rPr>
          <w:bCs/>
          <w:sz w:val="24"/>
        </w:rPr>
        <w:t>3</w:t>
      </w:r>
      <w:r>
        <w:rPr>
          <w:rFonts w:hAnsi="宋体"/>
          <w:bCs/>
          <w:sz w:val="24"/>
        </w:rPr>
        <w:t>日前，将基金招募说明书、基金合同摘要登载在指定报刊和网站上；基金管理人、基金托管人应当将基金合同、基金托管协议登载在网站上。</w:t>
      </w:r>
    </w:p>
    <w:p w:rsidR="00783788" w:rsidRDefault="002C6E18">
      <w:pPr>
        <w:adjustRightInd w:val="0"/>
        <w:snapToGrid w:val="0"/>
        <w:spacing w:line="360" w:lineRule="auto"/>
        <w:ind w:firstLineChars="200" w:firstLine="480"/>
        <w:rPr>
          <w:sz w:val="24"/>
        </w:rPr>
      </w:pPr>
      <w:r>
        <w:rPr>
          <w:sz w:val="24"/>
        </w:rPr>
        <w:t>2</w:t>
      </w:r>
      <w:r>
        <w:rPr>
          <w:rFonts w:hAnsi="宋体"/>
          <w:sz w:val="24"/>
        </w:rPr>
        <w:t>、基金份额发售公告</w:t>
      </w:r>
    </w:p>
    <w:p w:rsidR="00783788" w:rsidRDefault="002C6E18">
      <w:pPr>
        <w:adjustRightInd w:val="0"/>
        <w:snapToGrid w:val="0"/>
        <w:spacing w:line="360" w:lineRule="auto"/>
        <w:ind w:firstLineChars="200" w:firstLine="480"/>
        <w:rPr>
          <w:sz w:val="24"/>
        </w:rPr>
      </w:pPr>
      <w:r>
        <w:rPr>
          <w:rFonts w:hAnsi="宋体"/>
          <w:sz w:val="24"/>
        </w:rPr>
        <w:t>基金管理人应当就基金份额发售的具体事宜编制基金份额发售公告，并在披露招募说明书的当日登载于指定报刊和网站上。</w:t>
      </w:r>
    </w:p>
    <w:p w:rsidR="00783788" w:rsidRDefault="002C6E18">
      <w:pPr>
        <w:adjustRightInd w:val="0"/>
        <w:snapToGrid w:val="0"/>
        <w:spacing w:line="360" w:lineRule="auto"/>
        <w:ind w:firstLineChars="200" w:firstLine="480"/>
        <w:rPr>
          <w:sz w:val="24"/>
        </w:rPr>
      </w:pPr>
      <w:r>
        <w:rPr>
          <w:sz w:val="24"/>
        </w:rPr>
        <w:t>3</w:t>
      </w:r>
      <w:r>
        <w:rPr>
          <w:rFonts w:hAnsi="宋体"/>
          <w:sz w:val="24"/>
        </w:rPr>
        <w:t>、基金合同生效公告</w:t>
      </w:r>
    </w:p>
    <w:p w:rsidR="00783788" w:rsidRDefault="002C6E18">
      <w:pPr>
        <w:adjustRightInd w:val="0"/>
        <w:snapToGrid w:val="0"/>
        <w:spacing w:line="360" w:lineRule="auto"/>
        <w:ind w:firstLineChars="200" w:firstLine="480"/>
        <w:rPr>
          <w:sz w:val="24"/>
        </w:rPr>
      </w:pPr>
      <w:r>
        <w:rPr>
          <w:rFonts w:hAnsi="宋体"/>
          <w:sz w:val="24"/>
        </w:rPr>
        <w:t>基金管理人应当</w:t>
      </w:r>
      <w:r>
        <w:rPr>
          <w:rFonts w:hAnsi="宋体"/>
          <w:bCs/>
          <w:sz w:val="24"/>
        </w:rPr>
        <w:t>在收到中国证监会确认文件的次日在指定报刊和网站上登载基金合同生效公告</w:t>
      </w:r>
      <w:r>
        <w:rPr>
          <w:rFonts w:hAnsi="宋体"/>
          <w:sz w:val="24"/>
        </w:rPr>
        <w:t>。</w:t>
      </w:r>
    </w:p>
    <w:p w:rsidR="00783788" w:rsidRDefault="002C6E18">
      <w:pPr>
        <w:adjustRightInd w:val="0"/>
        <w:snapToGrid w:val="0"/>
        <w:spacing w:line="360" w:lineRule="auto"/>
        <w:ind w:firstLineChars="200" w:firstLine="480"/>
        <w:rPr>
          <w:sz w:val="24"/>
        </w:rPr>
      </w:pPr>
      <w:r>
        <w:rPr>
          <w:sz w:val="24"/>
        </w:rPr>
        <w:t>4</w:t>
      </w:r>
      <w:r>
        <w:rPr>
          <w:rFonts w:hAnsi="宋体"/>
          <w:sz w:val="24"/>
        </w:rPr>
        <w:t>、基金资产净值、基金份额净值</w:t>
      </w:r>
    </w:p>
    <w:p w:rsidR="00783788" w:rsidRDefault="002C6E18">
      <w:pPr>
        <w:adjustRightInd w:val="0"/>
        <w:snapToGrid w:val="0"/>
        <w:spacing w:line="360" w:lineRule="auto"/>
        <w:ind w:firstLineChars="200" w:firstLine="480"/>
        <w:rPr>
          <w:sz w:val="24"/>
        </w:rPr>
      </w:pPr>
      <w:r>
        <w:rPr>
          <w:rFonts w:hAnsi="宋体"/>
          <w:sz w:val="24"/>
        </w:rPr>
        <w:t>基金合同生效后，在开始办理基金份额申购或者赎回前，基金管理人应当至少每周公告一次基金资产净值和基金份额净值。</w:t>
      </w:r>
    </w:p>
    <w:p w:rsidR="00783788" w:rsidRDefault="002C6E18">
      <w:pPr>
        <w:adjustRightInd w:val="0"/>
        <w:snapToGrid w:val="0"/>
        <w:spacing w:line="360" w:lineRule="auto"/>
        <w:ind w:firstLineChars="200" w:firstLine="480"/>
        <w:rPr>
          <w:sz w:val="24"/>
        </w:rPr>
      </w:pPr>
      <w:r>
        <w:rPr>
          <w:rFonts w:hAnsi="宋体"/>
          <w:sz w:val="24"/>
        </w:rPr>
        <w:t>在开始办理基金份额申购或者赎回后，基金管理人应当在每个开放日的次日，通过网站、基金份额发售网点以及其他媒介，披露开放日的基金份额净值和基金份额累计净值。</w:t>
      </w:r>
    </w:p>
    <w:p w:rsidR="00783788" w:rsidRDefault="002C6E18">
      <w:pPr>
        <w:adjustRightInd w:val="0"/>
        <w:snapToGrid w:val="0"/>
        <w:spacing w:line="360" w:lineRule="auto"/>
        <w:ind w:firstLineChars="200" w:firstLine="480"/>
        <w:rPr>
          <w:sz w:val="24"/>
        </w:rPr>
      </w:pPr>
      <w:r>
        <w:rPr>
          <w:rFonts w:hAnsi="宋体"/>
          <w:sz w:val="24"/>
        </w:rPr>
        <w:t>基金管理人应当公告半年度和年度最后一个市场交易日（或自然日）基金资产净值和基金份额净值。基金管理人应当在前款规定的市场交易日（或自然日）的次日，将基金资产净值、基金份额净值和基金份额累计净值登载在指定报刊和网站上。</w:t>
      </w:r>
    </w:p>
    <w:p w:rsidR="00783788" w:rsidRDefault="002C6E18">
      <w:pPr>
        <w:adjustRightInd w:val="0"/>
        <w:snapToGrid w:val="0"/>
        <w:spacing w:line="360" w:lineRule="auto"/>
        <w:ind w:firstLineChars="200" w:firstLine="480"/>
        <w:rPr>
          <w:sz w:val="24"/>
        </w:rPr>
      </w:pPr>
      <w:r>
        <w:rPr>
          <w:sz w:val="24"/>
        </w:rPr>
        <w:t>5</w:t>
      </w:r>
      <w:r>
        <w:rPr>
          <w:rFonts w:hAnsi="宋体"/>
          <w:sz w:val="24"/>
        </w:rPr>
        <w:t>、基金份额申购、赎回价格</w:t>
      </w:r>
    </w:p>
    <w:p w:rsidR="00783788" w:rsidRDefault="002C6E18">
      <w:pPr>
        <w:adjustRightInd w:val="0"/>
        <w:snapToGrid w:val="0"/>
        <w:spacing w:line="360" w:lineRule="auto"/>
        <w:ind w:firstLineChars="200" w:firstLine="480"/>
        <w:rPr>
          <w:sz w:val="24"/>
        </w:rPr>
      </w:pPr>
      <w:r>
        <w:rPr>
          <w:rFonts w:hAnsi="宋体"/>
          <w:sz w:val="24"/>
        </w:rPr>
        <w:t>基金管理人应当在基金合同、招募说明书等信息披露文件上载明基金份额申购、赎回价格的计算方式及有关申购、赎回费率，并保证投资人能够在基金份额发售网点查阅或者复制前述信息资料。</w:t>
      </w:r>
    </w:p>
    <w:p w:rsidR="00783788" w:rsidRDefault="002C6E18">
      <w:pPr>
        <w:adjustRightInd w:val="0"/>
        <w:snapToGrid w:val="0"/>
        <w:spacing w:line="360" w:lineRule="auto"/>
        <w:ind w:firstLineChars="200" w:firstLine="480"/>
        <w:rPr>
          <w:sz w:val="24"/>
        </w:rPr>
      </w:pPr>
      <w:r>
        <w:rPr>
          <w:sz w:val="24"/>
        </w:rPr>
        <w:t>6</w:t>
      </w:r>
      <w:r>
        <w:rPr>
          <w:rFonts w:hAnsi="宋体"/>
          <w:sz w:val="24"/>
        </w:rPr>
        <w:t>、</w:t>
      </w:r>
      <w:r>
        <w:rPr>
          <w:rFonts w:hAnsi="宋体"/>
          <w:bCs/>
          <w:sz w:val="24"/>
        </w:rPr>
        <w:t>基金定期报告，包括基金年度报告、基金半年度报告和基金季度报告</w:t>
      </w:r>
    </w:p>
    <w:p w:rsidR="00783788" w:rsidRDefault="002C6E18">
      <w:pPr>
        <w:adjustRightInd w:val="0"/>
        <w:snapToGrid w:val="0"/>
        <w:spacing w:line="360" w:lineRule="auto"/>
        <w:ind w:firstLineChars="200" w:firstLine="480"/>
        <w:rPr>
          <w:sz w:val="24"/>
        </w:rPr>
      </w:pPr>
      <w:r>
        <w:rPr>
          <w:rFonts w:hAnsi="宋体"/>
          <w:sz w:val="24"/>
        </w:rPr>
        <w:t>基金管理人应当在每年结束之日起</w:t>
      </w:r>
      <w:r>
        <w:rPr>
          <w:sz w:val="24"/>
        </w:rPr>
        <w:t>90</w:t>
      </w:r>
      <w:r>
        <w:rPr>
          <w:rFonts w:hAnsi="宋体"/>
          <w:sz w:val="24"/>
        </w:rPr>
        <w:t>日内，编制完成基金年度报告，并将年度报告正文登载于网站上，将年度报告摘要登载在指定报刊上。基金年度报告</w:t>
      </w:r>
      <w:r>
        <w:rPr>
          <w:rFonts w:hAnsi="宋体"/>
          <w:bCs/>
          <w:sz w:val="24"/>
        </w:rPr>
        <w:t>的财务会计报告应当经过审计</w:t>
      </w:r>
      <w:r>
        <w:rPr>
          <w:rFonts w:hAnsi="宋体"/>
          <w:sz w:val="24"/>
        </w:rPr>
        <w:t>。</w:t>
      </w:r>
    </w:p>
    <w:p w:rsidR="00783788" w:rsidRDefault="002C6E18">
      <w:pPr>
        <w:adjustRightInd w:val="0"/>
        <w:snapToGrid w:val="0"/>
        <w:spacing w:line="360" w:lineRule="auto"/>
        <w:ind w:firstLineChars="200" w:firstLine="480"/>
        <w:rPr>
          <w:sz w:val="24"/>
        </w:rPr>
      </w:pPr>
      <w:r>
        <w:rPr>
          <w:rFonts w:hAnsi="宋体"/>
          <w:sz w:val="24"/>
        </w:rPr>
        <w:t>基金管理人应当在上半年结束之日起</w:t>
      </w:r>
      <w:r>
        <w:rPr>
          <w:sz w:val="24"/>
        </w:rPr>
        <w:t>60</w:t>
      </w:r>
      <w:r>
        <w:rPr>
          <w:rFonts w:hAnsi="宋体"/>
          <w:sz w:val="24"/>
        </w:rPr>
        <w:t>日内，编制完成基金半年度报告，并将半年度报告正文登载在网站上，将半年度报告摘要登载在指定报刊上。</w:t>
      </w:r>
    </w:p>
    <w:p w:rsidR="00783788" w:rsidRDefault="002C6E18">
      <w:pPr>
        <w:adjustRightInd w:val="0"/>
        <w:snapToGrid w:val="0"/>
        <w:spacing w:line="360" w:lineRule="auto"/>
        <w:ind w:firstLineChars="200" w:firstLine="480"/>
        <w:rPr>
          <w:sz w:val="24"/>
        </w:rPr>
      </w:pPr>
      <w:r>
        <w:rPr>
          <w:rFonts w:hAnsi="宋体"/>
          <w:sz w:val="24"/>
        </w:rPr>
        <w:t>基金管理人应当在每个季度结束之日起</w:t>
      </w:r>
      <w:r>
        <w:rPr>
          <w:sz w:val="24"/>
        </w:rPr>
        <w:t>15</w:t>
      </w:r>
      <w:r>
        <w:rPr>
          <w:rFonts w:hAnsi="宋体"/>
          <w:sz w:val="24"/>
        </w:rPr>
        <w:t>个工作日内，编制完成基金季度报告，并将季度报告登载在指定报刊和网站上。</w:t>
      </w:r>
    </w:p>
    <w:p w:rsidR="00783788" w:rsidRDefault="002C6E18">
      <w:pPr>
        <w:adjustRightInd w:val="0"/>
        <w:snapToGrid w:val="0"/>
        <w:spacing w:line="360" w:lineRule="auto"/>
        <w:ind w:firstLineChars="200" w:firstLine="480"/>
        <w:rPr>
          <w:sz w:val="24"/>
        </w:rPr>
      </w:pPr>
      <w:r>
        <w:rPr>
          <w:rFonts w:hAnsi="宋体"/>
          <w:sz w:val="24"/>
        </w:rPr>
        <w:t>基金合同生效不足</w:t>
      </w:r>
      <w:r>
        <w:rPr>
          <w:sz w:val="24"/>
        </w:rPr>
        <w:t>2</w:t>
      </w:r>
      <w:r>
        <w:rPr>
          <w:rFonts w:hAnsi="宋体"/>
          <w:sz w:val="24"/>
        </w:rPr>
        <w:t>个月的，基金管理人可以不编制当期季度报告、半年度报告或者年度报告。</w:t>
      </w:r>
    </w:p>
    <w:p w:rsidR="00783788" w:rsidRDefault="002C6E18">
      <w:pPr>
        <w:adjustRightInd w:val="0"/>
        <w:snapToGrid w:val="0"/>
        <w:spacing w:line="360" w:lineRule="auto"/>
        <w:ind w:firstLineChars="200" w:firstLine="480"/>
        <w:rPr>
          <w:sz w:val="24"/>
        </w:rPr>
      </w:pPr>
      <w:r>
        <w:rPr>
          <w:rFonts w:hAnsi="宋体"/>
          <w:sz w:val="24"/>
        </w:rPr>
        <w:t>基金定期报告</w:t>
      </w:r>
      <w:r>
        <w:rPr>
          <w:rFonts w:hAnsi="宋体"/>
          <w:bCs/>
          <w:sz w:val="24"/>
        </w:rPr>
        <w:t>在公开披露的第</w:t>
      </w:r>
      <w:r>
        <w:rPr>
          <w:bCs/>
          <w:sz w:val="24"/>
        </w:rPr>
        <w:t>2</w:t>
      </w:r>
      <w:r>
        <w:rPr>
          <w:rFonts w:hAnsi="宋体"/>
          <w:bCs/>
          <w:sz w:val="24"/>
        </w:rPr>
        <w:t>个工作日，分别报中国证监会和基金管理人主要办公场所所在地中国证监会派出机构备案。报备应当采用电子文本或书面报告方式</w:t>
      </w:r>
      <w:r>
        <w:rPr>
          <w:rFonts w:hAnsi="宋体"/>
          <w:sz w:val="24"/>
        </w:rPr>
        <w:t>。</w:t>
      </w:r>
    </w:p>
    <w:p w:rsidR="00783788" w:rsidRDefault="002C6E18">
      <w:pPr>
        <w:adjustRightInd w:val="0"/>
        <w:snapToGrid w:val="0"/>
        <w:spacing w:line="360" w:lineRule="auto"/>
        <w:ind w:firstLineChars="200" w:firstLine="480"/>
        <w:rPr>
          <w:sz w:val="24"/>
        </w:rPr>
      </w:pPr>
      <w:r>
        <w:rPr>
          <w:sz w:val="24"/>
        </w:rPr>
        <w:t>7</w:t>
      </w:r>
      <w:r>
        <w:rPr>
          <w:rFonts w:hAnsi="宋体"/>
          <w:sz w:val="24"/>
        </w:rPr>
        <w:t>、临时报告</w:t>
      </w:r>
    </w:p>
    <w:p w:rsidR="00783788" w:rsidRDefault="002C6E18">
      <w:pPr>
        <w:adjustRightInd w:val="0"/>
        <w:snapToGrid w:val="0"/>
        <w:spacing w:line="360" w:lineRule="auto"/>
        <w:ind w:firstLineChars="200" w:firstLine="480"/>
        <w:rPr>
          <w:bCs/>
          <w:sz w:val="24"/>
        </w:rPr>
      </w:pPr>
      <w:r>
        <w:rPr>
          <w:rFonts w:hAnsi="宋体"/>
          <w:bCs/>
          <w:sz w:val="24"/>
        </w:rPr>
        <w:t>本基金发生重大事件，有关信息披露义务人应当在</w:t>
      </w:r>
      <w:r>
        <w:rPr>
          <w:bCs/>
          <w:sz w:val="24"/>
        </w:rPr>
        <w:t>2</w:t>
      </w:r>
      <w:r>
        <w:rPr>
          <w:rFonts w:hAnsi="宋体"/>
          <w:bCs/>
          <w:sz w:val="24"/>
        </w:rPr>
        <w:t>个工作日内编制临时报告书，予以公告，并在公开披露日分别报中国证监会和基金管理人主要办公场所所在地的中国证监会派出机构备案。</w:t>
      </w:r>
    </w:p>
    <w:p w:rsidR="00783788" w:rsidRDefault="002C6E18">
      <w:pPr>
        <w:adjustRightInd w:val="0"/>
        <w:snapToGrid w:val="0"/>
        <w:spacing w:line="360" w:lineRule="auto"/>
        <w:ind w:firstLineChars="200" w:firstLine="480"/>
        <w:rPr>
          <w:rStyle w:val="unnamed11"/>
          <w:rFonts w:ascii="Times New Roman" w:hAnsi="Times New Roman" w:hint="default"/>
        </w:rPr>
      </w:pPr>
      <w:r>
        <w:rPr>
          <w:rFonts w:hAnsi="宋体"/>
          <w:bCs/>
          <w:sz w:val="24"/>
        </w:rPr>
        <w:t>前款所称重大事件，是指可能对基金份额持有人权益或者基金份额的价格产生重大影响的下列事件：</w:t>
      </w:r>
    </w:p>
    <w:p w:rsidR="00783788" w:rsidRDefault="002C6E18">
      <w:pPr>
        <w:adjustRightInd w:val="0"/>
        <w:snapToGrid w:val="0"/>
        <w:spacing w:line="360" w:lineRule="auto"/>
        <w:ind w:firstLineChars="200" w:firstLine="480"/>
        <w:rPr>
          <w:sz w:val="24"/>
        </w:rPr>
      </w:pPr>
      <w:r>
        <w:rPr>
          <w:rFonts w:hAnsi="宋体"/>
          <w:sz w:val="24"/>
        </w:rPr>
        <w:t>（</w:t>
      </w:r>
      <w:r>
        <w:rPr>
          <w:sz w:val="24"/>
        </w:rPr>
        <w:t>1</w:t>
      </w:r>
      <w:r>
        <w:rPr>
          <w:rFonts w:hAnsi="宋体"/>
          <w:sz w:val="24"/>
        </w:rPr>
        <w:t>）基金份额持有人大会的召开；</w:t>
      </w:r>
    </w:p>
    <w:p w:rsidR="00783788" w:rsidRDefault="002C6E18">
      <w:pPr>
        <w:adjustRightInd w:val="0"/>
        <w:snapToGrid w:val="0"/>
        <w:spacing w:line="360" w:lineRule="auto"/>
        <w:ind w:firstLineChars="200" w:firstLine="480"/>
        <w:rPr>
          <w:sz w:val="24"/>
        </w:rPr>
      </w:pPr>
      <w:r>
        <w:rPr>
          <w:rFonts w:hAnsi="宋体"/>
          <w:sz w:val="24"/>
        </w:rPr>
        <w:t>（</w:t>
      </w:r>
      <w:r>
        <w:rPr>
          <w:sz w:val="24"/>
        </w:rPr>
        <w:t>2</w:t>
      </w:r>
      <w:r>
        <w:rPr>
          <w:rFonts w:hAnsi="宋体"/>
          <w:sz w:val="24"/>
        </w:rPr>
        <w:t>）终止基金合同；</w:t>
      </w:r>
    </w:p>
    <w:p w:rsidR="00783788" w:rsidRDefault="002C6E18">
      <w:pPr>
        <w:adjustRightInd w:val="0"/>
        <w:snapToGrid w:val="0"/>
        <w:spacing w:line="360" w:lineRule="auto"/>
        <w:ind w:firstLineChars="200" w:firstLine="480"/>
        <w:rPr>
          <w:sz w:val="24"/>
        </w:rPr>
      </w:pPr>
      <w:r>
        <w:rPr>
          <w:rFonts w:hAnsi="宋体"/>
          <w:sz w:val="24"/>
        </w:rPr>
        <w:t>（</w:t>
      </w:r>
      <w:r>
        <w:rPr>
          <w:sz w:val="24"/>
        </w:rPr>
        <w:t>3</w:t>
      </w:r>
      <w:r>
        <w:rPr>
          <w:rFonts w:hAnsi="宋体"/>
          <w:sz w:val="24"/>
        </w:rPr>
        <w:t>）转换基金运作方式；</w:t>
      </w:r>
    </w:p>
    <w:p w:rsidR="00783788" w:rsidRDefault="002C6E18">
      <w:pPr>
        <w:adjustRightInd w:val="0"/>
        <w:snapToGrid w:val="0"/>
        <w:spacing w:line="360" w:lineRule="auto"/>
        <w:ind w:firstLineChars="200" w:firstLine="480"/>
        <w:rPr>
          <w:sz w:val="24"/>
        </w:rPr>
      </w:pPr>
      <w:r>
        <w:rPr>
          <w:rFonts w:hAnsi="宋体"/>
          <w:sz w:val="24"/>
        </w:rPr>
        <w:t>（</w:t>
      </w:r>
      <w:r>
        <w:rPr>
          <w:sz w:val="24"/>
        </w:rPr>
        <w:t>4</w:t>
      </w:r>
      <w:r>
        <w:rPr>
          <w:rFonts w:hAnsi="宋体"/>
          <w:sz w:val="24"/>
        </w:rPr>
        <w:t>）更换基金管理人、基金托管人；</w:t>
      </w:r>
    </w:p>
    <w:p w:rsidR="00783788" w:rsidRDefault="002C6E18">
      <w:pPr>
        <w:adjustRightInd w:val="0"/>
        <w:snapToGrid w:val="0"/>
        <w:spacing w:line="360" w:lineRule="auto"/>
        <w:ind w:firstLineChars="200" w:firstLine="480"/>
        <w:rPr>
          <w:sz w:val="24"/>
        </w:rPr>
      </w:pPr>
      <w:r>
        <w:rPr>
          <w:rFonts w:hAnsi="宋体"/>
          <w:sz w:val="24"/>
        </w:rPr>
        <w:t>（</w:t>
      </w:r>
      <w:r>
        <w:rPr>
          <w:sz w:val="24"/>
        </w:rPr>
        <w:t>5</w:t>
      </w:r>
      <w:r>
        <w:rPr>
          <w:rFonts w:hAnsi="宋体"/>
          <w:sz w:val="24"/>
        </w:rPr>
        <w:t>）基金管理人、基金托管人的法定名称、住所发生变更；</w:t>
      </w:r>
    </w:p>
    <w:p w:rsidR="00783788" w:rsidRDefault="002C6E18">
      <w:pPr>
        <w:adjustRightInd w:val="0"/>
        <w:snapToGrid w:val="0"/>
        <w:spacing w:line="360" w:lineRule="auto"/>
        <w:ind w:firstLineChars="200" w:firstLine="480"/>
        <w:rPr>
          <w:sz w:val="24"/>
        </w:rPr>
      </w:pPr>
      <w:r>
        <w:rPr>
          <w:rFonts w:hAnsi="宋体"/>
          <w:sz w:val="24"/>
        </w:rPr>
        <w:t>（</w:t>
      </w:r>
      <w:r>
        <w:rPr>
          <w:sz w:val="24"/>
        </w:rPr>
        <w:t>6</w:t>
      </w:r>
      <w:r>
        <w:rPr>
          <w:rFonts w:hAnsi="宋体"/>
          <w:sz w:val="24"/>
        </w:rPr>
        <w:t>）基金管理人股东及其出资比例发生变更；</w:t>
      </w:r>
    </w:p>
    <w:p w:rsidR="00783788" w:rsidRDefault="002C6E18">
      <w:pPr>
        <w:adjustRightInd w:val="0"/>
        <w:snapToGrid w:val="0"/>
        <w:spacing w:line="360" w:lineRule="auto"/>
        <w:ind w:firstLineChars="200" w:firstLine="480"/>
        <w:rPr>
          <w:sz w:val="24"/>
        </w:rPr>
      </w:pPr>
      <w:r>
        <w:rPr>
          <w:rFonts w:hAnsi="宋体"/>
          <w:sz w:val="24"/>
        </w:rPr>
        <w:t>（</w:t>
      </w:r>
      <w:r>
        <w:rPr>
          <w:sz w:val="24"/>
        </w:rPr>
        <w:t>7</w:t>
      </w:r>
      <w:r>
        <w:rPr>
          <w:rFonts w:hAnsi="宋体"/>
          <w:sz w:val="24"/>
        </w:rPr>
        <w:t>）基金募集期延长；</w:t>
      </w:r>
    </w:p>
    <w:p w:rsidR="00783788" w:rsidRDefault="002C6E18">
      <w:pPr>
        <w:adjustRightInd w:val="0"/>
        <w:snapToGrid w:val="0"/>
        <w:spacing w:line="360" w:lineRule="auto"/>
        <w:ind w:firstLineChars="200" w:firstLine="480"/>
        <w:rPr>
          <w:sz w:val="24"/>
        </w:rPr>
      </w:pPr>
      <w:r>
        <w:rPr>
          <w:rFonts w:hAnsi="宋体"/>
          <w:sz w:val="24"/>
        </w:rPr>
        <w:t>（</w:t>
      </w:r>
      <w:r>
        <w:rPr>
          <w:sz w:val="24"/>
        </w:rPr>
        <w:t>8</w:t>
      </w:r>
      <w:r>
        <w:rPr>
          <w:rFonts w:hAnsi="宋体"/>
          <w:sz w:val="24"/>
        </w:rPr>
        <w:t>）基金管理人的董事长、总经理及其他高级管理人员、基金经理和基金托管人基金托管部门负责人发生变动；</w:t>
      </w:r>
    </w:p>
    <w:p w:rsidR="00783788" w:rsidRDefault="002C6E18">
      <w:pPr>
        <w:adjustRightInd w:val="0"/>
        <w:snapToGrid w:val="0"/>
        <w:spacing w:line="360" w:lineRule="auto"/>
        <w:ind w:firstLineChars="200" w:firstLine="480"/>
        <w:rPr>
          <w:sz w:val="24"/>
        </w:rPr>
      </w:pPr>
      <w:r>
        <w:rPr>
          <w:rFonts w:hAnsi="宋体"/>
          <w:sz w:val="24"/>
        </w:rPr>
        <w:t>（</w:t>
      </w:r>
      <w:r>
        <w:rPr>
          <w:sz w:val="24"/>
        </w:rPr>
        <w:t>9</w:t>
      </w:r>
      <w:r>
        <w:rPr>
          <w:rFonts w:hAnsi="宋体"/>
          <w:sz w:val="24"/>
        </w:rPr>
        <w:t>）基金管理人的董事在一年内变更超过</w:t>
      </w:r>
      <w:r>
        <w:rPr>
          <w:rFonts w:hAnsi="宋体"/>
          <w:bCs/>
          <w:sz w:val="24"/>
        </w:rPr>
        <w:t>百分之五十</w:t>
      </w:r>
      <w:r>
        <w:rPr>
          <w:rFonts w:hAnsi="宋体"/>
          <w:sz w:val="24"/>
        </w:rPr>
        <w:t>；</w:t>
      </w:r>
    </w:p>
    <w:p w:rsidR="00783788" w:rsidRDefault="002C6E18">
      <w:pPr>
        <w:adjustRightInd w:val="0"/>
        <w:snapToGrid w:val="0"/>
        <w:spacing w:line="360" w:lineRule="auto"/>
        <w:ind w:firstLineChars="200" w:firstLine="480"/>
        <w:rPr>
          <w:sz w:val="24"/>
        </w:rPr>
      </w:pPr>
      <w:r>
        <w:rPr>
          <w:rFonts w:hAnsi="宋体"/>
          <w:sz w:val="24"/>
        </w:rPr>
        <w:t>（</w:t>
      </w:r>
      <w:r>
        <w:rPr>
          <w:sz w:val="24"/>
        </w:rPr>
        <w:t>10</w:t>
      </w:r>
      <w:r>
        <w:rPr>
          <w:rFonts w:hAnsi="宋体"/>
          <w:sz w:val="24"/>
        </w:rPr>
        <w:t>）基金管理人、基金托管人基金托管部门的主要业务人员在一年内变动超过</w:t>
      </w:r>
      <w:r>
        <w:rPr>
          <w:rFonts w:hAnsi="宋体"/>
          <w:bCs/>
          <w:sz w:val="24"/>
        </w:rPr>
        <w:t>百分之三十</w:t>
      </w:r>
      <w:r>
        <w:rPr>
          <w:rFonts w:hAnsi="宋体"/>
          <w:sz w:val="24"/>
        </w:rPr>
        <w:t>；</w:t>
      </w:r>
    </w:p>
    <w:p w:rsidR="00783788" w:rsidRDefault="002C6E18">
      <w:pPr>
        <w:adjustRightInd w:val="0"/>
        <w:snapToGrid w:val="0"/>
        <w:spacing w:line="360" w:lineRule="auto"/>
        <w:ind w:firstLineChars="200" w:firstLine="480"/>
        <w:rPr>
          <w:sz w:val="24"/>
        </w:rPr>
      </w:pPr>
      <w:r>
        <w:rPr>
          <w:rFonts w:hAnsi="宋体"/>
          <w:sz w:val="24"/>
        </w:rPr>
        <w:t>（</w:t>
      </w:r>
      <w:r>
        <w:rPr>
          <w:sz w:val="24"/>
        </w:rPr>
        <w:t>11</w:t>
      </w:r>
      <w:r>
        <w:rPr>
          <w:rFonts w:hAnsi="宋体"/>
          <w:sz w:val="24"/>
        </w:rPr>
        <w:t>）涉及基金管理人、基金财产、基金托管业务的诉讼；</w:t>
      </w:r>
    </w:p>
    <w:p w:rsidR="00783788" w:rsidRDefault="002C6E18">
      <w:pPr>
        <w:adjustRightInd w:val="0"/>
        <w:snapToGrid w:val="0"/>
        <w:spacing w:line="360" w:lineRule="auto"/>
        <w:ind w:firstLineChars="200" w:firstLine="480"/>
        <w:rPr>
          <w:sz w:val="24"/>
        </w:rPr>
      </w:pPr>
      <w:r>
        <w:rPr>
          <w:rFonts w:hAnsi="宋体"/>
          <w:sz w:val="24"/>
        </w:rPr>
        <w:t>（</w:t>
      </w:r>
      <w:r>
        <w:rPr>
          <w:sz w:val="24"/>
        </w:rPr>
        <w:t>12</w:t>
      </w:r>
      <w:r>
        <w:rPr>
          <w:rFonts w:hAnsi="宋体"/>
          <w:sz w:val="24"/>
        </w:rPr>
        <w:t>）基金管理人、基金托管人受到监管部门的调查；</w:t>
      </w:r>
    </w:p>
    <w:p w:rsidR="00783788" w:rsidRDefault="002C6E18">
      <w:pPr>
        <w:adjustRightInd w:val="0"/>
        <w:snapToGrid w:val="0"/>
        <w:spacing w:line="360" w:lineRule="auto"/>
        <w:ind w:firstLineChars="200" w:firstLine="480"/>
        <w:rPr>
          <w:sz w:val="24"/>
        </w:rPr>
      </w:pPr>
      <w:r>
        <w:rPr>
          <w:rFonts w:hAnsi="宋体"/>
          <w:sz w:val="24"/>
        </w:rPr>
        <w:t>（</w:t>
      </w:r>
      <w:r>
        <w:rPr>
          <w:sz w:val="24"/>
        </w:rPr>
        <w:t>13</w:t>
      </w:r>
      <w:r>
        <w:rPr>
          <w:rFonts w:hAnsi="宋体"/>
          <w:sz w:val="24"/>
        </w:rPr>
        <w:t>）基金管理人及其董事、总经理及其他高级管理人员、基金经理受到严重行政处罚，基金托管人及其基金托管部门负责人受到严重行政处罚；</w:t>
      </w:r>
    </w:p>
    <w:p w:rsidR="00783788" w:rsidRDefault="002C6E18">
      <w:pPr>
        <w:adjustRightInd w:val="0"/>
        <w:snapToGrid w:val="0"/>
        <w:spacing w:line="360" w:lineRule="auto"/>
        <w:ind w:firstLineChars="200" w:firstLine="480"/>
        <w:rPr>
          <w:sz w:val="24"/>
        </w:rPr>
      </w:pPr>
      <w:r>
        <w:rPr>
          <w:rFonts w:hAnsi="宋体"/>
          <w:sz w:val="24"/>
        </w:rPr>
        <w:t>（</w:t>
      </w:r>
      <w:r>
        <w:rPr>
          <w:sz w:val="24"/>
        </w:rPr>
        <w:t>14</w:t>
      </w:r>
      <w:r>
        <w:rPr>
          <w:rFonts w:hAnsi="宋体"/>
          <w:sz w:val="24"/>
        </w:rPr>
        <w:t>）重大关联交易事项；</w:t>
      </w:r>
    </w:p>
    <w:p w:rsidR="00783788" w:rsidRDefault="002C6E18">
      <w:pPr>
        <w:adjustRightInd w:val="0"/>
        <w:snapToGrid w:val="0"/>
        <w:spacing w:line="360" w:lineRule="auto"/>
        <w:ind w:firstLineChars="200" w:firstLine="480"/>
        <w:rPr>
          <w:sz w:val="24"/>
        </w:rPr>
      </w:pPr>
      <w:r>
        <w:rPr>
          <w:rFonts w:hAnsi="宋体"/>
          <w:sz w:val="24"/>
        </w:rPr>
        <w:t>（</w:t>
      </w:r>
      <w:r>
        <w:rPr>
          <w:sz w:val="24"/>
        </w:rPr>
        <w:t>15</w:t>
      </w:r>
      <w:r>
        <w:rPr>
          <w:rFonts w:hAnsi="宋体"/>
          <w:sz w:val="24"/>
        </w:rPr>
        <w:t>）基金收益分配事项；</w:t>
      </w:r>
    </w:p>
    <w:p w:rsidR="00783788" w:rsidRDefault="002C6E18">
      <w:pPr>
        <w:adjustRightInd w:val="0"/>
        <w:snapToGrid w:val="0"/>
        <w:spacing w:line="360" w:lineRule="auto"/>
        <w:ind w:firstLineChars="200" w:firstLine="480"/>
        <w:rPr>
          <w:sz w:val="24"/>
        </w:rPr>
      </w:pPr>
      <w:r>
        <w:rPr>
          <w:rFonts w:hAnsi="宋体"/>
          <w:sz w:val="24"/>
        </w:rPr>
        <w:t>（</w:t>
      </w:r>
      <w:r>
        <w:rPr>
          <w:sz w:val="24"/>
        </w:rPr>
        <w:t>16</w:t>
      </w:r>
      <w:r>
        <w:rPr>
          <w:rFonts w:hAnsi="宋体"/>
          <w:sz w:val="24"/>
        </w:rPr>
        <w:t>）管理费、托管费等费用计提标准、计提方式和费率发生变更；</w:t>
      </w:r>
    </w:p>
    <w:p w:rsidR="00783788" w:rsidRDefault="002C6E18">
      <w:pPr>
        <w:adjustRightInd w:val="0"/>
        <w:snapToGrid w:val="0"/>
        <w:spacing w:line="360" w:lineRule="auto"/>
        <w:ind w:firstLineChars="200" w:firstLine="480"/>
        <w:rPr>
          <w:sz w:val="24"/>
        </w:rPr>
      </w:pPr>
      <w:r>
        <w:rPr>
          <w:rFonts w:hAnsi="宋体"/>
          <w:sz w:val="24"/>
        </w:rPr>
        <w:t>（</w:t>
      </w:r>
      <w:r>
        <w:rPr>
          <w:sz w:val="24"/>
        </w:rPr>
        <w:t>17</w:t>
      </w:r>
      <w:r>
        <w:rPr>
          <w:rFonts w:hAnsi="宋体"/>
          <w:sz w:val="24"/>
        </w:rPr>
        <w:t>）基金份额净值计价错误达基金份额净值</w:t>
      </w:r>
      <w:r>
        <w:rPr>
          <w:rFonts w:hAnsi="宋体"/>
          <w:bCs/>
          <w:sz w:val="24"/>
        </w:rPr>
        <w:t>百分之零点五</w:t>
      </w:r>
      <w:r>
        <w:rPr>
          <w:rFonts w:hAnsi="宋体"/>
          <w:sz w:val="24"/>
        </w:rPr>
        <w:t>；</w:t>
      </w:r>
    </w:p>
    <w:p w:rsidR="00783788" w:rsidRDefault="002C6E18">
      <w:pPr>
        <w:adjustRightInd w:val="0"/>
        <w:snapToGrid w:val="0"/>
        <w:spacing w:line="360" w:lineRule="auto"/>
        <w:ind w:firstLineChars="200" w:firstLine="480"/>
        <w:rPr>
          <w:sz w:val="24"/>
        </w:rPr>
      </w:pPr>
      <w:r>
        <w:rPr>
          <w:rFonts w:hAnsi="宋体"/>
          <w:sz w:val="24"/>
        </w:rPr>
        <w:t>（</w:t>
      </w:r>
      <w:r>
        <w:rPr>
          <w:sz w:val="24"/>
        </w:rPr>
        <w:t>18</w:t>
      </w:r>
      <w:r>
        <w:rPr>
          <w:rFonts w:hAnsi="宋体"/>
          <w:sz w:val="24"/>
        </w:rPr>
        <w:t>）基金改聘会计师事务所；</w:t>
      </w:r>
    </w:p>
    <w:p w:rsidR="00783788" w:rsidRDefault="002C6E18">
      <w:pPr>
        <w:adjustRightInd w:val="0"/>
        <w:snapToGrid w:val="0"/>
        <w:spacing w:line="360" w:lineRule="auto"/>
        <w:ind w:firstLineChars="200" w:firstLine="480"/>
        <w:rPr>
          <w:sz w:val="24"/>
        </w:rPr>
      </w:pPr>
      <w:r>
        <w:rPr>
          <w:rFonts w:hAnsi="宋体"/>
          <w:sz w:val="24"/>
        </w:rPr>
        <w:t>（</w:t>
      </w:r>
      <w:r>
        <w:rPr>
          <w:sz w:val="24"/>
        </w:rPr>
        <w:t>19</w:t>
      </w:r>
      <w:r>
        <w:rPr>
          <w:rFonts w:hAnsi="宋体"/>
          <w:sz w:val="24"/>
        </w:rPr>
        <w:t>）</w:t>
      </w:r>
      <w:r>
        <w:rPr>
          <w:rFonts w:hAnsi="宋体"/>
          <w:bCs/>
          <w:sz w:val="24"/>
        </w:rPr>
        <w:t>变更基金销售机构</w:t>
      </w:r>
      <w:r>
        <w:rPr>
          <w:rFonts w:hAnsi="宋体"/>
          <w:sz w:val="24"/>
        </w:rPr>
        <w:t>；</w:t>
      </w:r>
    </w:p>
    <w:p w:rsidR="00783788" w:rsidRDefault="002C6E18">
      <w:pPr>
        <w:adjustRightInd w:val="0"/>
        <w:snapToGrid w:val="0"/>
        <w:spacing w:line="360" w:lineRule="auto"/>
        <w:ind w:firstLineChars="200" w:firstLine="480"/>
        <w:rPr>
          <w:sz w:val="24"/>
        </w:rPr>
      </w:pPr>
      <w:r>
        <w:rPr>
          <w:rFonts w:hAnsi="宋体"/>
          <w:sz w:val="24"/>
        </w:rPr>
        <w:t>（</w:t>
      </w:r>
      <w:r>
        <w:rPr>
          <w:sz w:val="24"/>
        </w:rPr>
        <w:t>20</w:t>
      </w:r>
      <w:r>
        <w:rPr>
          <w:rFonts w:hAnsi="宋体"/>
          <w:sz w:val="24"/>
        </w:rPr>
        <w:t>）更换基金登记机构；</w:t>
      </w:r>
    </w:p>
    <w:p w:rsidR="00783788" w:rsidRDefault="002C6E18">
      <w:pPr>
        <w:adjustRightInd w:val="0"/>
        <w:snapToGrid w:val="0"/>
        <w:spacing w:line="360" w:lineRule="auto"/>
        <w:ind w:firstLineChars="200" w:firstLine="480"/>
        <w:rPr>
          <w:sz w:val="24"/>
        </w:rPr>
      </w:pPr>
      <w:r>
        <w:rPr>
          <w:rFonts w:hAnsi="宋体"/>
          <w:sz w:val="24"/>
        </w:rPr>
        <w:t>（</w:t>
      </w:r>
      <w:r>
        <w:rPr>
          <w:sz w:val="24"/>
        </w:rPr>
        <w:t>21</w:t>
      </w:r>
      <w:r>
        <w:rPr>
          <w:rFonts w:hAnsi="宋体"/>
          <w:sz w:val="24"/>
        </w:rPr>
        <w:t>）本基金开始办理申购、赎回；</w:t>
      </w:r>
    </w:p>
    <w:p w:rsidR="00783788" w:rsidRDefault="002C6E18">
      <w:pPr>
        <w:adjustRightInd w:val="0"/>
        <w:snapToGrid w:val="0"/>
        <w:spacing w:line="360" w:lineRule="auto"/>
        <w:ind w:firstLineChars="200" w:firstLine="480"/>
        <w:rPr>
          <w:sz w:val="24"/>
        </w:rPr>
      </w:pPr>
      <w:r>
        <w:rPr>
          <w:rFonts w:hAnsi="宋体"/>
          <w:sz w:val="24"/>
        </w:rPr>
        <w:t>（</w:t>
      </w:r>
      <w:r>
        <w:rPr>
          <w:sz w:val="24"/>
        </w:rPr>
        <w:t>22</w:t>
      </w:r>
      <w:r>
        <w:rPr>
          <w:rFonts w:hAnsi="宋体"/>
          <w:sz w:val="24"/>
        </w:rPr>
        <w:t>）本基金申购、赎回费率及其收费方式发生变更；</w:t>
      </w:r>
    </w:p>
    <w:p w:rsidR="00783788" w:rsidRDefault="002C6E18">
      <w:pPr>
        <w:adjustRightInd w:val="0"/>
        <w:snapToGrid w:val="0"/>
        <w:spacing w:line="360" w:lineRule="auto"/>
        <w:ind w:firstLineChars="200" w:firstLine="480"/>
        <w:rPr>
          <w:sz w:val="24"/>
        </w:rPr>
      </w:pPr>
      <w:r>
        <w:rPr>
          <w:rFonts w:hAnsi="宋体"/>
          <w:sz w:val="24"/>
        </w:rPr>
        <w:t>（</w:t>
      </w:r>
      <w:r>
        <w:rPr>
          <w:sz w:val="24"/>
        </w:rPr>
        <w:t>23</w:t>
      </w:r>
      <w:r>
        <w:rPr>
          <w:rFonts w:hAnsi="宋体"/>
          <w:sz w:val="24"/>
        </w:rPr>
        <w:t>）本基金发生巨额赎回并延期支付；</w:t>
      </w:r>
    </w:p>
    <w:p w:rsidR="00783788" w:rsidRDefault="002C6E18">
      <w:pPr>
        <w:adjustRightInd w:val="0"/>
        <w:snapToGrid w:val="0"/>
        <w:spacing w:line="360" w:lineRule="auto"/>
        <w:ind w:firstLineChars="200" w:firstLine="480"/>
        <w:rPr>
          <w:sz w:val="24"/>
        </w:rPr>
      </w:pPr>
      <w:r>
        <w:rPr>
          <w:rFonts w:hAnsi="宋体"/>
          <w:bCs/>
          <w:sz w:val="24"/>
        </w:rPr>
        <w:t>（</w:t>
      </w:r>
      <w:r>
        <w:rPr>
          <w:bCs/>
          <w:sz w:val="24"/>
        </w:rPr>
        <w:t>24</w:t>
      </w:r>
      <w:r>
        <w:rPr>
          <w:rFonts w:hAnsi="宋体"/>
          <w:bCs/>
          <w:sz w:val="24"/>
        </w:rPr>
        <w:t>）本基金连续发生巨额赎回并暂停接受赎回申请；</w:t>
      </w:r>
    </w:p>
    <w:p w:rsidR="00783788" w:rsidRDefault="002C6E18">
      <w:pPr>
        <w:adjustRightInd w:val="0"/>
        <w:snapToGrid w:val="0"/>
        <w:spacing w:line="360" w:lineRule="auto"/>
        <w:ind w:firstLineChars="200" w:firstLine="480"/>
        <w:rPr>
          <w:sz w:val="24"/>
        </w:rPr>
      </w:pPr>
      <w:r>
        <w:rPr>
          <w:rFonts w:hAnsi="宋体"/>
          <w:sz w:val="24"/>
        </w:rPr>
        <w:t>（</w:t>
      </w:r>
      <w:r>
        <w:rPr>
          <w:sz w:val="24"/>
        </w:rPr>
        <w:t>25</w:t>
      </w:r>
      <w:r>
        <w:rPr>
          <w:rFonts w:hAnsi="宋体"/>
          <w:sz w:val="24"/>
        </w:rPr>
        <w:t>）本基金暂停接受申购、赎回申请</w:t>
      </w:r>
      <w:r>
        <w:rPr>
          <w:rFonts w:hAnsi="宋体"/>
          <w:bCs/>
          <w:sz w:val="24"/>
        </w:rPr>
        <w:t>后重新接受申购、赎回</w:t>
      </w:r>
      <w:r>
        <w:rPr>
          <w:rFonts w:hAnsi="宋体"/>
          <w:sz w:val="24"/>
        </w:rPr>
        <w:t>；</w:t>
      </w:r>
    </w:p>
    <w:p w:rsidR="00783788" w:rsidRDefault="002C6E18">
      <w:pPr>
        <w:adjustRightInd w:val="0"/>
        <w:snapToGrid w:val="0"/>
        <w:spacing w:line="360" w:lineRule="auto"/>
        <w:ind w:firstLineChars="200" w:firstLine="480"/>
        <w:rPr>
          <w:sz w:val="24"/>
        </w:rPr>
      </w:pPr>
      <w:r>
        <w:rPr>
          <w:rFonts w:hAnsi="宋体"/>
          <w:sz w:val="24"/>
        </w:rPr>
        <w:t>（</w:t>
      </w:r>
      <w:r>
        <w:rPr>
          <w:sz w:val="24"/>
        </w:rPr>
        <w:t>26</w:t>
      </w:r>
      <w:r>
        <w:rPr>
          <w:rFonts w:hAnsi="宋体"/>
          <w:sz w:val="24"/>
        </w:rPr>
        <w:t>）中国证监会规定的其他事项。</w:t>
      </w:r>
    </w:p>
    <w:p w:rsidR="00783788" w:rsidRDefault="002C6E18">
      <w:pPr>
        <w:adjustRightInd w:val="0"/>
        <w:snapToGrid w:val="0"/>
        <w:spacing w:line="360" w:lineRule="auto"/>
        <w:ind w:firstLineChars="200" w:firstLine="480"/>
        <w:rPr>
          <w:sz w:val="24"/>
        </w:rPr>
      </w:pPr>
      <w:r>
        <w:rPr>
          <w:sz w:val="24"/>
        </w:rPr>
        <w:t>8</w:t>
      </w:r>
      <w:r>
        <w:rPr>
          <w:rFonts w:hAnsi="宋体"/>
          <w:sz w:val="24"/>
        </w:rPr>
        <w:t>、澄清公告</w:t>
      </w:r>
    </w:p>
    <w:p w:rsidR="00783788" w:rsidRDefault="002C6E18">
      <w:pPr>
        <w:adjustRightInd w:val="0"/>
        <w:snapToGrid w:val="0"/>
        <w:spacing w:line="360" w:lineRule="auto"/>
        <w:ind w:firstLineChars="200" w:firstLine="480"/>
        <w:rPr>
          <w:sz w:val="24"/>
        </w:rPr>
      </w:pPr>
      <w:r>
        <w:rPr>
          <w:rFonts w:hAnsi="宋体"/>
          <w:sz w:val="24"/>
        </w:rPr>
        <w:t>在基金合同存续期限内，任何公共媒体中出现的或者在市场上流传的消息可能对基金份额价格产生误导性影响或者引起较大波动的，相关信息披露义务人知悉后应当立即对该消息进行公开澄清，并将有关情况立即报告中国证监会。</w:t>
      </w:r>
    </w:p>
    <w:p w:rsidR="00783788" w:rsidRDefault="002C6E18">
      <w:pPr>
        <w:adjustRightInd w:val="0"/>
        <w:snapToGrid w:val="0"/>
        <w:spacing w:line="360" w:lineRule="auto"/>
        <w:ind w:firstLineChars="200" w:firstLine="480"/>
        <w:rPr>
          <w:sz w:val="24"/>
        </w:rPr>
      </w:pPr>
      <w:r>
        <w:rPr>
          <w:sz w:val="24"/>
        </w:rPr>
        <w:t>9</w:t>
      </w:r>
      <w:r>
        <w:rPr>
          <w:rFonts w:hAnsi="宋体"/>
          <w:sz w:val="24"/>
        </w:rPr>
        <w:t>、基金份额持有人大会决议</w:t>
      </w:r>
    </w:p>
    <w:p w:rsidR="00783788" w:rsidRDefault="002C6E18">
      <w:pPr>
        <w:adjustRightInd w:val="0"/>
        <w:snapToGrid w:val="0"/>
        <w:spacing w:line="360" w:lineRule="auto"/>
        <w:ind w:firstLineChars="200" w:firstLine="480"/>
        <w:rPr>
          <w:sz w:val="24"/>
        </w:rPr>
      </w:pPr>
      <w:r>
        <w:rPr>
          <w:rFonts w:hAnsi="宋体"/>
          <w:sz w:val="24"/>
        </w:rPr>
        <w:t>基金份额持有人大会决定的事项，应当依法报中国证监会核准或者备案，并予以公告。</w:t>
      </w:r>
    </w:p>
    <w:p w:rsidR="00783788" w:rsidRDefault="002C6E18">
      <w:pPr>
        <w:adjustRightInd w:val="0"/>
        <w:snapToGrid w:val="0"/>
        <w:spacing w:line="360" w:lineRule="auto"/>
        <w:ind w:firstLineChars="200" w:firstLine="480"/>
        <w:rPr>
          <w:sz w:val="24"/>
        </w:rPr>
      </w:pPr>
      <w:r>
        <w:rPr>
          <w:rFonts w:hAnsi="宋体"/>
          <w:sz w:val="24"/>
        </w:rPr>
        <w:t>基金份额持有人依法自行召集基金份额持有人大会，基金管理人、基金托管人对基金份额持有人大会决定的事项不依法履行信息披露义务的，召集人应当履行相关信息披露义务。</w:t>
      </w:r>
    </w:p>
    <w:p w:rsidR="00783788" w:rsidRDefault="002C6E18">
      <w:pPr>
        <w:adjustRightInd w:val="0"/>
        <w:snapToGrid w:val="0"/>
        <w:spacing w:line="360" w:lineRule="auto"/>
        <w:ind w:firstLineChars="200" w:firstLine="480"/>
        <w:rPr>
          <w:sz w:val="24"/>
        </w:rPr>
      </w:pPr>
      <w:r>
        <w:rPr>
          <w:sz w:val="24"/>
        </w:rPr>
        <w:t>10</w:t>
      </w:r>
      <w:r>
        <w:rPr>
          <w:rFonts w:hAnsi="宋体"/>
          <w:sz w:val="24"/>
        </w:rPr>
        <w:t>、中国证监会规定的其他信息</w:t>
      </w:r>
    </w:p>
    <w:p w:rsidR="00783788" w:rsidRDefault="002C6E18">
      <w:pPr>
        <w:adjustRightInd w:val="0"/>
        <w:snapToGrid w:val="0"/>
        <w:spacing w:line="360" w:lineRule="auto"/>
        <w:ind w:firstLineChars="200" w:firstLine="482"/>
        <w:rPr>
          <w:b/>
          <w:bCs/>
          <w:sz w:val="24"/>
        </w:rPr>
      </w:pPr>
      <w:r>
        <w:rPr>
          <w:rFonts w:hAnsi="宋体"/>
          <w:b/>
          <w:bCs/>
          <w:sz w:val="24"/>
        </w:rPr>
        <w:t>（六）信息披露事务管理</w:t>
      </w:r>
    </w:p>
    <w:p w:rsidR="00783788" w:rsidRDefault="002C6E18">
      <w:pPr>
        <w:adjustRightInd w:val="0"/>
        <w:snapToGrid w:val="0"/>
        <w:spacing w:line="360" w:lineRule="auto"/>
        <w:ind w:firstLineChars="200" w:firstLine="480"/>
        <w:rPr>
          <w:bCs/>
          <w:sz w:val="24"/>
        </w:rPr>
      </w:pPr>
      <w:r>
        <w:rPr>
          <w:rFonts w:hAnsi="宋体"/>
          <w:bCs/>
          <w:sz w:val="24"/>
        </w:rPr>
        <w:t>基金管理人、基金托管人应当建立健全信息披露管理制度，指定专人负责管理信息披露事务。</w:t>
      </w:r>
    </w:p>
    <w:p w:rsidR="00783788" w:rsidRDefault="002C6E18">
      <w:pPr>
        <w:adjustRightInd w:val="0"/>
        <w:snapToGrid w:val="0"/>
        <w:spacing w:line="360" w:lineRule="auto"/>
        <w:ind w:firstLineChars="200" w:firstLine="480"/>
        <w:rPr>
          <w:bCs/>
          <w:sz w:val="24"/>
        </w:rPr>
      </w:pPr>
      <w:r>
        <w:rPr>
          <w:rFonts w:hAnsi="宋体"/>
          <w:bCs/>
          <w:sz w:val="24"/>
        </w:rPr>
        <w:t>基金信息披露义务人公开披露基金信息，应当符合中国证监会相关基金信息披露内容与格式准则的规定。</w:t>
      </w:r>
    </w:p>
    <w:p w:rsidR="00783788" w:rsidRDefault="002C6E18">
      <w:pPr>
        <w:adjustRightInd w:val="0"/>
        <w:snapToGrid w:val="0"/>
        <w:spacing w:line="360" w:lineRule="auto"/>
        <w:ind w:firstLineChars="200" w:firstLine="480"/>
        <w:rPr>
          <w:bCs/>
          <w:sz w:val="24"/>
        </w:rPr>
      </w:pPr>
      <w:r>
        <w:rPr>
          <w:rFonts w:hAnsi="宋体"/>
          <w:bCs/>
          <w:sz w:val="24"/>
        </w:rPr>
        <w:t>基金托管人应当按照相关法律法规、中国证监会的规定和基金合同的约定，对基金管理人编制的基金资产净值、基金份额净值、基金份额申购赎回价格、基金定期报告和定期更新的招募说明书等公开披露的相关基金信息进行复核、审查，并向基金管理人出具书面文件或者盖章确认。</w:t>
      </w:r>
    </w:p>
    <w:p w:rsidR="00783788" w:rsidRDefault="002C6E18">
      <w:pPr>
        <w:adjustRightInd w:val="0"/>
        <w:snapToGrid w:val="0"/>
        <w:spacing w:line="360" w:lineRule="auto"/>
        <w:ind w:firstLineChars="200" w:firstLine="480"/>
        <w:rPr>
          <w:bCs/>
          <w:sz w:val="24"/>
        </w:rPr>
      </w:pPr>
      <w:r>
        <w:rPr>
          <w:rFonts w:hAnsi="宋体"/>
          <w:bCs/>
          <w:sz w:val="24"/>
        </w:rPr>
        <w:t>基金管理人、基金托管人应当在指定报刊中选择披露信息的报刊。</w:t>
      </w:r>
    </w:p>
    <w:p w:rsidR="00783788" w:rsidRDefault="002C6E18">
      <w:pPr>
        <w:adjustRightInd w:val="0"/>
        <w:snapToGrid w:val="0"/>
        <w:spacing w:line="360" w:lineRule="auto"/>
        <w:ind w:firstLineChars="200" w:firstLine="480"/>
        <w:rPr>
          <w:b/>
          <w:sz w:val="24"/>
        </w:rPr>
      </w:pPr>
      <w:r>
        <w:rPr>
          <w:rFonts w:hAnsi="宋体"/>
          <w:bCs/>
          <w:sz w:val="24"/>
        </w:rPr>
        <w:t>基金管理人、基金托管人除依法在指定报刊和网站上披露信息外，还可以根据需要在其他公共媒体披露信息，但是其他公共媒体不得早于指定报刊和网站披露信息，并且在不同媒介上披露同一信息的内容应当一致。</w:t>
      </w:r>
    </w:p>
    <w:p w:rsidR="00783788" w:rsidRDefault="002C6E18">
      <w:pPr>
        <w:adjustRightInd w:val="0"/>
        <w:snapToGrid w:val="0"/>
        <w:spacing w:line="360" w:lineRule="auto"/>
        <w:ind w:firstLineChars="200" w:firstLine="482"/>
        <w:rPr>
          <w:b/>
          <w:sz w:val="24"/>
        </w:rPr>
      </w:pPr>
      <w:r>
        <w:rPr>
          <w:rFonts w:hAnsi="宋体"/>
          <w:b/>
          <w:sz w:val="24"/>
        </w:rPr>
        <w:t>（七）信息披露文件的存放与查阅</w:t>
      </w:r>
    </w:p>
    <w:p w:rsidR="00783788" w:rsidRDefault="002C6E18">
      <w:pPr>
        <w:adjustRightInd w:val="0"/>
        <w:snapToGrid w:val="0"/>
        <w:spacing w:line="360" w:lineRule="auto"/>
        <w:ind w:firstLineChars="200" w:firstLine="480"/>
        <w:rPr>
          <w:bCs/>
          <w:sz w:val="24"/>
        </w:rPr>
      </w:pPr>
      <w:r>
        <w:rPr>
          <w:rFonts w:hAnsi="宋体"/>
          <w:bCs/>
          <w:sz w:val="24"/>
        </w:rPr>
        <w:t>招募说明书公布后，应当分别置备于基金管理人、基金托管人和基金销售机构的住所，供公众查阅、复制。</w:t>
      </w:r>
    </w:p>
    <w:p w:rsidR="00783788" w:rsidRDefault="002C6E18">
      <w:pPr>
        <w:adjustRightInd w:val="0"/>
        <w:snapToGrid w:val="0"/>
        <w:spacing w:line="360" w:lineRule="auto"/>
        <w:ind w:firstLineChars="200" w:firstLine="480"/>
        <w:rPr>
          <w:sz w:val="24"/>
        </w:rPr>
      </w:pPr>
      <w:r>
        <w:rPr>
          <w:rFonts w:hAnsi="宋体"/>
          <w:bCs/>
          <w:sz w:val="24"/>
        </w:rPr>
        <w:t>基金定期报告公布后，应当分别置备于基金管理人和基金托管人的住所，以供公众查阅、复制。</w:t>
      </w:r>
    </w:p>
    <w:p w:rsidR="00783788" w:rsidRDefault="00783788">
      <w:pPr>
        <w:widowControl/>
        <w:adjustRightInd w:val="0"/>
        <w:snapToGrid w:val="0"/>
        <w:spacing w:line="360" w:lineRule="auto"/>
        <w:ind w:firstLineChars="200" w:firstLine="602"/>
        <w:outlineLvl w:val="0"/>
        <w:rPr>
          <w:b/>
          <w:kern w:val="0"/>
          <w:sz w:val="30"/>
        </w:rPr>
      </w:pPr>
    </w:p>
    <w:p w:rsidR="00783788" w:rsidRDefault="002C6E18">
      <w:pPr>
        <w:widowControl/>
        <w:adjustRightInd w:val="0"/>
        <w:snapToGrid w:val="0"/>
        <w:spacing w:beforeLines="100" w:before="240" w:afterLines="50" w:after="120" w:line="360" w:lineRule="auto"/>
        <w:jc w:val="center"/>
        <w:outlineLvl w:val="0"/>
        <w:rPr>
          <w:rFonts w:ascii="宋体" w:hAnsi="宋体"/>
          <w:b/>
          <w:kern w:val="0"/>
          <w:sz w:val="30"/>
        </w:rPr>
      </w:pPr>
      <w:bookmarkStart w:id="91" w:name="_Toc382321330"/>
      <w:r>
        <w:rPr>
          <w:rFonts w:ascii="宋体" w:hAnsi="宋体" w:hint="eastAsia"/>
          <w:b/>
          <w:kern w:val="0"/>
          <w:sz w:val="30"/>
        </w:rPr>
        <w:t>十九、风险揭示</w:t>
      </w:r>
      <w:bookmarkEnd w:id="91"/>
    </w:p>
    <w:p w:rsidR="00783788" w:rsidRDefault="002C6E18">
      <w:pPr>
        <w:adjustRightInd w:val="0"/>
        <w:snapToGrid w:val="0"/>
        <w:spacing w:line="360" w:lineRule="auto"/>
        <w:ind w:firstLineChars="200" w:firstLine="480"/>
        <w:rPr>
          <w:sz w:val="24"/>
          <w:szCs w:val="24"/>
        </w:rPr>
      </w:pPr>
      <w:r>
        <w:rPr>
          <w:rFonts w:hAnsi="宋体"/>
          <w:sz w:val="24"/>
          <w:szCs w:val="24"/>
        </w:rPr>
        <w:t>证券投资基金（以下简称</w:t>
      </w:r>
      <w:r>
        <w:rPr>
          <w:sz w:val="24"/>
          <w:szCs w:val="24"/>
        </w:rPr>
        <w:t>“</w:t>
      </w:r>
      <w:r>
        <w:rPr>
          <w:rFonts w:hAnsi="宋体"/>
          <w:sz w:val="24"/>
          <w:szCs w:val="24"/>
        </w:rPr>
        <w:t>基金</w:t>
      </w:r>
      <w:r>
        <w:rPr>
          <w:sz w:val="24"/>
          <w:szCs w:val="24"/>
        </w:rPr>
        <w:t>”</w:t>
      </w:r>
      <w:r>
        <w:rPr>
          <w:rFonts w:hAnsi="宋体"/>
          <w:sz w:val="24"/>
          <w:szCs w:val="24"/>
        </w:rPr>
        <w:t>）是一种长期投资工具，其主要功能是分散投资，降低投资单一证券所带来的个别风险。基金不同于银行储蓄和债券等能够提供固定收益预期的金融工具，投资人购买基金，既可能按其持有份额分享基金投资所产</w:t>
      </w:r>
      <w:bookmarkStart w:id="92" w:name="_Hlt91150550"/>
      <w:bookmarkStart w:id="93" w:name="_Hlt88901012"/>
      <w:bookmarkStart w:id="94" w:name="_Toc109537396"/>
      <w:bookmarkEnd w:id="92"/>
      <w:bookmarkEnd w:id="93"/>
      <w:r>
        <w:rPr>
          <w:rFonts w:hAnsi="宋体"/>
          <w:sz w:val="24"/>
          <w:szCs w:val="24"/>
        </w:rPr>
        <w:t>生的收益，也可能承担</w:t>
      </w:r>
      <w:bookmarkEnd w:id="94"/>
      <w:r>
        <w:rPr>
          <w:rFonts w:hAnsi="宋体"/>
          <w:sz w:val="24"/>
          <w:szCs w:val="24"/>
        </w:rPr>
        <w:t>基金投资所带来的损失。</w:t>
      </w:r>
    </w:p>
    <w:p w:rsidR="00783788" w:rsidRDefault="002C6E18">
      <w:pPr>
        <w:adjustRightInd w:val="0"/>
        <w:snapToGrid w:val="0"/>
        <w:spacing w:line="360" w:lineRule="auto"/>
        <w:ind w:firstLineChars="200" w:firstLine="480"/>
        <w:rPr>
          <w:sz w:val="24"/>
          <w:szCs w:val="24"/>
        </w:rPr>
      </w:pPr>
      <w:r>
        <w:rPr>
          <w:rFonts w:hAnsi="宋体"/>
          <w:sz w:val="24"/>
          <w:szCs w:val="24"/>
        </w:rPr>
        <w:t>基金在投资运作过程中可能面临各种风险，既包括市场风险，也包括基金自身的管理风险、技术风险和合规风险等。巨额赎回风险是开放式基金所特有的一种风险，即当单个交易日基金的净赎回申请（赎回申请份额总数加上基金转换中转出申请份额总数扣除申购申请份额总数及基金转换中转入申请份额总数后的余额</w:t>
      </w:r>
      <w:r>
        <w:rPr>
          <w:rFonts w:hAnsi="宋体" w:hint="eastAsia"/>
          <w:sz w:val="24"/>
          <w:szCs w:val="24"/>
        </w:rPr>
        <w:t>，定期支付时的自动赎回份额不纳入以上赎回份额计算</w:t>
      </w:r>
      <w:r>
        <w:rPr>
          <w:rFonts w:hAnsi="宋体"/>
          <w:sz w:val="24"/>
          <w:szCs w:val="24"/>
        </w:rPr>
        <w:t>）超过基金总份额的百分之十时，投资人将可能无法及时赎回持有的全部基金份额。</w:t>
      </w:r>
    </w:p>
    <w:p w:rsidR="00783788" w:rsidRDefault="002C6E18">
      <w:pPr>
        <w:adjustRightInd w:val="0"/>
        <w:snapToGrid w:val="0"/>
        <w:spacing w:line="360" w:lineRule="auto"/>
        <w:ind w:firstLineChars="200" w:firstLine="480"/>
        <w:rPr>
          <w:sz w:val="24"/>
          <w:szCs w:val="24"/>
        </w:rPr>
      </w:pPr>
      <w:r>
        <w:rPr>
          <w:rFonts w:hAnsi="宋体"/>
          <w:sz w:val="24"/>
          <w:szCs w:val="24"/>
        </w:rPr>
        <w:t>基金分为股票基金、混合基金、债券基金、货币市场基金等不同类型，投资人投资不同类型的基金将获得不同的收益预期，也将承担不同程度的风险。一般来说，基金的收益预期越高，投资人承担的风险也越大。</w:t>
      </w:r>
    </w:p>
    <w:p w:rsidR="00783788" w:rsidRDefault="002C6E18">
      <w:pPr>
        <w:adjustRightInd w:val="0"/>
        <w:snapToGrid w:val="0"/>
        <w:spacing w:line="360" w:lineRule="auto"/>
        <w:ind w:firstLineChars="200" w:firstLine="480"/>
        <w:rPr>
          <w:sz w:val="24"/>
          <w:szCs w:val="24"/>
        </w:rPr>
      </w:pPr>
      <w:r>
        <w:rPr>
          <w:rFonts w:hAnsi="宋体"/>
          <w:sz w:val="24"/>
          <w:szCs w:val="24"/>
        </w:rPr>
        <w:t>投资人应当认真阅读基金合同、《招募说明书》等基金法律文件，了解基金的风险收益特征，并根据自身的投资目的、投资期限、投资经验、资产状况等判断基金是否和投资人的风险承受能力相适应。</w:t>
      </w:r>
    </w:p>
    <w:p w:rsidR="00783788" w:rsidRDefault="002C6E18">
      <w:pPr>
        <w:adjustRightInd w:val="0"/>
        <w:snapToGrid w:val="0"/>
        <w:spacing w:line="360" w:lineRule="auto"/>
        <w:ind w:firstLineChars="200" w:firstLine="480"/>
        <w:rPr>
          <w:sz w:val="24"/>
          <w:szCs w:val="24"/>
        </w:rPr>
      </w:pPr>
      <w:r>
        <w:rPr>
          <w:rFonts w:hAnsi="宋体"/>
          <w:sz w:val="24"/>
          <w:szCs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rsidR="00783788" w:rsidRDefault="002C6E18">
      <w:pPr>
        <w:widowControl/>
        <w:adjustRightInd w:val="0"/>
        <w:snapToGrid w:val="0"/>
        <w:spacing w:line="360" w:lineRule="auto"/>
        <w:ind w:firstLineChars="200" w:firstLine="480"/>
        <w:rPr>
          <w:sz w:val="24"/>
          <w:szCs w:val="24"/>
        </w:rPr>
      </w:pPr>
      <w:r>
        <w:rPr>
          <w:rFonts w:hAnsi="宋体"/>
          <w:sz w:val="24"/>
          <w:szCs w:val="24"/>
        </w:rPr>
        <w:t>因拆分、封转开、分红等行为导致基金份额净值变化，不会改变基金的风险收益特征，不会降低基金投资风险或提高基金投资收益。以</w:t>
      </w:r>
      <w:r>
        <w:rPr>
          <w:sz w:val="24"/>
          <w:szCs w:val="24"/>
        </w:rPr>
        <w:t>1</w:t>
      </w:r>
      <w:r>
        <w:rPr>
          <w:rFonts w:hAnsi="宋体"/>
          <w:sz w:val="24"/>
          <w:szCs w:val="24"/>
        </w:rPr>
        <w:t>元初始面值开展基金募集或因拆分、封转开、分红等行为导致基金份额净值调整至</w:t>
      </w:r>
      <w:r>
        <w:rPr>
          <w:sz w:val="24"/>
          <w:szCs w:val="24"/>
        </w:rPr>
        <w:t>1</w:t>
      </w:r>
      <w:r>
        <w:rPr>
          <w:rFonts w:hAnsi="宋体"/>
          <w:sz w:val="24"/>
          <w:szCs w:val="24"/>
        </w:rPr>
        <w:t>元初始面值或</w:t>
      </w:r>
      <w:r>
        <w:rPr>
          <w:sz w:val="24"/>
          <w:szCs w:val="24"/>
        </w:rPr>
        <w:t>1</w:t>
      </w:r>
      <w:r>
        <w:rPr>
          <w:rFonts w:hAnsi="宋体"/>
          <w:sz w:val="24"/>
          <w:szCs w:val="24"/>
        </w:rPr>
        <w:t>元附近，在市场波动等因素的影响下，基金投资仍有可能出现亏损或基金净值仍有可能低于初始面值。</w:t>
      </w:r>
    </w:p>
    <w:p w:rsidR="00783788" w:rsidRDefault="002C6E18">
      <w:pPr>
        <w:widowControl/>
        <w:adjustRightInd w:val="0"/>
        <w:snapToGrid w:val="0"/>
        <w:spacing w:line="360" w:lineRule="auto"/>
        <w:ind w:firstLineChars="200" w:firstLine="480"/>
        <w:rPr>
          <w:sz w:val="24"/>
          <w:szCs w:val="24"/>
        </w:rPr>
      </w:pPr>
      <w:r>
        <w:rPr>
          <w:rFonts w:hAnsi="宋体"/>
          <w:sz w:val="24"/>
          <w:szCs w:val="24"/>
        </w:rPr>
        <w:t>基金管理人承诺以诚实信用、勤勉尽责的原则管理和运用基金资产，但不保证本基金一定盈利，也不保证最低收益。基金管理人管理的其他基金的业绩不构成对本基金业绩表现的保证。基金管理人提醒投资人基金投资的</w:t>
      </w:r>
      <w:r>
        <w:rPr>
          <w:sz w:val="24"/>
          <w:szCs w:val="24"/>
        </w:rPr>
        <w:t>“</w:t>
      </w:r>
      <w:r>
        <w:rPr>
          <w:rFonts w:hAnsi="宋体"/>
          <w:sz w:val="24"/>
          <w:szCs w:val="24"/>
        </w:rPr>
        <w:t>买者自负</w:t>
      </w:r>
      <w:r>
        <w:rPr>
          <w:sz w:val="24"/>
          <w:szCs w:val="24"/>
        </w:rPr>
        <w:t>”</w:t>
      </w:r>
      <w:r>
        <w:rPr>
          <w:rFonts w:hAnsi="宋体"/>
          <w:sz w:val="24"/>
          <w:szCs w:val="24"/>
        </w:rPr>
        <w:t>原则，在做出投资决策后，基金运营状况与基金净值变化引致的投资风险，由投资人自行负担。</w:t>
      </w:r>
    </w:p>
    <w:p w:rsidR="00783788" w:rsidRDefault="002C6E18">
      <w:pPr>
        <w:widowControl/>
        <w:adjustRightInd w:val="0"/>
        <w:snapToGrid w:val="0"/>
        <w:spacing w:line="360" w:lineRule="auto"/>
        <w:ind w:firstLineChars="200" w:firstLine="480"/>
        <w:rPr>
          <w:kern w:val="0"/>
          <w:sz w:val="24"/>
          <w:szCs w:val="24"/>
        </w:rPr>
      </w:pPr>
      <w:r>
        <w:rPr>
          <w:rFonts w:hAnsi="宋体"/>
          <w:kern w:val="0"/>
          <w:sz w:val="24"/>
          <w:szCs w:val="24"/>
        </w:rPr>
        <w:t>基金份额持有人须了解并承受以下风险：</w:t>
      </w:r>
    </w:p>
    <w:p w:rsidR="00783788" w:rsidRDefault="002C6E18">
      <w:pPr>
        <w:widowControl/>
        <w:adjustRightInd w:val="0"/>
        <w:snapToGrid w:val="0"/>
        <w:spacing w:line="360" w:lineRule="auto"/>
        <w:ind w:firstLineChars="200" w:firstLine="482"/>
        <w:outlineLvl w:val="1"/>
        <w:rPr>
          <w:b/>
          <w:kern w:val="0"/>
          <w:sz w:val="24"/>
          <w:szCs w:val="24"/>
        </w:rPr>
      </w:pPr>
      <w:r>
        <w:rPr>
          <w:rFonts w:hAnsi="宋体"/>
          <w:b/>
          <w:kern w:val="0"/>
          <w:sz w:val="24"/>
          <w:szCs w:val="24"/>
        </w:rPr>
        <w:t>（一）市场风险</w:t>
      </w:r>
      <w:r>
        <w:rPr>
          <w:b/>
          <w:kern w:val="0"/>
          <w:sz w:val="24"/>
          <w:szCs w:val="24"/>
        </w:rPr>
        <w:t xml:space="preserve"> </w:t>
      </w:r>
    </w:p>
    <w:p w:rsidR="00783788" w:rsidRDefault="002C6E18">
      <w:pPr>
        <w:widowControl/>
        <w:adjustRightInd w:val="0"/>
        <w:snapToGrid w:val="0"/>
        <w:spacing w:line="360" w:lineRule="auto"/>
        <w:ind w:firstLineChars="200" w:firstLine="480"/>
        <w:rPr>
          <w:kern w:val="0"/>
          <w:sz w:val="24"/>
          <w:szCs w:val="24"/>
        </w:rPr>
      </w:pPr>
      <w:r>
        <w:rPr>
          <w:rFonts w:hAnsi="宋体"/>
          <w:kern w:val="0"/>
          <w:sz w:val="24"/>
          <w:szCs w:val="24"/>
        </w:rPr>
        <w:t>证券市场价格因受到经济因素、政治因素、投资心理和交易制度等各种因素的影响而引起的波动，将对基金收益水平产生潜在风险，主要包括：</w:t>
      </w:r>
      <w:r>
        <w:rPr>
          <w:kern w:val="0"/>
          <w:sz w:val="24"/>
          <w:szCs w:val="24"/>
        </w:rPr>
        <w:t xml:space="preserve"> </w:t>
      </w:r>
    </w:p>
    <w:p w:rsidR="00783788" w:rsidRDefault="002C6E18">
      <w:pPr>
        <w:widowControl/>
        <w:adjustRightInd w:val="0"/>
        <w:snapToGrid w:val="0"/>
        <w:spacing w:line="360" w:lineRule="auto"/>
        <w:ind w:firstLineChars="200" w:firstLine="480"/>
        <w:rPr>
          <w:kern w:val="0"/>
          <w:sz w:val="24"/>
          <w:szCs w:val="24"/>
        </w:rPr>
      </w:pPr>
      <w:r>
        <w:rPr>
          <w:kern w:val="0"/>
          <w:sz w:val="24"/>
          <w:szCs w:val="24"/>
        </w:rPr>
        <w:t>1</w:t>
      </w:r>
      <w:r>
        <w:rPr>
          <w:rFonts w:hAnsi="宋体"/>
          <w:kern w:val="0"/>
          <w:sz w:val="24"/>
          <w:szCs w:val="24"/>
        </w:rPr>
        <w:t>、政策风险。因国家宏观政策（如货币政策、财政政策、行业政策、地区发展政策等）和证券市场监管政策发生变化，导致市场价格波动而产生风险。</w:t>
      </w:r>
      <w:r>
        <w:rPr>
          <w:kern w:val="0"/>
          <w:sz w:val="24"/>
          <w:szCs w:val="24"/>
        </w:rPr>
        <w:t xml:space="preserve"> </w:t>
      </w:r>
    </w:p>
    <w:p w:rsidR="00783788" w:rsidRDefault="002C6E18">
      <w:pPr>
        <w:widowControl/>
        <w:adjustRightInd w:val="0"/>
        <w:snapToGrid w:val="0"/>
        <w:spacing w:line="360" w:lineRule="auto"/>
        <w:ind w:firstLineChars="200" w:firstLine="480"/>
        <w:rPr>
          <w:kern w:val="0"/>
          <w:sz w:val="24"/>
          <w:szCs w:val="24"/>
        </w:rPr>
      </w:pPr>
      <w:r>
        <w:rPr>
          <w:kern w:val="0"/>
          <w:sz w:val="24"/>
          <w:szCs w:val="24"/>
        </w:rPr>
        <w:t>2</w:t>
      </w:r>
      <w:r>
        <w:rPr>
          <w:rFonts w:hAnsi="宋体"/>
          <w:kern w:val="0"/>
          <w:sz w:val="24"/>
          <w:szCs w:val="24"/>
        </w:rPr>
        <w:t>、经济周期风险。证券市场受宏观经济运行的影响，而经济运行具有周期性的特点，而宏观经济运行状况将对证券市场的收益水平产生影响，从而对基金收益造成影响。</w:t>
      </w:r>
    </w:p>
    <w:p w:rsidR="00783788" w:rsidRDefault="002C6E18">
      <w:pPr>
        <w:widowControl/>
        <w:adjustRightInd w:val="0"/>
        <w:snapToGrid w:val="0"/>
        <w:spacing w:line="360" w:lineRule="auto"/>
        <w:ind w:firstLineChars="200" w:firstLine="480"/>
        <w:rPr>
          <w:kern w:val="0"/>
          <w:sz w:val="24"/>
          <w:szCs w:val="24"/>
        </w:rPr>
      </w:pPr>
      <w:r>
        <w:rPr>
          <w:kern w:val="0"/>
          <w:sz w:val="24"/>
          <w:szCs w:val="24"/>
        </w:rPr>
        <w:t>3</w:t>
      </w:r>
      <w:r>
        <w:rPr>
          <w:rFonts w:hAnsi="宋体"/>
          <w:kern w:val="0"/>
          <w:sz w:val="24"/>
          <w:szCs w:val="24"/>
        </w:rPr>
        <w:t>、利率风险。金融市场利率的波动会导致证券市场价格和收益率的变动。利率直接影响着债券的价格和收益率，影响着企业的融资成本和利润。基金投资于债券和债券回购，其收益水平会受到利率变化和货币市场供求状况的影响。</w:t>
      </w:r>
      <w:r>
        <w:rPr>
          <w:kern w:val="0"/>
          <w:sz w:val="24"/>
          <w:szCs w:val="24"/>
        </w:rPr>
        <w:t xml:space="preserve"> </w:t>
      </w:r>
    </w:p>
    <w:p w:rsidR="00783788" w:rsidRDefault="002C6E18">
      <w:pPr>
        <w:widowControl/>
        <w:adjustRightInd w:val="0"/>
        <w:snapToGrid w:val="0"/>
        <w:spacing w:line="360" w:lineRule="auto"/>
        <w:ind w:firstLineChars="200" w:firstLine="480"/>
        <w:rPr>
          <w:kern w:val="0"/>
          <w:sz w:val="24"/>
          <w:szCs w:val="24"/>
        </w:rPr>
      </w:pPr>
      <w:r>
        <w:rPr>
          <w:kern w:val="0"/>
          <w:sz w:val="24"/>
          <w:szCs w:val="24"/>
        </w:rPr>
        <w:t>4</w:t>
      </w:r>
      <w:r>
        <w:rPr>
          <w:rFonts w:hAnsi="宋体"/>
          <w:kern w:val="0"/>
          <w:sz w:val="24"/>
          <w:szCs w:val="24"/>
        </w:rPr>
        <w:t>、上市公司经营风险。上市公司的经营状况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w:t>
      </w:r>
      <w:r>
        <w:rPr>
          <w:kern w:val="0"/>
          <w:sz w:val="24"/>
          <w:szCs w:val="24"/>
        </w:rPr>
        <w:t xml:space="preserve"> </w:t>
      </w:r>
    </w:p>
    <w:p w:rsidR="00783788" w:rsidRDefault="002C6E18">
      <w:pPr>
        <w:widowControl/>
        <w:adjustRightInd w:val="0"/>
        <w:snapToGrid w:val="0"/>
        <w:spacing w:line="360" w:lineRule="auto"/>
        <w:ind w:firstLineChars="200" w:firstLine="480"/>
        <w:rPr>
          <w:kern w:val="0"/>
          <w:sz w:val="24"/>
          <w:szCs w:val="24"/>
        </w:rPr>
      </w:pPr>
      <w:r>
        <w:rPr>
          <w:kern w:val="0"/>
          <w:sz w:val="24"/>
          <w:szCs w:val="24"/>
        </w:rPr>
        <w:t>5</w:t>
      </w:r>
      <w:r>
        <w:rPr>
          <w:rFonts w:hAnsi="宋体"/>
          <w:kern w:val="0"/>
          <w:sz w:val="24"/>
          <w:szCs w:val="24"/>
        </w:rPr>
        <w:t>、购买力风险。基金投资的目的是基金资产的保值增值，如果发生通货膨胀，基金投资于证券所获得的收益可能会被通货膨胀抵消，从而使基金的实际收益下降，影响基金资产的保值增值。</w:t>
      </w:r>
    </w:p>
    <w:p w:rsidR="00783788" w:rsidRDefault="002C6E18">
      <w:pPr>
        <w:widowControl/>
        <w:adjustRightInd w:val="0"/>
        <w:snapToGrid w:val="0"/>
        <w:spacing w:line="360" w:lineRule="auto"/>
        <w:ind w:firstLineChars="200" w:firstLine="482"/>
        <w:outlineLvl w:val="1"/>
        <w:rPr>
          <w:b/>
          <w:kern w:val="0"/>
          <w:sz w:val="24"/>
          <w:szCs w:val="24"/>
        </w:rPr>
      </w:pPr>
      <w:r>
        <w:rPr>
          <w:rFonts w:hAnsi="宋体"/>
          <w:b/>
          <w:kern w:val="0"/>
          <w:sz w:val="24"/>
          <w:szCs w:val="24"/>
        </w:rPr>
        <w:t>（二）管理风险</w:t>
      </w:r>
      <w:r>
        <w:rPr>
          <w:b/>
          <w:kern w:val="0"/>
          <w:sz w:val="24"/>
          <w:szCs w:val="24"/>
        </w:rPr>
        <w:t xml:space="preserve"> </w:t>
      </w:r>
    </w:p>
    <w:p w:rsidR="00783788" w:rsidRDefault="002C6E18">
      <w:pPr>
        <w:widowControl/>
        <w:adjustRightInd w:val="0"/>
        <w:snapToGrid w:val="0"/>
        <w:spacing w:line="360" w:lineRule="auto"/>
        <w:ind w:firstLineChars="200" w:firstLine="480"/>
        <w:rPr>
          <w:kern w:val="0"/>
          <w:sz w:val="24"/>
          <w:szCs w:val="24"/>
        </w:rPr>
      </w:pPr>
      <w:r>
        <w:rPr>
          <w:rFonts w:hAnsi="宋体"/>
          <w:kern w:val="0"/>
          <w:sz w:val="24"/>
          <w:szCs w:val="24"/>
        </w:rPr>
        <w:t>在基金管理运作过程中基金管理人的知识、经验、判断、决策、技能等，会影响其对信息的占有和对经济形势、证券价格走势的判断，从而影响基金收益水平。因此，本基金的收益水平与基金管理人的管理水平、管理手段和管理技术等相关性较大，本基金可能因为基金管理人的因素而影响基金收益水平。</w:t>
      </w:r>
      <w:r>
        <w:rPr>
          <w:kern w:val="0"/>
          <w:sz w:val="24"/>
          <w:szCs w:val="24"/>
        </w:rPr>
        <w:t xml:space="preserve"> </w:t>
      </w:r>
    </w:p>
    <w:p w:rsidR="00783788" w:rsidRDefault="002C6E18">
      <w:pPr>
        <w:widowControl/>
        <w:adjustRightInd w:val="0"/>
        <w:snapToGrid w:val="0"/>
        <w:spacing w:line="360" w:lineRule="auto"/>
        <w:ind w:firstLineChars="200" w:firstLine="482"/>
        <w:outlineLvl w:val="1"/>
        <w:rPr>
          <w:b/>
          <w:kern w:val="0"/>
          <w:sz w:val="24"/>
          <w:szCs w:val="24"/>
        </w:rPr>
      </w:pPr>
      <w:r>
        <w:rPr>
          <w:rFonts w:hAnsi="宋体"/>
          <w:b/>
          <w:kern w:val="0"/>
          <w:sz w:val="24"/>
          <w:szCs w:val="24"/>
        </w:rPr>
        <w:t>（三）流动性风险</w:t>
      </w:r>
      <w:r>
        <w:rPr>
          <w:b/>
          <w:kern w:val="0"/>
          <w:sz w:val="24"/>
          <w:szCs w:val="24"/>
        </w:rPr>
        <w:t xml:space="preserve"> </w:t>
      </w:r>
    </w:p>
    <w:p w:rsidR="00783788" w:rsidRDefault="002C6E18">
      <w:pPr>
        <w:widowControl/>
        <w:adjustRightInd w:val="0"/>
        <w:snapToGrid w:val="0"/>
        <w:spacing w:line="360" w:lineRule="auto"/>
        <w:ind w:firstLineChars="200" w:firstLine="480"/>
        <w:rPr>
          <w:kern w:val="0"/>
          <w:sz w:val="24"/>
          <w:szCs w:val="24"/>
        </w:rPr>
      </w:pPr>
      <w:r>
        <w:rPr>
          <w:rFonts w:hAnsi="宋体"/>
          <w:kern w:val="0"/>
          <w:sz w:val="24"/>
          <w:szCs w:val="24"/>
        </w:rPr>
        <w:t>本基金属于开放式基金，在基金的所有开放日，基金管理人都有义务接受投资人的赎回。如果基金资产不能迅速转变成现金，或者变现为现金时使资金净值产生不利的影响，都会影响基金运作和收益水平。尤其是在发生巨额赎回时，如果基金资产变现能力差，可能会产生基金仓位调整的困难，导致流动性风险，可能影响基金份额净值。</w:t>
      </w:r>
    </w:p>
    <w:p w:rsidR="00783788" w:rsidRDefault="002C6E18">
      <w:pPr>
        <w:widowControl/>
        <w:adjustRightInd w:val="0"/>
        <w:snapToGrid w:val="0"/>
        <w:spacing w:line="360" w:lineRule="auto"/>
        <w:ind w:firstLineChars="200" w:firstLine="482"/>
        <w:outlineLvl w:val="1"/>
        <w:rPr>
          <w:b/>
          <w:kern w:val="0"/>
          <w:sz w:val="24"/>
          <w:szCs w:val="24"/>
        </w:rPr>
      </w:pPr>
      <w:r>
        <w:rPr>
          <w:rFonts w:hAnsi="宋体"/>
          <w:b/>
          <w:kern w:val="0"/>
          <w:sz w:val="24"/>
          <w:szCs w:val="24"/>
        </w:rPr>
        <w:t>（四）信用风险</w:t>
      </w:r>
    </w:p>
    <w:p w:rsidR="00783788" w:rsidRDefault="002C6E18">
      <w:pPr>
        <w:widowControl/>
        <w:adjustRightInd w:val="0"/>
        <w:snapToGrid w:val="0"/>
        <w:spacing w:line="360" w:lineRule="auto"/>
        <w:ind w:firstLineChars="200" w:firstLine="480"/>
        <w:rPr>
          <w:kern w:val="0"/>
          <w:sz w:val="24"/>
          <w:szCs w:val="24"/>
        </w:rPr>
      </w:pPr>
      <w:r>
        <w:rPr>
          <w:rFonts w:hAnsi="宋体"/>
          <w:kern w:val="0"/>
          <w:sz w:val="24"/>
          <w:szCs w:val="24"/>
        </w:rPr>
        <w:t>基金在交易过程发生交收违约，或者基金所投资债券之发行人出现违约、拒绝支付到期本息，都可能导致基金资产损失和收益变化，从而产生风险。</w:t>
      </w:r>
    </w:p>
    <w:p w:rsidR="00783788" w:rsidRDefault="002C6E18">
      <w:pPr>
        <w:widowControl/>
        <w:adjustRightInd w:val="0"/>
        <w:snapToGrid w:val="0"/>
        <w:spacing w:line="360" w:lineRule="auto"/>
        <w:ind w:firstLineChars="200" w:firstLine="482"/>
        <w:rPr>
          <w:b/>
          <w:kern w:val="0"/>
          <w:sz w:val="24"/>
          <w:szCs w:val="24"/>
        </w:rPr>
      </w:pPr>
      <w:r>
        <w:rPr>
          <w:rFonts w:hAnsi="宋体"/>
          <w:b/>
          <w:kern w:val="0"/>
          <w:sz w:val="24"/>
          <w:szCs w:val="24"/>
        </w:rPr>
        <w:t>（五）本基金投资策略所特有的风险</w:t>
      </w:r>
    </w:p>
    <w:p w:rsidR="00783788" w:rsidRDefault="002C6E18">
      <w:pPr>
        <w:widowControl/>
        <w:adjustRightInd w:val="0"/>
        <w:snapToGrid w:val="0"/>
        <w:spacing w:line="360" w:lineRule="auto"/>
        <w:ind w:firstLineChars="200" w:firstLine="480"/>
        <w:rPr>
          <w:kern w:val="0"/>
          <w:sz w:val="24"/>
          <w:highlight w:val="yellow"/>
        </w:rPr>
      </w:pPr>
      <w:r>
        <w:rPr>
          <w:rFonts w:hAnsi="宋体"/>
          <w:kern w:val="0"/>
          <w:sz w:val="24"/>
        </w:rPr>
        <w:t>本基金属于混合型基金，通过在股票、债券等各类资产之间进行配置来降低风险，提高收益。如果股票市场和债券市场同时出现下跌，本基金将不能完全抵御两个市场同时下跌的风险，基金净值将出现下降。由于本基金股票投资比例设定了一定上限，因此在股市大幅上涨时本基金也不能完全保证基金净值能够完全跟随或超越大盘走势。此外，本基金在调整资产配置比例时，可能由于基金经理的预判与市场的实际表现存在较大差异，出现资产配置不合理的风险，从而对基金收益造成不利影响。</w:t>
      </w:r>
    </w:p>
    <w:p w:rsidR="00783788" w:rsidRDefault="002C6E18">
      <w:pPr>
        <w:widowControl/>
        <w:adjustRightInd w:val="0"/>
        <w:snapToGrid w:val="0"/>
        <w:spacing w:line="360" w:lineRule="auto"/>
        <w:ind w:firstLineChars="200" w:firstLine="480"/>
        <w:rPr>
          <w:kern w:val="0"/>
          <w:sz w:val="24"/>
        </w:rPr>
      </w:pPr>
      <w:r>
        <w:rPr>
          <w:rFonts w:hAnsi="宋体"/>
          <w:kern w:val="0"/>
          <w:sz w:val="24"/>
        </w:rPr>
        <w:t>本基金股票资产部分重点投资于红利股票，在选股策略上本基金特有的风险主要来自两个方面：一是对行业及上市公司的基本面研究是否准确、深入，二是对行业和红利股票的优选和判断是否科学、准确。基本面研究及上市企业分析的错误均可能导致所选择的证券不能完全符合本基金的预期目标。</w:t>
      </w:r>
    </w:p>
    <w:p w:rsidR="00783788" w:rsidRDefault="002C6E18">
      <w:pPr>
        <w:widowControl/>
        <w:adjustRightInd w:val="0"/>
        <w:snapToGrid w:val="0"/>
        <w:spacing w:line="360" w:lineRule="auto"/>
        <w:ind w:firstLineChars="200" w:firstLine="482"/>
        <w:rPr>
          <w:b/>
          <w:kern w:val="0"/>
          <w:sz w:val="24"/>
        </w:rPr>
      </w:pPr>
      <w:r>
        <w:rPr>
          <w:rFonts w:hAnsi="宋体"/>
          <w:b/>
          <w:kern w:val="0"/>
          <w:sz w:val="24"/>
        </w:rPr>
        <w:t>（六）本基金定期支付相关的特定风险</w:t>
      </w:r>
    </w:p>
    <w:p w:rsidR="00783788" w:rsidRDefault="002C6E18">
      <w:pPr>
        <w:widowControl/>
        <w:adjustRightInd w:val="0"/>
        <w:snapToGrid w:val="0"/>
        <w:spacing w:line="360" w:lineRule="auto"/>
        <w:ind w:firstLineChars="200" w:firstLine="480"/>
        <w:rPr>
          <w:kern w:val="0"/>
          <w:sz w:val="24"/>
        </w:rPr>
      </w:pPr>
      <w:r>
        <w:rPr>
          <w:kern w:val="0"/>
          <w:sz w:val="24"/>
        </w:rPr>
        <w:t>1</w:t>
      </w:r>
      <w:r>
        <w:rPr>
          <w:rFonts w:hAnsi="宋体"/>
          <w:kern w:val="0"/>
          <w:sz w:val="24"/>
        </w:rPr>
        <w:t>、定期支付不等同于收益分配</w:t>
      </w:r>
    </w:p>
    <w:p w:rsidR="00783788" w:rsidRDefault="002C6E18">
      <w:pPr>
        <w:widowControl/>
        <w:adjustRightInd w:val="0"/>
        <w:snapToGrid w:val="0"/>
        <w:spacing w:line="360" w:lineRule="auto"/>
        <w:ind w:firstLineChars="200" w:firstLine="480"/>
        <w:rPr>
          <w:rFonts w:hAnsi="宋体"/>
          <w:kern w:val="0"/>
          <w:sz w:val="24"/>
        </w:rPr>
      </w:pPr>
      <w:r>
        <w:rPr>
          <w:rFonts w:hAnsi="宋体" w:hint="eastAsia"/>
          <w:kern w:val="0"/>
          <w:sz w:val="24"/>
        </w:rPr>
        <w:t>本基金的定期支付并不等同于收益分配。按照目前法律法规的规定，基金的收益分配以基金具有可供分配利润为前提，且分配金额不得超过可供分配利润；而定期支付不以本基金具有可供分配利润为前提，且定期支付金额按照招募说明书约定的年化现金支付比率计算，不以基金的可供分配利润为上限，其实质是按基金合同的约定定期自动赎回持有人的部分基金份额进行现金支付。在基金投资亏损的情况下，除非发生基金合同约定的暂停定期支付的事由，本基金仍将进行定期支付。因此，即便投资者对于本基金的投资未取得收益甚至发生亏损，仍可能发生部分份额的自动赎回，由此投资者就该部分被赎回的份额将失去取得预期收益或者通过未来净值上涨而弥补亏损的机会。</w:t>
      </w:r>
    </w:p>
    <w:p w:rsidR="00783788" w:rsidRDefault="002C6E18">
      <w:pPr>
        <w:widowControl/>
        <w:adjustRightInd w:val="0"/>
        <w:snapToGrid w:val="0"/>
        <w:spacing w:line="360" w:lineRule="auto"/>
        <w:ind w:firstLineChars="200" w:firstLine="480"/>
        <w:rPr>
          <w:rFonts w:hAnsi="宋体"/>
          <w:kern w:val="0"/>
          <w:sz w:val="24"/>
        </w:rPr>
      </w:pPr>
      <w:r>
        <w:rPr>
          <w:rFonts w:hAnsi="宋体" w:hint="eastAsia"/>
          <w:kern w:val="0"/>
          <w:sz w:val="24"/>
        </w:rPr>
        <w:t>此外，基金收益分配时，对基金份额净值进行除息（即扣减每份收益分配金额）处理；而定期支付不对基金份额净值进行除息处理，但因自动赎回部分基金份额进行现金支付，会造成投资者所持有基金份额的缩减，为此，基金管理人未来将视基金实际运作情况对基金实施份额拆分，份额拆分不会对基金份额持有人的权益造成实质影响。</w:t>
      </w:r>
    </w:p>
    <w:p w:rsidR="00783788" w:rsidRDefault="002C6E18">
      <w:pPr>
        <w:widowControl/>
        <w:adjustRightInd w:val="0"/>
        <w:snapToGrid w:val="0"/>
        <w:spacing w:line="360" w:lineRule="auto"/>
        <w:ind w:firstLineChars="200" w:firstLine="480"/>
        <w:rPr>
          <w:rFonts w:hAnsi="宋体"/>
          <w:kern w:val="0"/>
          <w:sz w:val="24"/>
        </w:rPr>
      </w:pPr>
      <w:r>
        <w:rPr>
          <w:rFonts w:hAnsi="宋体" w:hint="eastAsia"/>
          <w:kern w:val="0"/>
          <w:sz w:val="24"/>
        </w:rPr>
        <w:t>2</w:t>
      </w:r>
      <w:r>
        <w:rPr>
          <w:rFonts w:hAnsi="宋体" w:hint="eastAsia"/>
          <w:kern w:val="0"/>
          <w:sz w:val="24"/>
        </w:rPr>
        <w:t>、年化现金支付比率不代表基金实际投资收益率</w:t>
      </w:r>
    </w:p>
    <w:p w:rsidR="00783788" w:rsidRDefault="002C6E18">
      <w:pPr>
        <w:widowControl/>
        <w:adjustRightInd w:val="0"/>
        <w:snapToGrid w:val="0"/>
        <w:spacing w:line="360" w:lineRule="auto"/>
        <w:ind w:firstLineChars="200" w:firstLine="480"/>
        <w:rPr>
          <w:kern w:val="0"/>
          <w:sz w:val="24"/>
        </w:rPr>
      </w:pPr>
      <w:r>
        <w:rPr>
          <w:rFonts w:hAnsi="宋体" w:hint="eastAsia"/>
          <w:kern w:val="0"/>
          <w:sz w:val="24"/>
        </w:rPr>
        <w:t>本基金招募说明书约定的年化现金支付比率用以计算定期支付金额，不代表基金实际投资收益率。按照约定的年化现金支付比率计算的定期支付金额可能大于也可能小于当期基金的实际投资收益。</w:t>
      </w:r>
    </w:p>
    <w:p w:rsidR="00783788" w:rsidRDefault="002C6E18">
      <w:pPr>
        <w:widowControl/>
        <w:adjustRightInd w:val="0"/>
        <w:snapToGrid w:val="0"/>
        <w:spacing w:line="360" w:lineRule="auto"/>
        <w:ind w:firstLineChars="200" w:firstLine="480"/>
        <w:rPr>
          <w:kern w:val="0"/>
          <w:sz w:val="24"/>
        </w:rPr>
      </w:pPr>
      <w:r>
        <w:rPr>
          <w:rFonts w:hint="eastAsia"/>
          <w:kern w:val="0"/>
          <w:sz w:val="24"/>
        </w:rPr>
        <w:t>3</w:t>
      </w:r>
      <w:r>
        <w:rPr>
          <w:rFonts w:hAnsi="宋体"/>
          <w:kern w:val="0"/>
          <w:sz w:val="24"/>
        </w:rPr>
        <w:t>、定期支付被确认失败的风险</w:t>
      </w:r>
    </w:p>
    <w:p w:rsidR="00783788" w:rsidRDefault="002C6E18">
      <w:pPr>
        <w:widowControl/>
        <w:adjustRightInd w:val="0"/>
        <w:snapToGrid w:val="0"/>
        <w:spacing w:line="360" w:lineRule="auto"/>
        <w:ind w:firstLineChars="200" w:firstLine="480"/>
        <w:rPr>
          <w:kern w:val="0"/>
          <w:sz w:val="24"/>
        </w:rPr>
      </w:pPr>
      <w:r>
        <w:rPr>
          <w:rFonts w:hAnsi="宋体"/>
          <w:kern w:val="0"/>
          <w:sz w:val="24"/>
        </w:rPr>
        <w:t>在每期定期支付时，由于基金份额持有人主动发起的份额减少业务（包括赎回、转换出及转托管出）或者登记机构发起的其他非定期支付份额减少业务的确认原则上优先于定期支付业务的确认，若因当日该账户同时有其他的份额减少业务被确认而导致基金份额余额不足时，当期的定期支付业务将被确认失败，即该账户当期不进行现金支付。</w:t>
      </w:r>
    </w:p>
    <w:p w:rsidR="00783788" w:rsidRDefault="002C6E18">
      <w:pPr>
        <w:widowControl/>
        <w:adjustRightInd w:val="0"/>
        <w:snapToGrid w:val="0"/>
        <w:spacing w:line="360" w:lineRule="auto"/>
        <w:ind w:firstLineChars="200" w:firstLine="480"/>
        <w:rPr>
          <w:kern w:val="0"/>
          <w:sz w:val="24"/>
        </w:rPr>
      </w:pPr>
      <w:r>
        <w:rPr>
          <w:rFonts w:hint="eastAsia"/>
          <w:kern w:val="0"/>
          <w:sz w:val="24"/>
        </w:rPr>
        <w:t>4</w:t>
      </w:r>
      <w:r>
        <w:rPr>
          <w:rFonts w:hAnsi="宋体"/>
          <w:kern w:val="0"/>
          <w:sz w:val="24"/>
        </w:rPr>
        <w:t>、</w:t>
      </w:r>
      <w:r>
        <w:rPr>
          <w:rFonts w:hAnsi="宋体"/>
          <w:sz w:val="24"/>
          <w:szCs w:val="24"/>
        </w:rPr>
        <w:t>年化现金支付比率发生</w:t>
      </w:r>
      <w:r>
        <w:rPr>
          <w:rFonts w:hAnsi="宋体"/>
          <w:kern w:val="0"/>
          <w:sz w:val="24"/>
        </w:rPr>
        <w:t>调整的风险</w:t>
      </w:r>
    </w:p>
    <w:p w:rsidR="00783788" w:rsidRDefault="002C6E18">
      <w:pPr>
        <w:widowControl/>
        <w:adjustRightInd w:val="0"/>
        <w:snapToGrid w:val="0"/>
        <w:spacing w:line="360" w:lineRule="auto"/>
        <w:ind w:firstLineChars="200" w:firstLine="480"/>
        <w:rPr>
          <w:kern w:val="0"/>
          <w:sz w:val="24"/>
          <w:szCs w:val="24"/>
        </w:rPr>
      </w:pPr>
      <w:r>
        <w:rPr>
          <w:rFonts w:hAnsi="宋体"/>
          <w:kern w:val="0"/>
          <w:sz w:val="24"/>
          <w:szCs w:val="24"/>
        </w:rPr>
        <w:t>基金管理人有权根据基金实际运作情况和市场环境的变化调整年化现金支付比率。因此未来年化现金支付比率可能会发生变化，可能高于也可能低于当前的年化现金支付比率。年化现金支付比率的变化</w:t>
      </w:r>
      <w:r>
        <w:rPr>
          <w:rFonts w:hAnsi="宋体" w:hint="eastAsia"/>
          <w:kern w:val="0"/>
          <w:sz w:val="24"/>
          <w:szCs w:val="24"/>
        </w:rPr>
        <w:t>会影响定期支付数额，并</w:t>
      </w:r>
      <w:r>
        <w:rPr>
          <w:rFonts w:hAnsi="宋体"/>
          <w:kern w:val="0"/>
          <w:sz w:val="24"/>
          <w:szCs w:val="24"/>
        </w:rPr>
        <w:t>将会对投资者的实际投资收益产生正面或负面的影响。</w:t>
      </w:r>
    </w:p>
    <w:p w:rsidR="00783788" w:rsidRDefault="002C6E18">
      <w:pPr>
        <w:widowControl/>
        <w:adjustRightInd w:val="0"/>
        <w:snapToGrid w:val="0"/>
        <w:spacing w:line="360" w:lineRule="auto"/>
        <w:ind w:firstLineChars="200" w:firstLine="482"/>
        <w:rPr>
          <w:b/>
          <w:kern w:val="0"/>
          <w:sz w:val="24"/>
          <w:szCs w:val="24"/>
        </w:rPr>
      </w:pPr>
      <w:r>
        <w:rPr>
          <w:rFonts w:hAnsi="宋体"/>
          <w:b/>
          <w:kern w:val="0"/>
          <w:sz w:val="24"/>
          <w:szCs w:val="24"/>
        </w:rPr>
        <w:t>（六）其他风险</w:t>
      </w:r>
      <w:r>
        <w:rPr>
          <w:b/>
          <w:kern w:val="0"/>
          <w:sz w:val="24"/>
          <w:szCs w:val="24"/>
        </w:rPr>
        <w:t xml:space="preserve"> </w:t>
      </w:r>
    </w:p>
    <w:p w:rsidR="00783788" w:rsidRDefault="002C6E18">
      <w:pPr>
        <w:widowControl/>
        <w:adjustRightInd w:val="0"/>
        <w:snapToGrid w:val="0"/>
        <w:spacing w:line="360" w:lineRule="auto"/>
        <w:ind w:firstLineChars="200" w:firstLine="480"/>
        <w:rPr>
          <w:kern w:val="0"/>
          <w:sz w:val="24"/>
          <w:szCs w:val="24"/>
        </w:rPr>
      </w:pPr>
      <w:r>
        <w:rPr>
          <w:kern w:val="0"/>
          <w:sz w:val="24"/>
          <w:szCs w:val="24"/>
        </w:rPr>
        <w:t>1</w:t>
      </w:r>
      <w:r>
        <w:rPr>
          <w:rFonts w:hAnsi="宋体"/>
          <w:kern w:val="0"/>
          <w:sz w:val="24"/>
          <w:szCs w:val="24"/>
        </w:rPr>
        <w:t>、因技术因素而产生的风险，如电脑系统不可靠产生的风险；</w:t>
      </w:r>
      <w:r>
        <w:rPr>
          <w:kern w:val="0"/>
          <w:sz w:val="24"/>
          <w:szCs w:val="24"/>
        </w:rPr>
        <w:t xml:space="preserve"> </w:t>
      </w:r>
    </w:p>
    <w:p w:rsidR="00783788" w:rsidRDefault="002C6E18">
      <w:pPr>
        <w:widowControl/>
        <w:adjustRightInd w:val="0"/>
        <w:snapToGrid w:val="0"/>
        <w:spacing w:line="360" w:lineRule="auto"/>
        <w:ind w:firstLineChars="200" w:firstLine="480"/>
        <w:rPr>
          <w:kern w:val="0"/>
          <w:sz w:val="24"/>
          <w:szCs w:val="24"/>
        </w:rPr>
      </w:pPr>
      <w:r>
        <w:rPr>
          <w:kern w:val="0"/>
          <w:sz w:val="24"/>
          <w:szCs w:val="24"/>
        </w:rPr>
        <w:t>2</w:t>
      </w:r>
      <w:r>
        <w:rPr>
          <w:rFonts w:hAnsi="宋体"/>
          <w:kern w:val="0"/>
          <w:sz w:val="24"/>
          <w:szCs w:val="24"/>
        </w:rPr>
        <w:t>、因基金业务快速发展，在制度建设、人员配备、内控制度建立等方面的不完善产生的风险；</w:t>
      </w:r>
      <w:r>
        <w:rPr>
          <w:kern w:val="0"/>
          <w:sz w:val="24"/>
          <w:szCs w:val="24"/>
        </w:rPr>
        <w:t xml:space="preserve"> </w:t>
      </w:r>
    </w:p>
    <w:p w:rsidR="00783788" w:rsidRDefault="002C6E18">
      <w:pPr>
        <w:widowControl/>
        <w:adjustRightInd w:val="0"/>
        <w:snapToGrid w:val="0"/>
        <w:spacing w:line="360" w:lineRule="auto"/>
        <w:ind w:firstLineChars="200" w:firstLine="480"/>
        <w:rPr>
          <w:kern w:val="0"/>
          <w:sz w:val="24"/>
          <w:szCs w:val="24"/>
        </w:rPr>
      </w:pPr>
      <w:r>
        <w:rPr>
          <w:kern w:val="0"/>
          <w:sz w:val="24"/>
          <w:szCs w:val="24"/>
        </w:rPr>
        <w:t>3</w:t>
      </w:r>
      <w:r>
        <w:rPr>
          <w:rFonts w:hAnsi="宋体"/>
          <w:kern w:val="0"/>
          <w:sz w:val="24"/>
          <w:szCs w:val="24"/>
        </w:rPr>
        <w:t>、因人为因素而产生的风险、如内幕交易、欺诈行为等产生的风险；</w:t>
      </w:r>
      <w:r>
        <w:rPr>
          <w:kern w:val="0"/>
          <w:sz w:val="24"/>
          <w:szCs w:val="24"/>
        </w:rPr>
        <w:t xml:space="preserve"> </w:t>
      </w:r>
    </w:p>
    <w:p w:rsidR="00783788" w:rsidRDefault="002C6E18">
      <w:pPr>
        <w:widowControl/>
        <w:adjustRightInd w:val="0"/>
        <w:snapToGrid w:val="0"/>
        <w:spacing w:line="360" w:lineRule="auto"/>
        <w:ind w:firstLineChars="200" w:firstLine="480"/>
        <w:rPr>
          <w:kern w:val="0"/>
          <w:sz w:val="24"/>
          <w:szCs w:val="24"/>
        </w:rPr>
      </w:pPr>
      <w:r>
        <w:rPr>
          <w:kern w:val="0"/>
          <w:sz w:val="24"/>
          <w:szCs w:val="24"/>
        </w:rPr>
        <w:t>4</w:t>
      </w:r>
      <w:r>
        <w:rPr>
          <w:rFonts w:hAnsi="宋体"/>
          <w:kern w:val="0"/>
          <w:sz w:val="24"/>
          <w:szCs w:val="24"/>
        </w:rPr>
        <w:t>、对主要业务人员如基金经理的依赖而可能产生的风险；</w:t>
      </w:r>
      <w:r>
        <w:rPr>
          <w:kern w:val="0"/>
          <w:sz w:val="24"/>
          <w:szCs w:val="24"/>
        </w:rPr>
        <w:t xml:space="preserve"> </w:t>
      </w:r>
    </w:p>
    <w:p w:rsidR="00783788" w:rsidRDefault="002C6E18">
      <w:pPr>
        <w:widowControl/>
        <w:adjustRightInd w:val="0"/>
        <w:snapToGrid w:val="0"/>
        <w:spacing w:line="360" w:lineRule="auto"/>
        <w:ind w:firstLineChars="200" w:firstLine="480"/>
        <w:rPr>
          <w:kern w:val="0"/>
          <w:sz w:val="24"/>
          <w:szCs w:val="24"/>
        </w:rPr>
      </w:pPr>
      <w:r>
        <w:rPr>
          <w:kern w:val="0"/>
          <w:sz w:val="24"/>
          <w:szCs w:val="24"/>
        </w:rPr>
        <w:t>5</w:t>
      </w:r>
      <w:r>
        <w:rPr>
          <w:rFonts w:hAnsi="宋体"/>
          <w:kern w:val="0"/>
          <w:sz w:val="24"/>
          <w:szCs w:val="24"/>
        </w:rPr>
        <w:t>、因业务竞争压力可能产生的风险；</w:t>
      </w:r>
      <w:r>
        <w:rPr>
          <w:kern w:val="0"/>
          <w:sz w:val="24"/>
          <w:szCs w:val="24"/>
        </w:rPr>
        <w:t xml:space="preserve"> </w:t>
      </w:r>
    </w:p>
    <w:p w:rsidR="00783788" w:rsidRDefault="002C6E18">
      <w:pPr>
        <w:widowControl/>
        <w:adjustRightInd w:val="0"/>
        <w:snapToGrid w:val="0"/>
        <w:spacing w:line="360" w:lineRule="auto"/>
        <w:ind w:firstLineChars="200" w:firstLine="480"/>
        <w:rPr>
          <w:kern w:val="0"/>
          <w:sz w:val="24"/>
          <w:szCs w:val="24"/>
        </w:rPr>
      </w:pPr>
      <w:r>
        <w:rPr>
          <w:kern w:val="0"/>
          <w:sz w:val="24"/>
          <w:szCs w:val="24"/>
        </w:rPr>
        <w:t>6</w:t>
      </w:r>
      <w:r>
        <w:rPr>
          <w:rFonts w:hAnsi="宋体"/>
          <w:kern w:val="0"/>
          <w:sz w:val="24"/>
          <w:szCs w:val="24"/>
        </w:rPr>
        <w:t>、战争、自然灾害等不可抗力可能导致基金财产的损失，影响基金收益水平，从而带来风险；</w:t>
      </w:r>
      <w:r>
        <w:rPr>
          <w:kern w:val="0"/>
          <w:sz w:val="24"/>
          <w:szCs w:val="24"/>
        </w:rPr>
        <w:t xml:space="preserve"> </w:t>
      </w:r>
    </w:p>
    <w:p w:rsidR="00783788" w:rsidRDefault="002C6E18">
      <w:pPr>
        <w:widowControl/>
        <w:adjustRightInd w:val="0"/>
        <w:snapToGrid w:val="0"/>
        <w:spacing w:line="360" w:lineRule="auto"/>
        <w:ind w:firstLineChars="200" w:firstLine="480"/>
        <w:rPr>
          <w:kern w:val="0"/>
          <w:sz w:val="24"/>
        </w:rPr>
      </w:pPr>
      <w:r>
        <w:rPr>
          <w:kern w:val="0"/>
          <w:sz w:val="24"/>
          <w:szCs w:val="24"/>
        </w:rPr>
        <w:t>7</w:t>
      </w:r>
      <w:r>
        <w:rPr>
          <w:rFonts w:hAnsi="宋体"/>
          <w:kern w:val="0"/>
          <w:sz w:val="24"/>
          <w:szCs w:val="24"/>
        </w:rPr>
        <w:t>、其他意外导致的风险。</w:t>
      </w:r>
      <w:bookmarkStart w:id="95" w:name="OLE_LINK15"/>
    </w:p>
    <w:p w:rsidR="00783788" w:rsidRDefault="00783788">
      <w:pPr>
        <w:widowControl/>
        <w:adjustRightInd w:val="0"/>
        <w:snapToGrid w:val="0"/>
        <w:spacing w:line="360" w:lineRule="auto"/>
        <w:ind w:firstLine="200"/>
        <w:rPr>
          <w:kern w:val="0"/>
          <w:sz w:val="24"/>
        </w:rPr>
      </w:pPr>
    </w:p>
    <w:p w:rsidR="00783788" w:rsidRDefault="002C6E18">
      <w:pPr>
        <w:widowControl/>
        <w:adjustRightInd w:val="0"/>
        <w:snapToGrid w:val="0"/>
        <w:spacing w:beforeLines="100" w:before="240" w:afterLines="50" w:after="120" w:line="360" w:lineRule="auto"/>
        <w:jc w:val="center"/>
        <w:outlineLvl w:val="0"/>
        <w:rPr>
          <w:b/>
          <w:kern w:val="0"/>
          <w:sz w:val="30"/>
        </w:rPr>
      </w:pPr>
      <w:bookmarkStart w:id="96" w:name="_Toc382321331"/>
      <w:r>
        <w:rPr>
          <w:rFonts w:hAnsi="宋体" w:hint="eastAsia"/>
          <w:b/>
          <w:kern w:val="0"/>
          <w:sz w:val="30"/>
        </w:rPr>
        <w:t>二十</w:t>
      </w:r>
      <w:r>
        <w:rPr>
          <w:rFonts w:hAnsi="宋体"/>
          <w:b/>
          <w:kern w:val="0"/>
          <w:sz w:val="30"/>
        </w:rPr>
        <w:t>、基金合同的变更、终止与基金财</w:t>
      </w:r>
      <w:bookmarkEnd w:id="95"/>
      <w:r>
        <w:rPr>
          <w:rFonts w:hAnsi="宋体"/>
          <w:b/>
          <w:kern w:val="0"/>
          <w:sz w:val="30"/>
        </w:rPr>
        <w:t>产的清算</w:t>
      </w:r>
      <w:bookmarkEnd w:id="96"/>
    </w:p>
    <w:p w:rsidR="00783788" w:rsidRDefault="002C6E18">
      <w:pPr>
        <w:widowControl/>
        <w:adjustRightInd w:val="0"/>
        <w:snapToGrid w:val="0"/>
        <w:spacing w:line="360" w:lineRule="auto"/>
        <w:ind w:firstLineChars="200" w:firstLine="482"/>
        <w:outlineLvl w:val="1"/>
        <w:rPr>
          <w:b/>
          <w:kern w:val="0"/>
          <w:sz w:val="24"/>
        </w:rPr>
      </w:pPr>
      <w:r>
        <w:rPr>
          <w:rFonts w:hAnsi="宋体"/>
          <w:b/>
          <w:kern w:val="0"/>
          <w:sz w:val="24"/>
        </w:rPr>
        <w:t>（一）基金合同的变更</w:t>
      </w:r>
    </w:p>
    <w:p w:rsidR="00783788" w:rsidRDefault="002C6E18">
      <w:pPr>
        <w:adjustRightInd w:val="0"/>
        <w:snapToGrid w:val="0"/>
        <w:spacing w:line="360" w:lineRule="auto"/>
        <w:ind w:firstLineChars="200" w:firstLine="480"/>
        <w:rPr>
          <w:bCs/>
          <w:sz w:val="24"/>
        </w:rPr>
      </w:pPr>
      <w:r>
        <w:rPr>
          <w:bCs/>
          <w:sz w:val="24"/>
        </w:rPr>
        <w:t>1</w:t>
      </w:r>
      <w:r>
        <w:rPr>
          <w:rFonts w:hAnsi="宋体"/>
          <w:bCs/>
          <w:sz w:val="24"/>
        </w:rPr>
        <w:t>、变更基金合同涉及法律法规规定或基金合同约定应经基金份额持有人大会决议通过的事项的，应召开基金份额持有人大会决议通过。对于可不经基金份额持有人大会决议通过的事项，由</w:t>
      </w:r>
      <w:bookmarkStart w:id="97" w:name="_Toc109537397"/>
      <w:r>
        <w:rPr>
          <w:rFonts w:hAnsi="宋体"/>
          <w:bCs/>
          <w:sz w:val="24"/>
        </w:rPr>
        <w:t>基金管理人和基金托管人同意后变更并公告，并</w:t>
      </w:r>
      <w:bookmarkEnd w:id="97"/>
      <w:r>
        <w:rPr>
          <w:rFonts w:hAnsi="宋体"/>
          <w:bCs/>
          <w:sz w:val="24"/>
        </w:rPr>
        <w:t>报中国证监会备案。</w:t>
      </w:r>
    </w:p>
    <w:p w:rsidR="00783788" w:rsidRDefault="002C6E18">
      <w:pPr>
        <w:widowControl/>
        <w:adjustRightInd w:val="0"/>
        <w:snapToGrid w:val="0"/>
        <w:spacing w:line="360" w:lineRule="auto"/>
        <w:ind w:firstLineChars="200" w:firstLine="480"/>
        <w:outlineLvl w:val="1"/>
        <w:rPr>
          <w:b/>
          <w:kern w:val="0"/>
          <w:sz w:val="24"/>
        </w:rPr>
      </w:pPr>
      <w:r>
        <w:rPr>
          <w:bCs/>
          <w:sz w:val="24"/>
        </w:rPr>
        <w:t xml:space="preserve"> 2</w:t>
      </w:r>
      <w:r>
        <w:rPr>
          <w:rFonts w:hAnsi="宋体"/>
          <w:bCs/>
          <w:sz w:val="24"/>
        </w:rPr>
        <w:t>、关于基金合同变更的基金份额持有人大会决议经中国证监会核准或出具无异议意见后方可执行，自决议生效后两日内依照《信息披露办法》的规定在指定媒体公告。</w:t>
      </w:r>
    </w:p>
    <w:p w:rsidR="00783788" w:rsidRDefault="002C6E18">
      <w:pPr>
        <w:widowControl/>
        <w:adjustRightInd w:val="0"/>
        <w:snapToGrid w:val="0"/>
        <w:spacing w:line="360" w:lineRule="auto"/>
        <w:ind w:firstLineChars="200" w:firstLine="482"/>
        <w:outlineLvl w:val="1"/>
        <w:rPr>
          <w:b/>
          <w:kern w:val="0"/>
          <w:sz w:val="24"/>
        </w:rPr>
      </w:pPr>
      <w:r>
        <w:rPr>
          <w:rFonts w:hAnsi="宋体"/>
          <w:b/>
          <w:kern w:val="0"/>
          <w:sz w:val="24"/>
        </w:rPr>
        <w:t>（二）基金合同的终止事由</w:t>
      </w:r>
    </w:p>
    <w:p w:rsidR="00783788" w:rsidRDefault="002C6E18">
      <w:pPr>
        <w:adjustRightInd w:val="0"/>
        <w:snapToGrid w:val="0"/>
        <w:spacing w:line="360" w:lineRule="auto"/>
        <w:ind w:firstLineChars="200" w:firstLine="480"/>
        <w:rPr>
          <w:sz w:val="24"/>
        </w:rPr>
      </w:pPr>
      <w:r>
        <w:rPr>
          <w:rFonts w:hAnsi="宋体"/>
          <w:sz w:val="24"/>
        </w:rPr>
        <w:t>有下列情形之一的，基金合同应当终止：</w:t>
      </w:r>
    </w:p>
    <w:p w:rsidR="00783788" w:rsidRDefault="002C6E18">
      <w:pPr>
        <w:adjustRightInd w:val="0"/>
        <w:snapToGrid w:val="0"/>
        <w:spacing w:line="360" w:lineRule="auto"/>
        <w:ind w:firstLineChars="200" w:firstLine="480"/>
        <w:rPr>
          <w:sz w:val="24"/>
        </w:rPr>
      </w:pPr>
      <w:r>
        <w:rPr>
          <w:sz w:val="24"/>
        </w:rPr>
        <w:t>1</w:t>
      </w:r>
      <w:r>
        <w:rPr>
          <w:rFonts w:hAnsi="宋体"/>
          <w:sz w:val="24"/>
        </w:rPr>
        <w:t>、基金份额持有人大会决定终止的；</w:t>
      </w:r>
    </w:p>
    <w:p w:rsidR="00783788" w:rsidRDefault="002C6E18">
      <w:pPr>
        <w:adjustRightInd w:val="0"/>
        <w:snapToGrid w:val="0"/>
        <w:spacing w:line="360" w:lineRule="auto"/>
        <w:ind w:firstLineChars="200" w:firstLine="480"/>
        <w:rPr>
          <w:sz w:val="24"/>
        </w:rPr>
      </w:pPr>
      <w:r>
        <w:rPr>
          <w:sz w:val="24"/>
        </w:rPr>
        <w:t>2</w:t>
      </w:r>
      <w:r>
        <w:rPr>
          <w:rFonts w:hAnsi="宋体"/>
          <w:sz w:val="24"/>
        </w:rPr>
        <w:t>、基金管理人、基金托管人职责终止，在</w:t>
      </w:r>
      <w:r>
        <w:rPr>
          <w:sz w:val="24"/>
        </w:rPr>
        <w:t>6</w:t>
      </w:r>
      <w:r>
        <w:rPr>
          <w:rFonts w:hAnsi="宋体"/>
          <w:sz w:val="24"/>
        </w:rPr>
        <w:t>个月内没有新基金管理人、新基金托管人承接的；</w:t>
      </w:r>
    </w:p>
    <w:p w:rsidR="00783788" w:rsidRDefault="002C6E18">
      <w:pPr>
        <w:adjustRightInd w:val="0"/>
        <w:snapToGrid w:val="0"/>
        <w:spacing w:line="360" w:lineRule="auto"/>
        <w:ind w:firstLineChars="200" w:firstLine="480"/>
        <w:rPr>
          <w:sz w:val="24"/>
        </w:rPr>
      </w:pPr>
      <w:r>
        <w:rPr>
          <w:sz w:val="24"/>
        </w:rPr>
        <w:t>3</w:t>
      </w:r>
      <w:r>
        <w:rPr>
          <w:rFonts w:hAnsi="宋体"/>
          <w:sz w:val="24"/>
        </w:rPr>
        <w:t>、基金合同约定的其他情形；</w:t>
      </w:r>
    </w:p>
    <w:p w:rsidR="00783788" w:rsidRDefault="002C6E18">
      <w:pPr>
        <w:adjustRightInd w:val="0"/>
        <w:snapToGrid w:val="0"/>
        <w:spacing w:line="360" w:lineRule="auto"/>
        <w:ind w:firstLineChars="200" w:firstLine="480"/>
        <w:rPr>
          <w:sz w:val="24"/>
        </w:rPr>
      </w:pPr>
      <w:r>
        <w:rPr>
          <w:sz w:val="24"/>
        </w:rPr>
        <w:t>4</w:t>
      </w:r>
      <w:r>
        <w:rPr>
          <w:rFonts w:hAnsi="宋体"/>
          <w:sz w:val="24"/>
        </w:rPr>
        <w:t>、相关法律法规和中国证监会规定的其他情况。</w:t>
      </w:r>
    </w:p>
    <w:p w:rsidR="00783788" w:rsidRDefault="002C6E18">
      <w:pPr>
        <w:widowControl/>
        <w:adjustRightInd w:val="0"/>
        <w:snapToGrid w:val="0"/>
        <w:spacing w:line="360" w:lineRule="auto"/>
        <w:ind w:firstLineChars="200" w:firstLine="482"/>
        <w:outlineLvl w:val="1"/>
        <w:rPr>
          <w:b/>
          <w:kern w:val="0"/>
          <w:sz w:val="24"/>
        </w:rPr>
      </w:pPr>
      <w:r>
        <w:rPr>
          <w:rFonts w:hAnsi="宋体"/>
          <w:b/>
          <w:kern w:val="0"/>
          <w:sz w:val="24"/>
        </w:rPr>
        <w:t>（三）基金财产的清算</w:t>
      </w:r>
    </w:p>
    <w:p w:rsidR="00783788" w:rsidRDefault="002C6E18">
      <w:pPr>
        <w:widowControl/>
        <w:adjustRightInd w:val="0"/>
        <w:snapToGrid w:val="0"/>
        <w:spacing w:line="360" w:lineRule="auto"/>
        <w:ind w:firstLineChars="200" w:firstLine="480"/>
        <w:outlineLvl w:val="1"/>
        <w:rPr>
          <w:sz w:val="24"/>
        </w:rPr>
      </w:pPr>
      <w:r>
        <w:rPr>
          <w:sz w:val="24"/>
        </w:rPr>
        <w:t>1</w:t>
      </w:r>
      <w:r>
        <w:rPr>
          <w:rFonts w:hAnsi="宋体"/>
          <w:sz w:val="24"/>
        </w:rPr>
        <w:t>、基金财产清算小组：</w:t>
      </w:r>
      <w:r>
        <w:rPr>
          <w:rFonts w:hAnsi="宋体"/>
          <w:bCs/>
          <w:sz w:val="24"/>
        </w:rPr>
        <w:t>自出现基金合同终止事由之日起</w:t>
      </w:r>
      <w:r>
        <w:rPr>
          <w:bCs/>
          <w:sz w:val="24"/>
        </w:rPr>
        <w:t>30</w:t>
      </w:r>
      <w:r>
        <w:rPr>
          <w:rFonts w:hAnsi="宋体"/>
          <w:bCs/>
          <w:sz w:val="24"/>
        </w:rPr>
        <w:t>个工作日内成立清算小组，基金管理人组织基金财产清算小组并在中国证监会的监督下进行基金清算。</w:t>
      </w:r>
    </w:p>
    <w:p w:rsidR="00783788" w:rsidRDefault="002C6E18">
      <w:pPr>
        <w:adjustRightInd w:val="0"/>
        <w:snapToGrid w:val="0"/>
        <w:spacing w:line="360" w:lineRule="auto"/>
        <w:ind w:firstLineChars="200" w:firstLine="480"/>
        <w:rPr>
          <w:bCs/>
          <w:sz w:val="24"/>
        </w:rPr>
      </w:pPr>
      <w:r>
        <w:rPr>
          <w:bCs/>
          <w:sz w:val="24"/>
        </w:rPr>
        <w:t>2</w:t>
      </w:r>
      <w:r>
        <w:rPr>
          <w:rFonts w:hAnsi="宋体"/>
          <w:bCs/>
          <w:sz w:val="24"/>
        </w:rPr>
        <w:t>、基金财产清算小组组成：基金财产清算小组成员由基金管理人、基金托</w:t>
      </w:r>
      <w:bookmarkStart w:id="98" w:name="_Hlt80977405"/>
      <w:bookmarkEnd w:id="98"/>
      <w:r>
        <w:rPr>
          <w:rFonts w:hAnsi="宋体"/>
          <w:bCs/>
          <w:sz w:val="24"/>
        </w:rPr>
        <w:t>管人、具有从事证券相关业务资格的注册会计师、律师以及中国证监会指定的人员组成。基金财产清算小组可以聘用必要的工作人员。</w:t>
      </w:r>
    </w:p>
    <w:p w:rsidR="00783788" w:rsidRDefault="002C6E18">
      <w:pPr>
        <w:adjustRightInd w:val="0"/>
        <w:snapToGrid w:val="0"/>
        <w:spacing w:line="360" w:lineRule="auto"/>
        <w:ind w:firstLineChars="200" w:firstLine="480"/>
        <w:rPr>
          <w:bCs/>
          <w:sz w:val="24"/>
        </w:rPr>
      </w:pPr>
      <w:r>
        <w:rPr>
          <w:bCs/>
          <w:sz w:val="24"/>
        </w:rPr>
        <w:t>3</w:t>
      </w:r>
      <w:r>
        <w:rPr>
          <w:rFonts w:hAnsi="宋体"/>
          <w:bCs/>
          <w:sz w:val="24"/>
        </w:rPr>
        <w:t>、基金财产清算小组职责：基金财产清算小组负责基金财产的保管、清理、估价、变现和分配。基金财产清算小组可以依法进行必要的民事活动。</w:t>
      </w:r>
    </w:p>
    <w:p w:rsidR="00783788" w:rsidRDefault="002C6E18">
      <w:pPr>
        <w:adjustRightInd w:val="0"/>
        <w:snapToGrid w:val="0"/>
        <w:spacing w:line="360" w:lineRule="auto"/>
        <w:ind w:firstLineChars="200" w:firstLine="480"/>
        <w:rPr>
          <w:bCs/>
          <w:sz w:val="24"/>
        </w:rPr>
      </w:pPr>
      <w:r>
        <w:rPr>
          <w:bCs/>
          <w:sz w:val="24"/>
        </w:rPr>
        <w:t>4</w:t>
      </w:r>
      <w:r>
        <w:rPr>
          <w:rFonts w:hAnsi="宋体"/>
          <w:bCs/>
          <w:sz w:val="24"/>
        </w:rPr>
        <w:t>、基金财产清算程序：</w:t>
      </w:r>
    </w:p>
    <w:p w:rsidR="00783788" w:rsidRDefault="002C6E18">
      <w:pPr>
        <w:adjustRightInd w:val="0"/>
        <w:snapToGrid w:val="0"/>
        <w:spacing w:line="360" w:lineRule="auto"/>
        <w:ind w:firstLineChars="200" w:firstLine="480"/>
        <w:rPr>
          <w:bCs/>
          <w:sz w:val="24"/>
        </w:rPr>
      </w:pPr>
      <w:r>
        <w:rPr>
          <w:rFonts w:hAnsi="宋体"/>
          <w:bCs/>
          <w:sz w:val="24"/>
        </w:rPr>
        <w:t>（</w:t>
      </w:r>
      <w:r>
        <w:rPr>
          <w:bCs/>
          <w:sz w:val="24"/>
        </w:rPr>
        <w:t>1</w:t>
      </w:r>
      <w:r>
        <w:rPr>
          <w:rFonts w:hAnsi="宋体"/>
          <w:bCs/>
          <w:sz w:val="24"/>
        </w:rPr>
        <w:t>）基金合同终止情形出现时，由基金财产清算小组统一接管基金；</w:t>
      </w:r>
    </w:p>
    <w:p w:rsidR="00783788" w:rsidRDefault="002C6E18">
      <w:pPr>
        <w:adjustRightInd w:val="0"/>
        <w:snapToGrid w:val="0"/>
        <w:spacing w:line="360" w:lineRule="auto"/>
        <w:ind w:firstLineChars="200" w:firstLine="480"/>
        <w:rPr>
          <w:bCs/>
          <w:sz w:val="24"/>
        </w:rPr>
      </w:pPr>
      <w:r>
        <w:rPr>
          <w:rFonts w:hAnsi="宋体"/>
          <w:bCs/>
          <w:sz w:val="24"/>
        </w:rPr>
        <w:t>（</w:t>
      </w:r>
      <w:r>
        <w:rPr>
          <w:bCs/>
          <w:sz w:val="24"/>
        </w:rPr>
        <w:t>2</w:t>
      </w:r>
      <w:r>
        <w:rPr>
          <w:rFonts w:hAnsi="宋体"/>
          <w:bCs/>
          <w:sz w:val="24"/>
        </w:rPr>
        <w:t>）对基金财产和债权债务进行清理和确认；</w:t>
      </w:r>
    </w:p>
    <w:p w:rsidR="00783788" w:rsidRDefault="002C6E18">
      <w:pPr>
        <w:adjustRightInd w:val="0"/>
        <w:snapToGrid w:val="0"/>
        <w:spacing w:line="360" w:lineRule="auto"/>
        <w:ind w:firstLineChars="200" w:firstLine="480"/>
        <w:rPr>
          <w:bCs/>
          <w:sz w:val="24"/>
        </w:rPr>
      </w:pPr>
      <w:r>
        <w:rPr>
          <w:rFonts w:hAnsi="宋体"/>
          <w:bCs/>
          <w:sz w:val="24"/>
        </w:rPr>
        <w:t>（</w:t>
      </w:r>
      <w:r>
        <w:rPr>
          <w:bCs/>
          <w:sz w:val="24"/>
        </w:rPr>
        <w:t>3</w:t>
      </w:r>
      <w:r>
        <w:rPr>
          <w:rFonts w:hAnsi="宋体"/>
          <w:bCs/>
          <w:sz w:val="24"/>
        </w:rPr>
        <w:t>）对基金财产进行估值和变现；</w:t>
      </w:r>
    </w:p>
    <w:p w:rsidR="00783788" w:rsidRDefault="002C6E18">
      <w:pPr>
        <w:adjustRightInd w:val="0"/>
        <w:snapToGrid w:val="0"/>
        <w:spacing w:line="360" w:lineRule="auto"/>
        <w:ind w:firstLineChars="200" w:firstLine="480"/>
        <w:rPr>
          <w:bCs/>
          <w:sz w:val="24"/>
        </w:rPr>
      </w:pPr>
      <w:r>
        <w:rPr>
          <w:rFonts w:hAnsi="宋体"/>
          <w:bCs/>
          <w:sz w:val="24"/>
        </w:rPr>
        <w:t>（</w:t>
      </w:r>
      <w:r>
        <w:rPr>
          <w:bCs/>
          <w:sz w:val="24"/>
        </w:rPr>
        <w:t>4</w:t>
      </w:r>
      <w:r>
        <w:rPr>
          <w:rFonts w:hAnsi="宋体"/>
          <w:bCs/>
          <w:sz w:val="24"/>
        </w:rPr>
        <w:t>）制作清算报告；</w:t>
      </w:r>
    </w:p>
    <w:p w:rsidR="00783788" w:rsidRDefault="002C6E18">
      <w:pPr>
        <w:adjustRightInd w:val="0"/>
        <w:snapToGrid w:val="0"/>
        <w:spacing w:line="360" w:lineRule="auto"/>
        <w:ind w:firstLineChars="200" w:firstLine="480"/>
        <w:rPr>
          <w:bCs/>
          <w:sz w:val="24"/>
        </w:rPr>
      </w:pPr>
      <w:r>
        <w:rPr>
          <w:rFonts w:hAnsi="宋体"/>
          <w:bCs/>
          <w:sz w:val="24"/>
        </w:rPr>
        <w:t>（</w:t>
      </w:r>
      <w:r>
        <w:rPr>
          <w:bCs/>
          <w:sz w:val="24"/>
        </w:rPr>
        <w:t>5</w:t>
      </w:r>
      <w:r>
        <w:rPr>
          <w:rFonts w:hAnsi="宋体"/>
          <w:bCs/>
          <w:sz w:val="24"/>
        </w:rPr>
        <w:t>）聘请会计师事务所对清算报告进行外部审计，聘请律师事务所对清算报告出具法律意见书；</w:t>
      </w:r>
    </w:p>
    <w:p w:rsidR="00783788" w:rsidRDefault="002C6E18">
      <w:pPr>
        <w:adjustRightInd w:val="0"/>
        <w:snapToGrid w:val="0"/>
        <w:spacing w:line="360" w:lineRule="auto"/>
        <w:ind w:firstLineChars="200" w:firstLine="480"/>
        <w:rPr>
          <w:bCs/>
          <w:sz w:val="24"/>
        </w:rPr>
      </w:pPr>
      <w:r>
        <w:rPr>
          <w:rFonts w:hAnsi="宋体"/>
          <w:bCs/>
          <w:sz w:val="24"/>
        </w:rPr>
        <w:t>（</w:t>
      </w:r>
      <w:r>
        <w:rPr>
          <w:bCs/>
          <w:sz w:val="24"/>
        </w:rPr>
        <w:t>6</w:t>
      </w:r>
      <w:r>
        <w:rPr>
          <w:rFonts w:hAnsi="宋体"/>
          <w:bCs/>
          <w:sz w:val="24"/>
        </w:rPr>
        <w:t>）将清算报告报中国证监会备案并公告；</w:t>
      </w:r>
    </w:p>
    <w:p w:rsidR="00783788" w:rsidRDefault="002C6E18">
      <w:pPr>
        <w:adjustRightInd w:val="0"/>
        <w:snapToGrid w:val="0"/>
        <w:spacing w:line="360" w:lineRule="auto"/>
        <w:ind w:firstLineChars="200" w:firstLine="480"/>
        <w:rPr>
          <w:bCs/>
          <w:sz w:val="24"/>
        </w:rPr>
      </w:pPr>
      <w:r>
        <w:rPr>
          <w:rFonts w:hAnsi="宋体"/>
          <w:bCs/>
          <w:sz w:val="24"/>
        </w:rPr>
        <w:t>（</w:t>
      </w:r>
      <w:r>
        <w:rPr>
          <w:bCs/>
          <w:sz w:val="24"/>
        </w:rPr>
        <w:t>7</w:t>
      </w:r>
      <w:r>
        <w:rPr>
          <w:rFonts w:hAnsi="宋体"/>
          <w:bCs/>
          <w:sz w:val="24"/>
        </w:rPr>
        <w:t>）对基金财产进行分配。</w:t>
      </w:r>
    </w:p>
    <w:p w:rsidR="00783788" w:rsidRDefault="002C6E18">
      <w:pPr>
        <w:widowControl/>
        <w:adjustRightInd w:val="0"/>
        <w:snapToGrid w:val="0"/>
        <w:spacing w:line="360" w:lineRule="auto"/>
        <w:ind w:firstLineChars="200" w:firstLine="480"/>
        <w:outlineLvl w:val="1"/>
        <w:rPr>
          <w:sz w:val="24"/>
        </w:rPr>
      </w:pPr>
      <w:r>
        <w:rPr>
          <w:bCs/>
          <w:sz w:val="24"/>
        </w:rPr>
        <w:t>5</w:t>
      </w:r>
      <w:r>
        <w:rPr>
          <w:rFonts w:hAnsi="宋体"/>
          <w:bCs/>
          <w:sz w:val="24"/>
        </w:rPr>
        <w:t>、基金财产清算的期限为</w:t>
      </w:r>
      <w:r>
        <w:rPr>
          <w:bCs/>
          <w:sz w:val="24"/>
        </w:rPr>
        <w:t>6</w:t>
      </w:r>
      <w:r>
        <w:rPr>
          <w:rFonts w:hAnsi="宋体"/>
          <w:bCs/>
          <w:sz w:val="24"/>
        </w:rPr>
        <w:t>个月，若遇基金持有的股票或其他有价证券出现长期休市、停牌或其他流通受限的情形除外。</w:t>
      </w:r>
    </w:p>
    <w:p w:rsidR="00783788" w:rsidRDefault="002C6E18">
      <w:pPr>
        <w:widowControl/>
        <w:adjustRightInd w:val="0"/>
        <w:snapToGrid w:val="0"/>
        <w:spacing w:line="360" w:lineRule="auto"/>
        <w:ind w:firstLineChars="200" w:firstLine="482"/>
        <w:outlineLvl w:val="1"/>
        <w:rPr>
          <w:b/>
          <w:sz w:val="24"/>
        </w:rPr>
      </w:pPr>
      <w:r>
        <w:rPr>
          <w:rFonts w:hAnsi="宋体"/>
          <w:b/>
          <w:sz w:val="24"/>
        </w:rPr>
        <w:t>（四）清算费用</w:t>
      </w:r>
    </w:p>
    <w:p w:rsidR="00783788" w:rsidRDefault="002C6E18">
      <w:pPr>
        <w:widowControl/>
        <w:adjustRightInd w:val="0"/>
        <w:snapToGrid w:val="0"/>
        <w:spacing w:line="360" w:lineRule="auto"/>
        <w:ind w:firstLineChars="200" w:firstLine="480"/>
        <w:outlineLvl w:val="1"/>
        <w:rPr>
          <w:sz w:val="24"/>
        </w:rPr>
      </w:pPr>
      <w:r>
        <w:rPr>
          <w:rFonts w:hAnsi="宋体"/>
          <w:sz w:val="24"/>
        </w:rPr>
        <w:t>清算费用是指基金财产清算小组在进行基金清算过程中发生的所有合理费用，清算费用由基金财产清算小组优先从基金财产中支付。</w:t>
      </w:r>
    </w:p>
    <w:p w:rsidR="00783788" w:rsidRDefault="002C6E18">
      <w:pPr>
        <w:widowControl/>
        <w:adjustRightInd w:val="0"/>
        <w:snapToGrid w:val="0"/>
        <w:spacing w:line="360" w:lineRule="auto"/>
        <w:ind w:firstLineChars="200" w:firstLine="482"/>
        <w:outlineLvl w:val="1"/>
        <w:rPr>
          <w:b/>
          <w:sz w:val="24"/>
        </w:rPr>
      </w:pPr>
      <w:r>
        <w:rPr>
          <w:rFonts w:hAnsi="宋体"/>
          <w:b/>
          <w:sz w:val="24"/>
        </w:rPr>
        <w:t>（五）</w:t>
      </w:r>
      <w:r>
        <w:rPr>
          <w:rFonts w:hAnsi="宋体"/>
          <w:b/>
          <w:bCs/>
          <w:sz w:val="24"/>
        </w:rPr>
        <w:t>基金财产清算剩余资产的分配</w:t>
      </w:r>
    </w:p>
    <w:p w:rsidR="00783788" w:rsidRDefault="002C6E18">
      <w:pPr>
        <w:widowControl/>
        <w:adjustRightInd w:val="0"/>
        <w:snapToGrid w:val="0"/>
        <w:spacing w:line="360" w:lineRule="auto"/>
        <w:ind w:firstLineChars="200" w:firstLine="480"/>
        <w:outlineLvl w:val="1"/>
        <w:rPr>
          <w:sz w:val="24"/>
        </w:rPr>
      </w:pPr>
      <w:r>
        <w:rPr>
          <w:rFonts w:hAnsi="宋体"/>
          <w:bCs/>
          <w:sz w:val="24"/>
        </w:rPr>
        <w:t>依据基金财产清算的分配方案，将基金财产清算后的全部剩余资产扣除基金财产清算费用、交纳所欠税款并清偿基金债务后，按基金份额持有人持有的基金份额比例进行分配。</w:t>
      </w:r>
    </w:p>
    <w:p w:rsidR="00783788" w:rsidRDefault="002C6E18">
      <w:pPr>
        <w:widowControl/>
        <w:adjustRightInd w:val="0"/>
        <w:snapToGrid w:val="0"/>
        <w:spacing w:line="360" w:lineRule="auto"/>
        <w:ind w:firstLineChars="200" w:firstLine="482"/>
        <w:outlineLvl w:val="1"/>
        <w:rPr>
          <w:b/>
          <w:sz w:val="24"/>
        </w:rPr>
      </w:pPr>
      <w:r>
        <w:rPr>
          <w:rFonts w:hAnsi="宋体"/>
          <w:b/>
          <w:sz w:val="24"/>
        </w:rPr>
        <w:t>（六）基金财产清算的公告</w:t>
      </w:r>
    </w:p>
    <w:p w:rsidR="00783788" w:rsidRDefault="002C6E18">
      <w:pPr>
        <w:widowControl/>
        <w:adjustRightInd w:val="0"/>
        <w:snapToGrid w:val="0"/>
        <w:spacing w:line="360" w:lineRule="auto"/>
        <w:ind w:firstLineChars="200" w:firstLine="480"/>
        <w:outlineLvl w:val="1"/>
        <w:rPr>
          <w:sz w:val="24"/>
        </w:rPr>
      </w:pPr>
      <w:r>
        <w:rPr>
          <w:rFonts w:hAnsi="宋体"/>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Pr>
          <w:bCs/>
          <w:sz w:val="24"/>
        </w:rPr>
        <w:t>5</w:t>
      </w:r>
      <w:r>
        <w:rPr>
          <w:rFonts w:hAnsi="宋体"/>
          <w:bCs/>
          <w:sz w:val="24"/>
        </w:rPr>
        <w:t>个工作日内由基金财产清算小组进行公告。</w:t>
      </w:r>
    </w:p>
    <w:p w:rsidR="00783788" w:rsidRDefault="002C6E18">
      <w:pPr>
        <w:widowControl/>
        <w:adjustRightInd w:val="0"/>
        <w:snapToGrid w:val="0"/>
        <w:spacing w:line="360" w:lineRule="auto"/>
        <w:ind w:firstLineChars="200" w:firstLine="482"/>
        <w:outlineLvl w:val="1"/>
        <w:rPr>
          <w:b/>
          <w:sz w:val="24"/>
        </w:rPr>
      </w:pPr>
      <w:r>
        <w:rPr>
          <w:rFonts w:hAnsi="宋体"/>
          <w:b/>
          <w:sz w:val="24"/>
        </w:rPr>
        <w:t>（七）基金财产清算账册及文件的保存</w:t>
      </w:r>
    </w:p>
    <w:p w:rsidR="00783788" w:rsidRDefault="002C6E18">
      <w:pPr>
        <w:adjustRightInd w:val="0"/>
        <w:snapToGrid w:val="0"/>
        <w:spacing w:line="360" w:lineRule="auto"/>
        <w:ind w:firstLineChars="200" w:firstLine="480"/>
        <w:rPr>
          <w:sz w:val="24"/>
        </w:rPr>
      </w:pPr>
      <w:r>
        <w:rPr>
          <w:rFonts w:hAnsi="宋体"/>
          <w:sz w:val="24"/>
        </w:rPr>
        <w:t>基金财产清算账册及有关文件由基金托管人保存</w:t>
      </w:r>
      <w:r>
        <w:rPr>
          <w:sz w:val="24"/>
        </w:rPr>
        <w:t>15</w:t>
      </w:r>
      <w:r>
        <w:rPr>
          <w:rFonts w:hAnsi="宋体"/>
          <w:sz w:val="24"/>
        </w:rPr>
        <w:t>年以上。</w:t>
      </w:r>
    </w:p>
    <w:p w:rsidR="00783788" w:rsidRDefault="00783788">
      <w:pPr>
        <w:widowControl/>
        <w:adjustRightInd w:val="0"/>
        <w:snapToGrid w:val="0"/>
        <w:spacing w:line="360" w:lineRule="auto"/>
        <w:ind w:firstLineChars="200" w:firstLine="480"/>
        <w:rPr>
          <w:kern w:val="0"/>
          <w:sz w:val="24"/>
        </w:rPr>
      </w:pPr>
    </w:p>
    <w:p w:rsidR="00783788" w:rsidRDefault="002C6E18">
      <w:pPr>
        <w:widowControl/>
        <w:adjustRightInd w:val="0"/>
        <w:snapToGrid w:val="0"/>
        <w:spacing w:beforeLines="100" w:before="240" w:afterLines="50" w:after="120" w:line="360" w:lineRule="auto"/>
        <w:jc w:val="center"/>
        <w:outlineLvl w:val="0"/>
        <w:rPr>
          <w:rFonts w:ascii="宋体" w:hAnsi="宋体"/>
          <w:b/>
          <w:kern w:val="0"/>
          <w:sz w:val="30"/>
        </w:rPr>
      </w:pPr>
      <w:bookmarkStart w:id="99" w:name="_Toc382321332"/>
      <w:r>
        <w:rPr>
          <w:rFonts w:ascii="宋体" w:hAnsi="宋体" w:hint="eastAsia"/>
          <w:b/>
          <w:kern w:val="0"/>
          <w:sz w:val="30"/>
        </w:rPr>
        <w:t>二十一、基金合同内容摘要</w:t>
      </w:r>
      <w:bookmarkEnd w:id="99"/>
    </w:p>
    <w:p w:rsidR="00783788" w:rsidRDefault="002C6E18">
      <w:pPr>
        <w:widowControl/>
        <w:adjustRightInd w:val="0"/>
        <w:snapToGrid w:val="0"/>
        <w:spacing w:line="360" w:lineRule="auto"/>
        <w:ind w:firstLineChars="200" w:firstLine="482"/>
        <w:outlineLvl w:val="1"/>
        <w:rPr>
          <w:b/>
          <w:kern w:val="0"/>
          <w:sz w:val="24"/>
        </w:rPr>
      </w:pPr>
      <w:r>
        <w:rPr>
          <w:rFonts w:hAnsi="宋体"/>
          <w:b/>
          <w:kern w:val="0"/>
          <w:sz w:val="24"/>
        </w:rPr>
        <w:t>（一）基金合同当事人及权利义务</w:t>
      </w:r>
      <w:r>
        <w:rPr>
          <w:b/>
          <w:kern w:val="0"/>
          <w:sz w:val="24"/>
        </w:rPr>
        <w:t xml:space="preserve"> </w:t>
      </w:r>
    </w:p>
    <w:p w:rsidR="00783788" w:rsidRDefault="002C6E18">
      <w:pPr>
        <w:widowControl/>
        <w:adjustRightInd w:val="0"/>
        <w:snapToGrid w:val="0"/>
        <w:spacing w:line="360" w:lineRule="auto"/>
        <w:ind w:firstLineChars="200" w:firstLine="480"/>
        <w:outlineLvl w:val="8"/>
        <w:rPr>
          <w:kern w:val="0"/>
          <w:sz w:val="24"/>
        </w:rPr>
      </w:pPr>
      <w:r>
        <w:rPr>
          <w:kern w:val="0"/>
          <w:sz w:val="24"/>
        </w:rPr>
        <w:t>1</w:t>
      </w:r>
      <w:r>
        <w:rPr>
          <w:rFonts w:hAnsi="宋体"/>
          <w:kern w:val="0"/>
          <w:sz w:val="24"/>
        </w:rPr>
        <w:t>、基金管理人的权利与义务</w:t>
      </w:r>
      <w:r>
        <w:rPr>
          <w:kern w:val="0"/>
          <w:sz w:val="24"/>
        </w:rPr>
        <w:t xml:space="preserve"> </w:t>
      </w:r>
    </w:p>
    <w:p w:rsidR="00783788" w:rsidRDefault="002C6E18">
      <w:pPr>
        <w:widowControl/>
        <w:adjustRightInd w:val="0"/>
        <w:snapToGrid w:val="0"/>
        <w:spacing w:line="360" w:lineRule="auto"/>
        <w:ind w:firstLineChars="200" w:firstLine="480"/>
        <w:outlineLvl w:val="8"/>
        <w:rPr>
          <w:bCs/>
          <w:sz w:val="24"/>
        </w:rPr>
      </w:pPr>
      <w:r>
        <w:rPr>
          <w:bCs/>
          <w:sz w:val="24"/>
        </w:rPr>
        <w:t>（</w:t>
      </w:r>
      <w:r>
        <w:rPr>
          <w:bCs/>
          <w:sz w:val="24"/>
        </w:rPr>
        <w:t>1</w:t>
      </w:r>
      <w:r>
        <w:rPr>
          <w:bCs/>
          <w:sz w:val="24"/>
        </w:rPr>
        <w:t>）根据《基金法》、《运作办法》及其他有关规定，基金管理人的权利包括但不限于：</w:t>
      </w:r>
    </w:p>
    <w:p w:rsidR="00783788" w:rsidRDefault="002C6E18">
      <w:pPr>
        <w:adjustRightInd w:val="0"/>
        <w:snapToGrid w:val="0"/>
        <w:spacing w:line="360" w:lineRule="auto"/>
        <w:ind w:firstLineChars="200" w:firstLine="480"/>
        <w:rPr>
          <w:bCs/>
          <w:sz w:val="24"/>
        </w:rPr>
      </w:pPr>
      <w:r>
        <w:rPr>
          <w:bCs/>
          <w:sz w:val="24"/>
        </w:rPr>
        <w:t>1</w:t>
      </w:r>
      <w:r>
        <w:rPr>
          <w:bCs/>
          <w:sz w:val="24"/>
        </w:rPr>
        <w:t>）</w:t>
      </w:r>
      <w:r>
        <w:rPr>
          <w:rFonts w:hAnsi="宋体"/>
          <w:bCs/>
          <w:sz w:val="24"/>
          <w:szCs w:val="24"/>
        </w:rPr>
        <w:t>依法募集基金；</w:t>
      </w:r>
    </w:p>
    <w:p w:rsidR="00783788" w:rsidRDefault="002C6E18">
      <w:pPr>
        <w:adjustRightInd w:val="0"/>
        <w:snapToGrid w:val="0"/>
        <w:spacing w:line="360" w:lineRule="auto"/>
        <w:ind w:firstLineChars="200" w:firstLine="480"/>
        <w:rPr>
          <w:rFonts w:hAnsi="宋体"/>
          <w:bCs/>
          <w:sz w:val="24"/>
          <w:szCs w:val="24"/>
        </w:rPr>
      </w:pPr>
      <w:r>
        <w:rPr>
          <w:bCs/>
          <w:sz w:val="24"/>
        </w:rPr>
        <w:t>2</w:t>
      </w:r>
      <w:r>
        <w:rPr>
          <w:bCs/>
          <w:sz w:val="24"/>
        </w:rPr>
        <w:t>）</w:t>
      </w:r>
      <w:r>
        <w:rPr>
          <w:rFonts w:hAnsi="宋体"/>
          <w:bCs/>
          <w:sz w:val="24"/>
          <w:szCs w:val="24"/>
        </w:rPr>
        <w:t>自基金合同生效之日起，根据法律法规和基金合同独立运用并管理基金财产；</w:t>
      </w:r>
    </w:p>
    <w:p w:rsidR="00783788" w:rsidRDefault="002C6E18">
      <w:pPr>
        <w:adjustRightInd w:val="0"/>
        <w:snapToGrid w:val="0"/>
        <w:spacing w:line="360" w:lineRule="auto"/>
        <w:ind w:firstLineChars="200" w:firstLine="480"/>
        <w:rPr>
          <w:bCs/>
          <w:sz w:val="24"/>
        </w:rPr>
      </w:pPr>
      <w:r>
        <w:rPr>
          <w:bCs/>
          <w:sz w:val="24"/>
        </w:rPr>
        <w:t>3</w:t>
      </w:r>
      <w:r>
        <w:rPr>
          <w:bCs/>
          <w:sz w:val="24"/>
        </w:rPr>
        <w:t>）</w:t>
      </w:r>
      <w:r>
        <w:rPr>
          <w:rFonts w:hAnsi="宋体"/>
          <w:bCs/>
          <w:sz w:val="24"/>
          <w:szCs w:val="24"/>
        </w:rPr>
        <w:t>依照基金合同收取基金管理费以及法律法规规定或中国证监会批准的其他费用；</w:t>
      </w:r>
    </w:p>
    <w:p w:rsidR="00783788" w:rsidRDefault="002C6E18">
      <w:pPr>
        <w:adjustRightInd w:val="0"/>
        <w:snapToGrid w:val="0"/>
        <w:spacing w:line="360" w:lineRule="auto"/>
        <w:ind w:firstLineChars="200" w:firstLine="480"/>
        <w:rPr>
          <w:bCs/>
          <w:sz w:val="24"/>
        </w:rPr>
      </w:pPr>
      <w:r>
        <w:rPr>
          <w:bCs/>
          <w:sz w:val="24"/>
        </w:rPr>
        <w:t>4</w:t>
      </w:r>
      <w:r>
        <w:rPr>
          <w:bCs/>
          <w:sz w:val="24"/>
        </w:rPr>
        <w:t>）</w:t>
      </w:r>
      <w:r>
        <w:rPr>
          <w:rFonts w:hAnsi="宋体"/>
          <w:bCs/>
          <w:sz w:val="24"/>
          <w:szCs w:val="24"/>
        </w:rPr>
        <w:t>销售基金份额；</w:t>
      </w:r>
    </w:p>
    <w:p w:rsidR="00783788" w:rsidRDefault="002C6E18">
      <w:pPr>
        <w:adjustRightInd w:val="0"/>
        <w:snapToGrid w:val="0"/>
        <w:spacing w:line="360" w:lineRule="auto"/>
        <w:ind w:firstLineChars="200" w:firstLine="480"/>
        <w:rPr>
          <w:bCs/>
          <w:sz w:val="24"/>
        </w:rPr>
      </w:pPr>
      <w:r>
        <w:rPr>
          <w:bCs/>
          <w:sz w:val="24"/>
        </w:rPr>
        <w:t>5</w:t>
      </w:r>
      <w:r>
        <w:rPr>
          <w:bCs/>
          <w:sz w:val="24"/>
        </w:rPr>
        <w:t>）</w:t>
      </w:r>
      <w:bookmarkStart w:id="100" w:name="_Hlt88896155"/>
      <w:r>
        <w:rPr>
          <w:rFonts w:hAnsi="宋体"/>
          <w:bCs/>
          <w:sz w:val="24"/>
          <w:szCs w:val="24"/>
        </w:rPr>
        <w:t>召集基金份额持有人大会；</w:t>
      </w:r>
      <w:bookmarkEnd w:id="100"/>
    </w:p>
    <w:p w:rsidR="00783788" w:rsidRDefault="002C6E18">
      <w:pPr>
        <w:adjustRightInd w:val="0"/>
        <w:snapToGrid w:val="0"/>
        <w:spacing w:line="360" w:lineRule="auto"/>
        <w:ind w:firstLineChars="200" w:firstLine="480"/>
        <w:rPr>
          <w:bCs/>
          <w:sz w:val="24"/>
        </w:rPr>
      </w:pPr>
      <w:r>
        <w:rPr>
          <w:bCs/>
          <w:sz w:val="24"/>
        </w:rPr>
        <w:t>6</w:t>
      </w:r>
      <w:r>
        <w:rPr>
          <w:bCs/>
          <w:sz w:val="24"/>
        </w:rPr>
        <w:t>）</w:t>
      </w:r>
      <w:r>
        <w:rPr>
          <w:rFonts w:hAnsi="宋体"/>
          <w:bCs/>
          <w:sz w:val="24"/>
          <w:szCs w:val="24"/>
        </w:rPr>
        <w:t>依据基金合同及有关法律规定监督基金托管人，如认为基金托管人违反了基金合同及国家有关法律规定，应呈报中国证监会和其他监管部门，并采取必要措施保护基金投资者的利益；</w:t>
      </w:r>
    </w:p>
    <w:p w:rsidR="00783788" w:rsidRDefault="002C6E18">
      <w:pPr>
        <w:adjustRightInd w:val="0"/>
        <w:snapToGrid w:val="0"/>
        <w:spacing w:line="360" w:lineRule="auto"/>
        <w:ind w:firstLineChars="200" w:firstLine="480"/>
        <w:rPr>
          <w:bCs/>
          <w:sz w:val="24"/>
        </w:rPr>
      </w:pPr>
      <w:r>
        <w:rPr>
          <w:bCs/>
          <w:sz w:val="24"/>
        </w:rPr>
        <w:t>7</w:t>
      </w:r>
      <w:r>
        <w:rPr>
          <w:bCs/>
          <w:sz w:val="24"/>
        </w:rPr>
        <w:t>）</w:t>
      </w:r>
      <w:r>
        <w:rPr>
          <w:rFonts w:hAnsi="宋体"/>
          <w:bCs/>
          <w:sz w:val="24"/>
          <w:szCs w:val="24"/>
        </w:rPr>
        <w:t>在基金托管人更换时，提名新的基金托管人；</w:t>
      </w:r>
    </w:p>
    <w:p w:rsidR="00783788" w:rsidRDefault="002C6E18">
      <w:pPr>
        <w:adjustRightInd w:val="0"/>
        <w:snapToGrid w:val="0"/>
        <w:spacing w:line="360" w:lineRule="auto"/>
        <w:ind w:firstLineChars="200" w:firstLine="480"/>
        <w:rPr>
          <w:bCs/>
          <w:sz w:val="24"/>
        </w:rPr>
      </w:pPr>
      <w:r>
        <w:rPr>
          <w:bCs/>
          <w:sz w:val="24"/>
        </w:rPr>
        <w:t>8</w:t>
      </w:r>
      <w:r>
        <w:rPr>
          <w:bCs/>
          <w:sz w:val="24"/>
        </w:rPr>
        <w:t>）</w:t>
      </w:r>
      <w:r>
        <w:rPr>
          <w:rFonts w:hAnsi="宋体"/>
          <w:bCs/>
          <w:sz w:val="24"/>
          <w:szCs w:val="24"/>
        </w:rPr>
        <w:t>选择、更换基金销售机构，对基金销售机构的相关行为进行监督和处理；</w:t>
      </w:r>
      <w:r>
        <w:rPr>
          <w:bCs/>
          <w:sz w:val="24"/>
        </w:rPr>
        <w:t xml:space="preserve"> </w:t>
      </w:r>
    </w:p>
    <w:p w:rsidR="00783788" w:rsidRDefault="002C6E18">
      <w:pPr>
        <w:adjustRightInd w:val="0"/>
        <w:snapToGrid w:val="0"/>
        <w:spacing w:line="360" w:lineRule="auto"/>
        <w:ind w:firstLineChars="200" w:firstLine="480"/>
        <w:rPr>
          <w:bCs/>
          <w:sz w:val="24"/>
        </w:rPr>
      </w:pPr>
      <w:r>
        <w:rPr>
          <w:bCs/>
          <w:sz w:val="24"/>
        </w:rPr>
        <w:t>9</w:t>
      </w:r>
      <w:r>
        <w:rPr>
          <w:bCs/>
          <w:sz w:val="24"/>
        </w:rPr>
        <w:t>）</w:t>
      </w:r>
      <w:r>
        <w:rPr>
          <w:rFonts w:hAnsi="宋体"/>
          <w:bCs/>
          <w:sz w:val="24"/>
          <w:szCs w:val="24"/>
        </w:rPr>
        <w:t>担任或委托其他符合条件的机构担任基金登记机构办理基金登记业务并获得基金合同规定的费用；</w:t>
      </w:r>
      <w:r>
        <w:rPr>
          <w:bCs/>
          <w:sz w:val="24"/>
        </w:rPr>
        <w:t xml:space="preserve"> </w:t>
      </w:r>
    </w:p>
    <w:p w:rsidR="00783788" w:rsidRDefault="002C6E18">
      <w:pPr>
        <w:adjustRightInd w:val="0"/>
        <w:snapToGrid w:val="0"/>
        <w:spacing w:line="360" w:lineRule="auto"/>
        <w:ind w:firstLineChars="200" w:firstLine="480"/>
        <w:rPr>
          <w:bCs/>
          <w:sz w:val="24"/>
        </w:rPr>
      </w:pPr>
      <w:r>
        <w:rPr>
          <w:bCs/>
          <w:sz w:val="24"/>
        </w:rPr>
        <w:t>10</w:t>
      </w:r>
      <w:r>
        <w:rPr>
          <w:bCs/>
          <w:sz w:val="24"/>
        </w:rPr>
        <w:t>）</w:t>
      </w:r>
      <w:r>
        <w:rPr>
          <w:rFonts w:hAnsi="宋体"/>
          <w:bCs/>
          <w:sz w:val="24"/>
          <w:szCs w:val="24"/>
        </w:rPr>
        <w:t>依据基金合同及有关法律规定决定基金收益的分配方案；</w:t>
      </w:r>
      <w:r>
        <w:rPr>
          <w:bCs/>
          <w:sz w:val="24"/>
        </w:rPr>
        <w:tab/>
      </w:r>
    </w:p>
    <w:p w:rsidR="00783788" w:rsidRDefault="002C6E18">
      <w:pPr>
        <w:adjustRightInd w:val="0"/>
        <w:snapToGrid w:val="0"/>
        <w:spacing w:line="360" w:lineRule="auto"/>
        <w:ind w:firstLineChars="200" w:firstLine="480"/>
        <w:rPr>
          <w:bCs/>
          <w:sz w:val="24"/>
        </w:rPr>
      </w:pPr>
      <w:r>
        <w:rPr>
          <w:bCs/>
          <w:sz w:val="24"/>
        </w:rPr>
        <w:t>11</w:t>
      </w:r>
      <w:r>
        <w:rPr>
          <w:bCs/>
          <w:sz w:val="24"/>
        </w:rPr>
        <w:t>）</w:t>
      </w:r>
      <w:r>
        <w:rPr>
          <w:rFonts w:hAnsi="宋体"/>
          <w:bCs/>
          <w:sz w:val="24"/>
          <w:szCs w:val="24"/>
        </w:rPr>
        <w:t>在基金合同约定的范围内，拒绝或暂停受理申购与赎回申请；</w:t>
      </w:r>
      <w:r>
        <w:rPr>
          <w:bCs/>
          <w:sz w:val="24"/>
        </w:rPr>
        <w:t xml:space="preserve"> </w:t>
      </w:r>
    </w:p>
    <w:p w:rsidR="00783788" w:rsidRDefault="002C6E18">
      <w:pPr>
        <w:adjustRightInd w:val="0"/>
        <w:snapToGrid w:val="0"/>
        <w:spacing w:line="360" w:lineRule="auto"/>
        <w:ind w:firstLineChars="200" w:firstLine="480"/>
        <w:rPr>
          <w:bCs/>
          <w:sz w:val="24"/>
        </w:rPr>
      </w:pPr>
      <w:r>
        <w:rPr>
          <w:bCs/>
          <w:sz w:val="24"/>
        </w:rPr>
        <w:t>12</w:t>
      </w:r>
      <w:r>
        <w:rPr>
          <w:bCs/>
          <w:sz w:val="24"/>
        </w:rPr>
        <w:t>）</w:t>
      </w:r>
      <w:r>
        <w:rPr>
          <w:rFonts w:hAnsi="宋体"/>
          <w:bCs/>
          <w:sz w:val="24"/>
          <w:szCs w:val="24"/>
        </w:rPr>
        <w:t>依照法律法规为基金的利益对被投资公司行使股东权利，为基金的利益行使因基金财产投资于证券所产生的权利；</w:t>
      </w:r>
      <w:r>
        <w:rPr>
          <w:bCs/>
          <w:sz w:val="24"/>
        </w:rPr>
        <w:tab/>
      </w:r>
    </w:p>
    <w:p w:rsidR="00783788" w:rsidRDefault="002C6E18">
      <w:pPr>
        <w:adjustRightInd w:val="0"/>
        <w:snapToGrid w:val="0"/>
        <w:spacing w:line="360" w:lineRule="auto"/>
        <w:ind w:firstLineChars="200" w:firstLine="480"/>
        <w:rPr>
          <w:bCs/>
          <w:sz w:val="24"/>
        </w:rPr>
      </w:pPr>
      <w:r>
        <w:rPr>
          <w:bCs/>
          <w:sz w:val="24"/>
        </w:rPr>
        <w:t>13</w:t>
      </w:r>
      <w:r>
        <w:rPr>
          <w:bCs/>
          <w:sz w:val="24"/>
        </w:rPr>
        <w:t>）</w:t>
      </w:r>
      <w:r>
        <w:rPr>
          <w:rFonts w:hAnsi="宋体"/>
          <w:bCs/>
          <w:sz w:val="24"/>
          <w:szCs w:val="24"/>
        </w:rPr>
        <w:t>在法律法规允许的前提下，为基金的利益依法为基金进行融资融券；</w:t>
      </w:r>
      <w:r>
        <w:rPr>
          <w:bCs/>
          <w:sz w:val="24"/>
        </w:rPr>
        <w:t xml:space="preserve"> </w:t>
      </w:r>
    </w:p>
    <w:p w:rsidR="00783788" w:rsidRDefault="002C6E18">
      <w:pPr>
        <w:adjustRightInd w:val="0"/>
        <w:snapToGrid w:val="0"/>
        <w:spacing w:line="360" w:lineRule="auto"/>
        <w:ind w:firstLineChars="200" w:firstLine="480"/>
        <w:rPr>
          <w:bCs/>
          <w:sz w:val="24"/>
        </w:rPr>
      </w:pPr>
      <w:r>
        <w:rPr>
          <w:bCs/>
          <w:sz w:val="24"/>
        </w:rPr>
        <w:t>14</w:t>
      </w:r>
      <w:r>
        <w:rPr>
          <w:bCs/>
          <w:sz w:val="24"/>
        </w:rPr>
        <w:t>）</w:t>
      </w:r>
      <w:r>
        <w:rPr>
          <w:rFonts w:hAnsi="宋体"/>
          <w:bCs/>
          <w:sz w:val="24"/>
          <w:szCs w:val="24"/>
        </w:rPr>
        <w:t>以基金管理人的名义，代表基金份额持有人的利益行使诉讼权利或者实施其他法律行为；</w:t>
      </w:r>
      <w:r>
        <w:rPr>
          <w:bCs/>
          <w:sz w:val="24"/>
        </w:rPr>
        <w:tab/>
      </w:r>
    </w:p>
    <w:p w:rsidR="00783788" w:rsidRDefault="002C6E18">
      <w:pPr>
        <w:adjustRightInd w:val="0"/>
        <w:snapToGrid w:val="0"/>
        <w:spacing w:line="360" w:lineRule="auto"/>
        <w:ind w:firstLineChars="200" w:firstLine="480"/>
        <w:rPr>
          <w:bCs/>
          <w:sz w:val="24"/>
        </w:rPr>
      </w:pPr>
      <w:r>
        <w:rPr>
          <w:bCs/>
          <w:sz w:val="24"/>
        </w:rPr>
        <w:t>15</w:t>
      </w:r>
      <w:r>
        <w:rPr>
          <w:bCs/>
          <w:sz w:val="24"/>
        </w:rPr>
        <w:t>）</w:t>
      </w:r>
      <w:r>
        <w:rPr>
          <w:rFonts w:hAnsi="宋体"/>
          <w:bCs/>
          <w:sz w:val="24"/>
          <w:szCs w:val="24"/>
        </w:rPr>
        <w:t>选择、更换律师事务所、会计师事务所、证券经纪商或其他为基金提供服务的外部机构；</w:t>
      </w:r>
      <w:r>
        <w:rPr>
          <w:bCs/>
          <w:sz w:val="24"/>
        </w:rPr>
        <w:tab/>
      </w:r>
    </w:p>
    <w:p w:rsidR="00783788" w:rsidRDefault="002C6E18">
      <w:pPr>
        <w:adjustRightInd w:val="0"/>
        <w:snapToGrid w:val="0"/>
        <w:spacing w:line="360" w:lineRule="auto"/>
        <w:ind w:firstLineChars="200" w:firstLine="480"/>
        <w:rPr>
          <w:bCs/>
          <w:sz w:val="24"/>
        </w:rPr>
      </w:pPr>
      <w:r>
        <w:rPr>
          <w:bCs/>
          <w:sz w:val="24"/>
        </w:rPr>
        <w:t>16</w:t>
      </w:r>
      <w:r>
        <w:rPr>
          <w:bCs/>
          <w:sz w:val="24"/>
        </w:rPr>
        <w:t>）</w:t>
      </w:r>
      <w:r>
        <w:rPr>
          <w:rFonts w:hAnsi="宋体"/>
          <w:bCs/>
          <w:sz w:val="24"/>
          <w:szCs w:val="24"/>
        </w:rPr>
        <w:t>在符合有关法律、法规的前提下，制定和调整有关基金认购、申购、赎回、转换和非交易过户等的业务规则；</w:t>
      </w:r>
    </w:p>
    <w:p w:rsidR="00783788" w:rsidRDefault="002C6E18">
      <w:pPr>
        <w:widowControl/>
        <w:adjustRightInd w:val="0"/>
        <w:snapToGrid w:val="0"/>
        <w:spacing w:line="360" w:lineRule="auto"/>
        <w:ind w:firstLineChars="200" w:firstLine="480"/>
        <w:outlineLvl w:val="8"/>
        <w:rPr>
          <w:bCs/>
          <w:sz w:val="24"/>
        </w:rPr>
      </w:pPr>
      <w:r>
        <w:rPr>
          <w:bCs/>
          <w:sz w:val="24"/>
        </w:rPr>
        <w:t>17</w:t>
      </w:r>
      <w:r>
        <w:rPr>
          <w:bCs/>
          <w:sz w:val="24"/>
        </w:rPr>
        <w:t>）</w:t>
      </w:r>
      <w:r>
        <w:rPr>
          <w:rFonts w:hAnsi="宋体"/>
          <w:bCs/>
          <w:sz w:val="24"/>
          <w:szCs w:val="24"/>
        </w:rPr>
        <w:t>法律法规及中国证监会规定的和基金合同约定的其他权利。</w:t>
      </w:r>
    </w:p>
    <w:p w:rsidR="00783788" w:rsidRDefault="002C6E18">
      <w:pPr>
        <w:widowControl/>
        <w:adjustRightInd w:val="0"/>
        <w:snapToGrid w:val="0"/>
        <w:spacing w:line="360" w:lineRule="auto"/>
        <w:ind w:firstLineChars="200" w:firstLine="480"/>
        <w:outlineLvl w:val="8"/>
        <w:rPr>
          <w:bCs/>
          <w:sz w:val="24"/>
        </w:rPr>
      </w:pPr>
      <w:r>
        <w:rPr>
          <w:bCs/>
          <w:sz w:val="24"/>
        </w:rPr>
        <w:t>（</w:t>
      </w:r>
      <w:r>
        <w:rPr>
          <w:bCs/>
          <w:sz w:val="24"/>
        </w:rPr>
        <w:t>2</w:t>
      </w:r>
      <w:r>
        <w:rPr>
          <w:bCs/>
          <w:sz w:val="24"/>
        </w:rPr>
        <w:t>）根据《基金法》、《运作办法》及其他有关规定，基金管理人的义务包括但不限于：</w:t>
      </w:r>
    </w:p>
    <w:p w:rsidR="00783788" w:rsidRDefault="002C6E18">
      <w:pPr>
        <w:adjustRightInd w:val="0"/>
        <w:snapToGrid w:val="0"/>
        <w:spacing w:line="360" w:lineRule="auto"/>
        <w:ind w:firstLineChars="200" w:firstLine="480"/>
        <w:rPr>
          <w:bCs/>
          <w:sz w:val="24"/>
        </w:rPr>
      </w:pPr>
      <w:r>
        <w:rPr>
          <w:bCs/>
          <w:sz w:val="24"/>
        </w:rPr>
        <w:t>1</w:t>
      </w:r>
      <w:r>
        <w:rPr>
          <w:bCs/>
          <w:sz w:val="24"/>
        </w:rPr>
        <w:t>）</w:t>
      </w:r>
      <w:r>
        <w:rPr>
          <w:rFonts w:hAnsi="宋体"/>
          <w:bCs/>
          <w:sz w:val="24"/>
          <w:szCs w:val="24"/>
        </w:rPr>
        <w:t>依法募集基金，办理或者委托经中国证监会认定的其他机构代为办理基金份额的发售、申购、赎回和登记事宜；</w:t>
      </w:r>
    </w:p>
    <w:p w:rsidR="00783788" w:rsidRDefault="002C6E18">
      <w:pPr>
        <w:adjustRightInd w:val="0"/>
        <w:snapToGrid w:val="0"/>
        <w:spacing w:line="360" w:lineRule="auto"/>
        <w:ind w:firstLineChars="200" w:firstLine="480"/>
        <w:rPr>
          <w:bCs/>
          <w:sz w:val="24"/>
        </w:rPr>
      </w:pPr>
      <w:r>
        <w:rPr>
          <w:bCs/>
          <w:sz w:val="24"/>
        </w:rPr>
        <w:t>2</w:t>
      </w:r>
      <w:r>
        <w:rPr>
          <w:bCs/>
          <w:sz w:val="24"/>
        </w:rPr>
        <w:t>）</w:t>
      </w:r>
      <w:r>
        <w:rPr>
          <w:rFonts w:hAnsi="宋体"/>
          <w:bCs/>
          <w:sz w:val="24"/>
          <w:szCs w:val="24"/>
        </w:rPr>
        <w:t>办理基金备案手续；</w:t>
      </w:r>
    </w:p>
    <w:p w:rsidR="00783788" w:rsidRDefault="002C6E18">
      <w:pPr>
        <w:adjustRightInd w:val="0"/>
        <w:snapToGrid w:val="0"/>
        <w:spacing w:line="360" w:lineRule="auto"/>
        <w:ind w:firstLineChars="200" w:firstLine="480"/>
        <w:rPr>
          <w:bCs/>
          <w:sz w:val="24"/>
        </w:rPr>
      </w:pPr>
      <w:r>
        <w:rPr>
          <w:bCs/>
          <w:sz w:val="24"/>
        </w:rPr>
        <w:t>3</w:t>
      </w:r>
      <w:r>
        <w:rPr>
          <w:bCs/>
          <w:sz w:val="24"/>
        </w:rPr>
        <w:t>）</w:t>
      </w:r>
      <w:r>
        <w:rPr>
          <w:rFonts w:hAnsi="宋体"/>
          <w:bCs/>
          <w:sz w:val="24"/>
          <w:szCs w:val="24"/>
        </w:rPr>
        <w:t>自基金合同生效之日起</w:t>
      </w:r>
      <w:r>
        <w:rPr>
          <w:bCs/>
          <w:sz w:val="24"/>
          <w:szCs w:val="24"/>
        </w:rPr>
        <w:t>,</w:t>
      </w:r>
      <w:r>
        <w:rPr>
          <w:rFonts w:hAnsi="宋体"/>
          <w:bCs/>
          <w:sz w:val="24"/>
          <w:szCs w:val="24"/>
        </w:rPr>
        <w:t>以诚实信用、谨慎勤勉的原则管理和运用基金财产；</w:t>
      </w:r>
    </w:p>
    <w:p w:rsidR="00783788" w:rsidRDefault="002C6E18">
      <w:pPr>
        <w:adjustRightInd w:val="0"/>
        <w:snapToGrid w:val="0"/>
        <w:spacing w:line="360" w:lineRule="auto"/>
        <w:ind w:firstLineChars="200" w:firstLine="480"/>
        <w:rPr>
          <w:bCs/>
          <w:sz w:val="24"/>
        </w:rPr>
      </w:pPr>
      <w:r>
        <w:rPr>
          <w:bCs/>
          <w:sz w:val="24"/>
        </w:rPr>
        <w:t>4</w:t>
      </w:r>
      <w:r>
        <w:rPr>
          <w:bCs/>
          <w:sz w:val="24"/>
        </w:rPr>
        <w:t>）</w:t>
      </w:r>
      <w:r>
        <w:rPr>
          <w:rFonts w:hAnsi="宋体"/>
          <w:bCs/>
          <w:sz w:val="24"/>
          <w:szCs w:val="24"/>
        </w:rPr>
        <w:t>配备足够的具有专业资格的人员进行基金投资分析、决策，以专业化的经营方式管理和运作基金财产；</w:t>
      </w:r>
    </w:p>
    <w:p w:rsidR="00783788" w:rsidRDefault="002C6E18">
      <w:pPr>
        <w:adjustRightInd w:val="0"/>
        <w:snapToGrid w:val="0"/>
        <w:spacing w:line="360" w:lineRule="auto"/>
        <w:ind w:firstLineChars="200" w:firstLine="480"/>
        <w:rPr>
          <w:bCs/>
          <w:sz w:val="24"/>
        </w:rPr>
      </w:pPr>
      <w:r>
        <w:rPr>
          <w:bCs/>
          <w:sz w:val="24"/>
        </w:rPr>
        <w:t>5</w:t>
      </w:r>
      <w:r>
        <w:rPr>
          <w:bCs/>
          <w:sz w:val="24"/>
        </w:rPr>
        <w:t>）</w:t>
      </w:r>
      <w:r>
        <w:rPr>
          <w:rFonts w:hAnsi="宋体"/>
          <w:bCs/>
          <w:sz w:val="24"/>
          <w:szCs w:val="24"/>
        </w:rPr>
        <w:t>建立健全内部风险控制、监察与稽核、财务管理及人事管理等制度，保证所管理的基金财产和基金管理人的财产相互独立</w:t>
      </w:r>
      <w:r>
        <w:rPr>
          <w:bCs/>
          <w:sz w:val="24"/>
          <w:szCs w:val="24"/>
        </w:rPr>
        <w:t>,</w:t>
      </w:r>
      <w:r>
        <w:rPr>
          <w:rFonts w:hAnsi="宋体"/>
          <w:bCs/>
          <w:sz w:val="24"/>
          <w:szCs w:val="24"/>
        </w:rPr>
        <w:t>对所管理的不同基金分别管理，分别记账，进行证券投资；</w:t>
      </w:r>
    </w:p>
    <w:p w:rsidR="00783788" w:rsidRDefault="002C6E18">
      <w:pPr>
        <w:adjustRightInd w:val="0"/>
        <w:snapToGrid w:val="0"/>
        <w:spacing w:line="360" w:lineRule="auto"/>
        <w:ind w:firstLineChars="200" w:firstLine="480"/>
        <w:rPr>
          <w:bCs/>
          <w:sz w:val="24"/>
        </w:rPr>
      </w:pPr>
      <w:r>
        <w:rPr>
          <w:bCs/>
          <w:sz w:val="24"/>
        </w:rPr>
        <w:t>6</w:t>
      </w:r>
      <w:r>
        <w:rPr>
          <w:bCs/>
          <w:sz w:val="24"/>
        </w:rPr>
        <w:t>）</w:t>
      </w:r>
      <w:r>
        <w:rPr>
          <w:rFonts w:hAnsi="宋体"/>
          <w:bCs/>
          <w:sz w:val="24"/>
          <w:szCs w:val="24"/>
        </w:rPr>
        <w:t>除依据《基金法》、基金合同及其他有关规定外</w:t>
      </w:r>
      <w:r>
        <w:rPr>
          <w:bCs/>
          <w:sz w:val="24"/>
          <w:szCs w:val="24"/>
        </w:rPr>
        <w:t>,</w:t>
      </w:r>
      <w:r>
        <w:rPr>
          <w:rFonts w:hAnsi="宋体"/>
          <w:bCs/>
          <w:sz w:val="24"/>
          <w:szCs w:val="24"/>
        </w:rPr>
        <w:t>不得利用基金财产为自己及任何第三人谋取利益，不得委托第三人运作基金财产；</w:t>
      </w:r>
      <w:bookmarkStart w:id="101" w:name="_Hlt88897298"/>
      <w:bookmarkEnd w:id="101"/>
    </w:p>
    <w:p w:rsidR="00783788" w:rsidRDefault="002C6E18">
      <w:pPr>
        <w:adjustRightInd w:val="0"/>
        <w:snapToGrid w:val="0"/>
        <w:spacing w:line="360" w:lineRule="auto"/>
        <w:ind w:firstLineChars="200" w:firstLine="480"/>
        <w:rPr>
          <w:bCs/>
          <w:sz w:val="24"/>
        </w:rPr>
      </w:pPr>
      <w:r>
        <w:rPr>
          <w:bCs/>
          <w:sz w:val="24"/>
        </w:rPr>
        <w:t>7</w:t>
      </w:r>
      <w:r>
        <w:rPr>
          <w:bCs/>
          <w:sz w:val="24"/>
        </w:rPr>
        <w:t>）</w:t>
      </w:r>
      <w:r>
        <w:rPr>
          <w:rFonts w:hAnsi="宋体"/>
          <w:bCs/>
          <w:sz w:val="24"/>
          <w:szCs w:val="24"/>
        </w:rPr>
        <w:t>依法接受基金托管人的监督；</w:t>
      </w:r>
    </w:p>
    <w:p w:rsidR="00783788" w:rsidRDefault="002C6E18">
      <w:pPr>
        <w:adjustRightInd w:val="0"/>
        <w:snapToGrid w:val="0"/>
        <w:spacing w:line="360" w:lineRule="auto"/>
        <w:ind w:firstLineChars="200" w:firstLine="480"/>
        <w:rPr>
          <w:bCs/>
          <w:sz w:val="24"/>
        </w:rPr>
      </w:pPr>
      <w:r>
        <w:rPr>
          <w:bCs/>
          <w:sz w:val="24"/>
        </w:rPr>
        <w:t>8</w:t>
      </w:r>
      <w:r>
        <w:rPr>
          <w:bCs/>
          <w:sz w:val="24"/>
        </w:rPr>
        <w:t>）</w:t>
      </w:r>
      <w:r>
        <w:rPr>
          <w:rFonts w:hAnsi="宋体"/>
          <w:bCs/>
          <w:sz w:val="24"/>
          <w:szCs w:val="24"/>
        </w:rPr>
        <w:t>采取适当合理的措施使计算基金份额认购、申购、赎回和注销价格的方法符合基金合同等法律文件的规定，按有关规定计算并公告基金资产净值，确定基金份额申购、赎回的价格；</w:t>
      </w:r>
    </w:p>
    <w:p w:rsidR="00783788" w:rsidRDefault="002C6E18">
      <w:pPr>
        <w:adjustRightInd w:val="0"/>
        <w:snapToGrid w:val="0"/>
        <w:spacing w:line="360" w:lineRule="auto"/>
        <w:ind w:firstLineChars="200" w:firstLine="480"/>
        <w:rPr>
          <w:bCs/>
          <w:sz w:val="24"/>
        </w:rPr>
      </w:pPr>
      <w:r>
        <w:rPr>
          <w:bCs/>
          <w:sz w:val="24"/>
        </w:rPr>
        <w:t>9</w:t>
      </w:r>
      <w:r>
        <w:rPr>
          <w:bCs/>
          <w:sz w:val="24"/>
        </w:rPr>
        <w:t>）</w:t>
      </w:r>
      <w:r>
        <w:rPr>
          <w:rFonts w:hAnsi="宋体"/>
          <w:bCs/>
          <w:sz w:val="24"/>
          <w:szCs w:val="24"/>
        </w:rPr>
        <w:t>进行基金会计核算并编制基金财务会计报告；</w:t>
      </w:r>
    </w:p>
    <w:p w:rsidR="00783788" w:rsidRDefault="002C6E18">
      <w:pPr>
        <w:adjustRightInd w:val="0"/>
        <w:snapToGrid w:val="0"/>
        <w:spacing w:line="360" w:lineRule="auto"/>
        <w:ind w:firstLineChars="200" w:firstLine="480"/>
        <w:rPr>
          <w:bCs/>
          <w:sz w:val="24"/>
        </w:rPr>
      </w:pPr>
      <w:r>
        <w:rPr>
          <w:bCs/>
          <w:sz w:val="24"/>
        </w:rPr>
        <w:t>10</w:t>
      </w:r>
      <w:r>
        <w:rPr>
          <w:bCs/>
          <w:sz w:val="24"/>
        </w:rPr>
        <w:t>）</w:t>
      </w:r>
      <w:r>
        <w:rPr>
          <w:rFonts w:hAnsi="宋体"/>
          <w:bCs/>
          <w:sz w:val="24"/>
          <w:szCs w:val="24"/>
        </w:rPr>
        <w:t>编制季度、半年度和年度基金报告；</w:t>
      </w:r>
    </w:p>
    <w:p w:rsidR="00783788" w:rsidRDefault="002C6E18">
      <w:pPr>
        <w:adjustRightInd w:val="0"/>
        <w:snapToGrid w:val="0"/>
        <w:spacing w:line="360" w:lineRule="auto"/>
        <w:ind w:firstLineChars="200" w:firstLine="480"/>
        <w:rPr>
          <w:bCs/>
          <w:sz w:val="24"/>
        </w:rPr>
      </w:pPr>
      <w:r>
        <w:rPr>
          <w:bCs/>
          <w:sz w:val="24"/>
        </w:rPr>
        <w:t>11</w:t>
      </w:r>
      <w:r>
        <w:rPr>
          <w:bCs/>
          <w:sz w:val="24"/>
        </w:rPr>
        <w:t>）</w:t>
      </w:r>
      <w:r>
        <w:rPr>
          <w:rFonts w:hAnsi="宋体"/>
          <w:bCs/>
          <w:sz w:val="24"/>
          <w:szCs w:val="24"/>
        </w:rPr>
        <w:t>严格按照《基金法》、基金合同及其他有关规定，履行信息披露及报告义务；</w:t>
      </w:r>
    </w:p>
    <w:p w:rsidR="00783788" w:rsidRDefault="002C6E18">
      <w:pPr>
        <w:adjustRightInd w:val="0"/>
        <w:snapToGrid w:val="0"/>
        <w:spacing w:line="360" w:lineRule="auto"/>
        <w:ind w:firstLineChars="200" w:firstLine="480"/>
        <w:rPr>
          <w:bCs/>
          <w:sz w:val="24"/>
        </w:rPr>
      </w:pPr>
      <w:r>
        <w:rPr>
          <w:bCs/>
          <w:sz w:val="24"/>
        </w:rPr>
        <w:t>12</w:t>
      </w:r>
      <w:r>
        <w:rPr>
          <w:bCs/>
          <w:sz w:val="24"/>
        </w:rPr>
        <w:t>）</w:t>
      </w:r>
      <w:r>
        <w:rPr>
          <w:rFonts w:hAnsi="宋体"/>
          <w:bCs/>
          <w:sz w:val="24"/>
          <w:szCs w:val="24"/>
        </w:rPr>
        <w:t>保守基金商业秘密，不泄露基金投资计划、投资意向等。除《基金法》、基金合同及其他有关规定另有规定外，在基金信息公开披露前应予保密，不向他人泄露；</w:t>
      </w:r>
    </w:p>
    <w:p w:rsidR="00783788" w:rsidRDefault="002C6E18">
      <w:pPr>
        <w:adjustRightInd w:val="0"/>
        <w:snapToGrid w:val="0"/>
        <w:spacing w:line="360" w:lineRule="auto"/>
        <w:ind w:firstLineChars="200" w:firstLine="480"/>
        <w:rPr>
          <w:bCs/>
          <w:sz w:val="24"/>
        </w:rPr>
      </w:pPr>
      <w:r>
        <w:rPr>
          <w:bCs/>
          <w:sz w:val="24"/>
        </w:rPr>
        <w:t>13</w:t>
      </w:r>
      <w:r>
        <w:rPr>
          <w:bCs/>
          <w:sz w:val="24"/>
        </w:rPr>
        <w:t>）</w:t>
      </w:r>
      <w:r>
        <w:rPr>
          <w:rFonts w:hAnsi="宋体"/>
          <w:bCs/>
          <w:sz w:val="24"/>
          <w:szCs w:val="24"/>
        </w:rPr>
        <w:t>按基金合同的约定确定基金收益分配方案，及时向基金份额持有人分配基金收益；</w:t>
      </w:r>
    </w:p>
    <w:p w:rsidR="00783788" w:rsidRDefault="002C6E18">
      <w:pPr>
        <w:adjustRightInd w:val="0"/>
        <w:snapToGrid w:val="0"/>
        <w:spacing w:line="360" w:lineRule="auto"/>
        <w:ind w:firstLineChars="200" w:firstLine="480"/>
        <w:rPr>
          <w:bCs/>
          <w:sz w:val="24"/>
        </w:rPr>
      </w:pPr>
      <w:r>
        <w:rPr>
          <w:bCs/>
          <w:sz w:val="24"/>
        </w:rPr>
        <w:t>14</w:t>
      </w:r>
      <w:r>
        <w:rPr>
          <w:bCs/>
          <w:sz w:val="24"/>
        </w:rPr>
        <w:t>）</w:t>
      </w:r>
      <w:r>
        <w:rPr>
          <w:rFonts w:hAnsi="宋体"/>
          <w:bCs/>
          <w:sz w:val="24"/>
          <w:szCs w:val="24"/>
        </w:rPr>
        <w:t>按规定受理申购与赎回申请，及时、足额支付赎回款项；</w:t>
      </w:r>
    </w:p>
    <w:p w:rsidR="00783788" w:rsidRDefault="002C6E18">
      <w:pPr>
        <w:adjustRightInd w:val="0"/>
        <w:snapToGrid w:val="0"/>
        <w:spacing w:line="360" w:lineRule="auto"/>
        <w:ind w:firstLineChars="200" w:firstLine="480"/>
        <w:rPr>
          <w:bCs/>
          <w:sz w:val="24"/>
        </w:rPr>
      </w:pPr>
      <w:r>
        <w:rPr>
          <w:bCs/>
          <w:sz w:val="24"/>
        </w:rPr>
        <w:t>15</w:t>
      </w:r>
      <w:r>
        <w:rPr>
          <w:bCs/>
          <w:sz w:val="24"/>
        </w:rPr>
        <w:t>）</w:t>
      </w:r>
      <w:r>
        <w:rPr>
          <w:rFonts w:hAnsi="宋体"/>
          <w:bCs/>
          <w:sz w:val="24"/>
          <w:szCs w:val="24"/>
        </w:rPr>
        <w:t>依据《基金法》、基金合同及其他有关规定召集基金份额持有人大会或配合基金托管人、基金份额持有人依法召集基金份额持有人大会；</w:t>
      </w:r>
    </w:p>
    <w:p w:rsidR="00783788" w:rsidRDefault="002C6E18">
      <w:pPr>
        <w:adjustRightInd w:val="0"/>
        <w:snapToGrid w:val="0"/>
        <w:spacing w:line="360" w:lineRule="auto"/>
        <w:ind w:firstLineChars="200" w:firstLine="480"/>
        <w:rPr>
          <w:bCs/>
          <w:sz w:val="24"/>
        </w:rPr>
      </w:pPr>
      <w:r>
        <w:rPr>
          <w:bCs/>
          <w:sz w:val="24"/>
        </w:rPr>
        <w:t>16</w:t>
      </w:r>
      <w:r>
        <w:rPr>
          <w:bCs/>
          <w:sz w:val="24"/>
        </w:rPr>
        <w:t>）</w:t>
      </w:r>
      <w:r>
        <w:rPr>
          <w:rFonts w:hAnsi="宋体"/>
          <w:bCs/>
          <w:sz w:val="24"/>
          <w:szCs w:val="24"/>
        </w:rPr>
        <w:t>按规定保存基金财产管理业务活动的会计账册、报表、记录和其他相关资料</w:t>
      </w:r>
      <w:r>
        <w:rPr>
          <w:bCs/>
          <w:sz w:val="24"/>
          <w:szCs w:val="24"/>
        </w:rPr>
        <w:t>15</w:t>
      </w:r>
      <w:r>
        <w:rPr>
          <w:rFonts w:hAnsi="宋体"/>
          <w:bCs/>
          <w:sz w:val="24"/>
          <w:szCs w:val="24"/>
        </w:rPr>
        <w:t>年以上；</w:t>
      </w:r>
    </w:p>
    <w:p w:rsidR="00783788" w:rsidRDefault="002C6E18">
      <w:pPr>
        <w:adjustRightInd w:val="0"/>
        <w:snapToGrid w:val="0"/>
        <w:spacing w:line="360" w:lineRule="auto"/>
        <w:ind w:firstLineChars="200" w:firstLine="480"/>
        <w:rPr>
          <w:bCs/>
          <w:sz w:val="24"/>
        </w:rPr>
      </w:pPr>
      <w:r>
        <w:rPr>
          <w:bCs/>
          <w:sz w:val="24"/>
        </w:rPr>
        <w:t>17</w:t>
      </w:r>
      <w:r>
        <w:rPr>
          <w:bCs/>
          <w:sz w:val="24"/>
        </w:rPr>
        <w:t>）</w:t>
      </w:r>
      <w:r>
        <w:rPr>
          <w:rFonts w:hAnsi="宋体"/>
          <w:bCs/>
          <w:sz w:val="24"/>
          <w:szCs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783788" w:rsidRDefault="002C6E18">
      <w:pPr>
        <w:adjustRightInd w:val="0"/>
        <w:snapToGrid w:val="0"/>
        <w:spacing w:line="360" w:lineRule="auto"/>
        <w:ind w:firstLineChars="200" w:firstLine="480"/>
        <w:rPr>
          <w:bCs/>
          <w:sz w:val="24"/>
        </w:rPr>
      </w:pPr>
      <w:r>
        <w:rPr>
          <w:bCs/>
          <w:sz w:val="24"/>
        </w:rPr>
        <w:t>18</w:t>
      </w:r>
      <w:r>
        <w:rPr>
          <w:bCs/>
          <w:sz w:val="24"/>
        </w:rPr>
        <w:t>）</w:t>
      </w:r>
      <w:r>
        <w:rPr>
          <w:rFonts w:hAnsi="宋体"/>
          <w:bCs/>
          <w:sz w:val="24"/>
          <w:szCs w:val="24"/>
        </w:rPr>
        <w:t>组织并参加基金财产清算小组</w:t>
      </w:r>
      <w:r>
        <w:rPr>
          <w:rFonts w:hint="eastAsia"/>
          <w:bCs/>
          <w:sz w:val="24"/>
          <w:szCs w:val="24"/>
        </w:rPr>
        <w:t>，</w:t>
      </w:r>
      <w:r>
        <w:rPr>
          <w:rFonts w:hAnsi="宋体"/>
          <w:bCs/>
          <w:sz w:val="24"/>
          <w:szCs w:val="24"/>
        </w:rPr>
        <w:t>参与基金财产的保管、清理、估价、变现和分配；</w:t>
      </w:r>
    </w:p>
    <w:p w:rsidR="00783788" w:rsidRDefault="002C6E18">
      <w:pPr>
        <w:adjustRightInd w:val="0"/>
        <w:snapToGrid w:val="0"/>
        <w:spacing w:line="360" w:lineRule="auto"/>
        <w:ind w:firstLineChars="200" w:firstLine="480"/>
        <w:rPr>
          <w:bCs/>
          <w:sz w:val="24"/>
        </w:rPr>
      </w:pPr>
      <w:r>
        <w:rPr>
          <w:bCs/>
          <w:sz w:val="24"/>
        </w:rPr>
        <w:t>19</w:t>
      </w:r>
      <w:r>
        <w:rPr>
          <w:bCs/>
          <w:sz w:val="24"/>
        </w:rPr>
        <w:t>）</w:t>
      </w:r>
      <w:r>
        <w:rPr>
          <w:rFonts w:hAnsi="宋体"/>
          <w:bCs/>
          <w:sz w:val="24"/>
          <w:szCs w:val="24"/>
        </w:rPr>
        <w:t>面临解散、依法被撤销或者被依法宣告破产时，及时报告中国证监会并通知基金托管人；</w:t>
      </w:r>
    </w:p>
    <w:p w:rsidR="00783788" w:rsidRDefault="002C6E18">
      <w:pPr>
        <w:adjustRightInd w:val="0"/>
        <w:snapToGrid w:val="0"/>
        <w:spacing w:line="360" w:lineRule="auto"/>
        <w:ind w:firstLineChars="200" w:firstLine="480"/>
        <w:rPr>
          <w:bCs/>
          <w:sz w:val="24"/>
        </w:rPr>
      </w:pPr>
      <w:r>
        <w:rPr>
          <w:bCs/>
          <w:sz w:val="24"/>
        </w:rPr>
        <w:t>20</w:t>
      </w:r>
      <w:r>
        <w:rPr>
          <w:bCs/>
          <w:sz w:val="24"/>
        </w:rPr>
        <w:t>）</w:t>
      </w:r>
      <w:r>
        <w:rPr>
          <w:rFonts w:hAnsi="宋体"/>
          <w:bCs/>
          <w:sz w:val="24"/>
          <w:szCs w:val="24"/>
        </w:rPr>
        <w:t>因违反基金合同导致基金财产的损失或损害基金份额持有人合法权益时，应当承担赔偿责任，其赔偿责任不因其退任而免除；</w:t>
      </w:r>
    </w:p>
    <w:p w:rsidR="00783788" w:rsidRDefault="002C6E18">
      <w:pPr>
        <w:adjustRightInd w:val="0"/>
        <w:snapToGrid w:val="0"/>
        <w:spacing w:line="360" w:lineRule="auto"/>
        <w:ind w:firstLineChars="200" w:firstLine="480"/>
        <w:rPr>
          <w:bCs/>
          <w:sz w:val="24"/>
        </w:rPr>
      </w:pPr>
      <w:r>
        <w:rPr>
          <w:bCs/>
          <w:sz w:val="24"/>
        </w:rPr>
        <w:t>21</w:t>
      </w:r>
      <w:r>
        <w:rPr>
          <w:bCs/>
          <w:sz w:val="24"/>
        </w:rPr>
        <w:t>）</w:t>
      </w:r>
      <w:r>
        <w:rPr>
          <w:rFonts w:hAnsi="宋体"/>
          <w:bCs/>
          <w:sz w:val="24"/>
          <w:szCs w:val="24"/>
        </w:rPr>
        <w:t>监督基金托管人按法律法规和基金合同规定履行自己的义务，基金托管人违反基金合同造成基金财产损失时，基金管理人应为基金份额持有人利益向基金托管人追偿；</w:t>
      </w:r>
    </w:p>
    <w:p w:rsidR="00783788" w:rsidRDefault="002C6E18">
      <w:pPr>
        <w:adjustRightInd w:val="0"/>
        <w:snapToGrid w:val="0"/>
        <w:spacing w:line="360" w:lineRule="auto"/>
        <w:ind w:firstLineChars="200" w:firstLine="480"/>
        <w:rPr>
          <w:bCs/>
          <w:sz w:val="24"/>
        </w:rPr>
      </w:pPr>
      <w:r>
        <w:rPr>
          <w:bCs/>
          <w:sz w:val="24"/>
        </w:rPr>
        <w:t>22</w:t>
      </w:r>
      <w:r>
        <w:rPr>
          <w:bCs/>
          <w:sz w:val="24"/>
        </w:rPr>
        <w:t>）</w:t>
      </w:r>
      <w:r>
        <w:rPr>
          <w:rFonts w:hAnsi="宋体"/>
          <w:bCs/>
          <w:sz w:val="24"/>
          <w:szCs w:val="24"/>
        </w:rPr>
        <w:t>当基金管理人将其义务委托第三方处理时，应当对第三方处理有关基金事务的行为承担责任；</w:t>
      </w:r>
    </w:p>
    <w:p w:rsidR="00783788" w:rsidRDefault="002C6E18">
      <w:pPr>
        <w:adjustRightInd w:val="0"/>
        <w:snapToGrid w:val="0"/>
        <w:spacing w:line="360" w:lineRule="auto"/>
        <w:ind w:firstLineChars="200" w:firstLine="480"/>
        <w:rPr>
          <w:bCs/>
          <w:sz w:val="24"/>
        </w:rPr>
      </w:pPr>
      <w:r>
        <w:rPr>
          <w:bCs/>
          <w:sz w:val="24"/>
        </w:rPr>
        <w:t>23</w:t>
      </w:r>
      <w:r>
        <w:rPr>
          <w:bCs/>
          <w:sz w:val="24"/>
        </w:rPr>
        <w:t>）</w:t>
      </w:r>
      <w:r>
        <w:rPr>
          <w:rFonts w:hAnsi="宋体"/>
          <w:bCs/>
          <w:sz w:val="24"/>
          <w:szCs w:val="24"/>
        </w:rPr>
        <w:t>以基金管理人名义，代表基金份额持有人利益行使诉讼权利或实施其他法律行为；</w:t>
      </w:r>
      <w:r>
        <w:rPr>
          <w:bCs/>
          <w:sz w:val="24"/>
        </w:rPr>
        <w:tab/>
      </w:r>
    </w:p>
    <w:p w:rsidR="00783788" w:rsidRDefault="002C6E18">
      <w:pPr>
        <w:adjustRightInd w:val="0"/>
        <w:snapToGrid w:val="0"/>
        <w:spacing w:line="360" w:lineRule="auto"/>
        <w:ind w:firstLineChars="200" w:firstLine="480"/>
        <w:rPr>
          <w:bCs/>
          <w:sz w:val="24"/>
        </w:rPr>
      </w:pPr>
      <w:r>
        <w:rPr>
          <w:bCs/>
          <w:sz w:val="24"/>
        </w:rPr>
        <w:t>24</w:t>
      </w:r>
      <w:r>
        <w:rPr>
          <w:bCs/>
          <w:sz w:val="24"/>
        </w:rPr>
        <w:t>）</w:t>
      </w:r>
      <w:r>
        <w:rPr>
          <w:rFonts w:hAnsi="宋体"/>
          <w:bCs/>
          <w:sz w:val="24"/>
          <w:szCs w:val="24"/>
        </w:rPr>
        <w:t>基金管理人在募集期间未能达到基金的备案条件，基金合同不能生效，基金管理人承担全部募集费用，将已募集资金并加计银行同期存款利息在基金募集期结束后</w:t>
      </w:r>
      <w:r>
        <w:rPr>
          <w:bCs/>
          <w:sz w:val="24"/>
          <w:szCs w:val="24"/>
        </w:rPr>
        <w:t>30</w:t>
      </w:r>
      <w:r>
        <w:rPr>
          <w:rFonts w:hAnsi="宋体"/>
          <w:bCs/>
          <w:sz w:val="24"/>
          <w:szCs w:val="24"/>
        </w:rPr>
        <w:t>日内退还基金认购人；</w:t>
      </w:r>
    </w:p>
    <w:p w:rsidR="00783788" w:rsidRDefault="002C6E18">
      <w:pPr>
        <w:adjustRightInd w:val="0"/>
        <w:snapToGrid w:val="0"/>
        <w:spacing w:line="360" w:lineRule="auto"/>
        <w:ind w:firstLineChars="200" w:firstLine="480"/>
        <w:rPr>
          <w:bCs/>
          <w:sz w:val="24"/>
        </w:rPr>
      </w:pPr>
      <w:r>
        <w:rPr>
          <w:bCs/>
          <w:sz w:val="24"/>
        </w:rPr>
        <w:t>25</w:t>
      </w:r>
      <w:r>
        <w:rPr>
          <w:bCs/>
          <w:sz w:val="24"/>
        </w:rPr>
        <w:t>）</w:t>
      </w:r>
      <w:r>
        <w:rPr>
          <w:rFonts w:hAnsi="宋体"/>
          <w:bCs/>
          <w:sz w:val="24"/>
          <w:szCs w:val="24"/>
        </w:rPr>
        <w:t>执行生效的基金份额持有人大会的决议；</w:t>
      </w:r>
    </w:p>
    <w:p w:rsidR="00783788" w:rsidRDefault="002C6E18">
      <w:pPr>
        <w:adjustRightInd w:val="0"/>
        <w:snapToGrid w:val="0"/>
        <w:spacing w:line="360" w:lineRule="auto"/>
        <w:ind w:firstLineChars="200" w:firstLine="480"/>
        <w:rPr>
          <w:bCs/>
          <w:sz w:val="24"/>
        </w:rPr>
      </w:pPr>
      <w:r>
        <w:rPr>
          <w:bCs/>
          <w:sz w:val="24"/>
        </w:rPr>
        <w:t>26</w:t>
      </w:r>
      <w:r>
        <w:rPr>
          <w:bCs/>
          <w:sz w:val="24"/>
        </w:rPr>
        <w:t>）</w:t>
      </w:r>
      <w:r>
        <w:rPr>
          <w:rFonts w:hAnsi="宋体"/>
          <w:bCs/>
          <w:sz w:val="24"/>
          <w:szCs w:val="24"/>
        </w:rPr>
        <w:t>建立并保存基金份额持有人名册；</w:t>
      </w:r>
    </w:p>
    <w:p w:rsidR="00783788" w:rsidRDefault="002C6E18">
      <w:pPr>
        <w:adjustRightInd w:val="0"/>
        <w:snapToGrid w:val="0"/>
        <w:spacing w:line="360" w:lineRule="auto"/>
        <w:ind w:firstLineChars="200" w:firstLine="480"/>
        <w:rPr>
          <w:sz w:val="24"/>
        </w:rPr>
      </w:pPr>
      <w:r>
        <w:rPr>
          <w:bCs/>
          <w:sz w:val="24"/>
        </w:rPr>
        <w:t>27</w:t>
      </w:r>
      <w:r>
        <w:rPr>
          <w:bCs/>
          <w:sz w:val="24"/>
        </w:rPr>
        <w:t>）</w:t>
      </w:r>
      <w:r>
        <w:rPr>
          <w:rFonts w:hAnsi="宋体"/>
          <w:bCs/>
          <w:sz w:val="24"/>
          <w:szCs w:val="24"/>
        </w:rPr>
        <w:t>法律法规及中国证监会规定的和基金合同约定的其他义务。</w:t>
      </w:r>
    </w:p>
    <w:p w:rsidR="00783788" w:rsidRDefault="002C6E18">
      <w:pPr>
        <w:widowControl/>
        <w:adjustRightInd w:val="0"/>
        <w:snapToGrid w:val="0"/>
        <w:spacing w:line="360" w:lineRule="auto"/>
        <w:ind w:firstLineChars="200" w:firstLine="480"/>
        <w:outlineLvl w:val="8"/>
        <w:rPr>
          <w:kern w:val="0"/>
          <w:sz w:val="24"/>
        </w:rPr>
      </w:pPr>
      <w:r>
        <w:rPr>
          <w:kern w:val="0"/>
          <w:sz w:val="24"/>
        </w:rPr>
        <w:t>2</w:t>
      </w:r>
      <w:r>
        <w:rPr>
          <w:rFonts w:hAnsi="宋体"/>
          <w:kern w:val="0"/>
          <w:sz w:val="24"/>
        </w:rPr>
        <w:t>、基金托管人的权利与义务</w:t>
      </w:r>
      <w:r>
        <w:rPr>
          <w:kern w:val="0"/>
          <w:sz w:val="24"/>
        </w:rPr>
        <w:t xml:space="preserve"> </w:t>
      </w:r>
    </w:p>
    <w:p w:rsidR="00783788" w:rsidRDefault="002C6E18">
      <w:pPr>
        <w:adjustRightInd w:val="0"/>
        <w:snapToGrid w:val="0"/>
        <w:spacing w:line="360" w:lineRule="auto"/>
        <w:ind w:firstLineChars="200" w:firstLine="480"/>
        <w:rPr>
          <w:bCs/>
          <w:sz w:val="24"/>
        </w:rPr>
      </w:pPr>
      <w:r>
        <w:rPr>
          <w:bCs/>
          <w:sz w:val="24"/>
        </w:rPr>
        <w:t>（</w:t>
      </w:r>
      <w:r>
        <w:rPr>
          <w:bCs/>
          <w:sz w:val="24"/>
        </w:rPr>
        <w:t>1</w:t>
      </w:r>
      <w:r>
        <w:rPr>
          <w:bCs/>
          <w:sz w:val="24"/>
        </w:rPr>
        <w:t>）根据《基金法》、《运作办法》及其他有关规定，基金托管人的权利包括但不限于：</w:t>
      </w:r>
    </w:p>
    <w:p w:rsidR="00783788" w:rsidRDefault="002C6E18">
      <w:pPr>
        <w:adjustRightInd w:val="0"/>
        <w:snapToGrid w:val="0"/>
        <w:spacing w:line="360" w:lineRule="auto"/>
        <w:ind w:firstLineChars="200" w:firstLine="480"/>
        <w:rPr>
          <w:bCs/>
          <w:sz w:val="24"/>
        </w:rPr>
      </w:pPr>
      <w:r>
        <w:rPr>
          <w:bCs/>
          <w:sz w:val="24"/>
        </w:rPr>
        <w:t>1</w:t>
      </w:r>
      <w:r>
        <w:rPr>
          <w:bCs/>
          <w:sz w:val="24"/>
        </w:rPr>
        <w:t>）</w:t>
      </w:r>
      <w:r>
        <w:rPr>
          <w:rFonts w:hAnsi="宋体"/>
          <w:bCs/>
          <w:sz w:val="24"/>
          <w:szCs w:val="24"/>
        </w:rPr>
        <w:t>自基金合同生效之日起，依法律法规和基金合同的规定安全保管基金财产；</w:t>
      </w:r>
    </w:p>
    <w:p w:rsidR="00783788" w:rsidRDefault="002C6E18">
      <w:pPr>
        <w:adjustRightInd w:val="0"/>
        <w:snapToGrid w:val="0"/>
        <w:spacing w:line="360" w:lineRule="auto"/>
        <w:ind w:firstLineChars="200" w:firstLine="480"/>
        <w:rPr>
          <w:bCs/>
          <w:sz w:val="24"/>
        </w:rPr>
      </w:pPr>
      <w:r>
        <w:rPr>
          <w:bCs/>
          <w:sz w:val="24"/>
        </w:rPr>
        <w:t>2</w:t>
      </w:r>
      <w:r>
        <w:rPr>
          <w:bCs/>
          <w:sz w:val="24"/>
        </w:rPr>
        <w:t>）</w:t>
      </w:r>
      <w:r>
        <w:rPr>
          <w:rFonts w:hAnsi="宋体"/>
          <w:bCs/>
          <w:sz w:val="24"/>
          <w:szCs w:val="24"/>
        </w:rPr>
        <w:t>依基金合同约定获得基金托管费以及法律法规规定或监管部门批准的其他费用；</w:t>
      </w:r>
    </w:p>
    <w:p w:rsidR="00783788" w:rsidRDefault="002C6E18">
      <w:pPr>
        <w:adjustRightInd w:val="0"/>
        <w:snapToGrid w:val="0"/>
        <w:spacing w:line="360" w:lineRule="auto"/>
        <w:ind w:firstLineChars="200" w:firstLine="480"/>
        <w:rPr>
          <w:bCs/>
          <w:sz w:val="24"/>
        </w:rPr>
      </w:pPr>
      <w:r>
        <w:rPr>
          <w:bCs/>
          <w:sz w:val="24"/>
        </w:rPr>
        <w:t>3</w:t>
      </w:r>
      <w:r>
        <w:rPr>
          <w:bCs/>
          <w:sz w:val="24"/>
        </w:rPr>
        <w:t>）</w:t>
      </w:r>
      <w:r>
        <w:rPr>
          <w:rFonts w:hAnsi="宋体"/>
          <w:bCs/>
          <w:sz w:val="24"/>
          <w:szCs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783788" w:rsidRDefault="002C6E18">
      <w:pPr>
        <w:adjustRightInd w:val="0"/>
        <w:snapToGrid w:val="0"/>
        <w:spacing w:line="360" w:lineRule="auto"/>
        <w:ind w:firstLineChars="200" w:firstLine="480"/>
        <w:rPr>
          <w:bCs/>
          <w:sz w:val="24"/>
        </w:rPr>
      </w:pPr>
      <w:r>
        <w:rPr>
          <w:bCs/>
          <w:sz w:val="24"/>
        </w:rPr>
        <w:t>4</w:t>
      </w:r>
      <w:r>
        <w:rPr>
          <w:bCs/>
          <w:sz w:val="24"/>
        </w:rPr>
        <w:t>）</w:t>
      </w:r>
      <w:r>
        <w:rPr>
          <w:rFonts w:hAnsi="宋体"/>
          <w:bCs/>
          <w:sz w:val="24"/>
          <w:szCs w:val="24"/>
        </w:rPr>
        <w:t>根据相关市场规则，为基金开设证券账户、为基金办理证券交易资金清算</w:t>
      </w:r>
      <w:r>
        <w:rPr>
          <w:rFonts w:hAnsi="宋体" w:hint="eastAsia"/>
          <w:bCs/>
          <w:sz w:val="24"/>
          <w:szCs w:val="24"/>
        </w:rPr>
        <w:t>；</w:t>
      </w:r>
    </w:p>
    <w:p w:rsidR="00783788" w:rsidRDefault="002C6E18">
      <w:pPr>
        <w:adjustRightInd w:val="0"/>
        <w:snapToGrid w:val="0"/>
        <w:spacing w:line="360" w:lineRule="auto"/>
        <w:ind w:firstLineChars="200" w:firstLine="480"/>
        <w:rPr>
          <w:bCs/>
          <w:sz w:val="24"/>
        </w:rPr>
      </w:pPr>
      <w:r>
        <w:rPr>
          <w:bCs/>
          <w:sz w:val="24"/>
        </w:rPr>
        <w:t>5</w:t>
      </w:r>
      <w:r>
        <w:rPr>
          <w:bCs/>
          <w:sz w:val="24"/>
        </w:rPr>
        <w:t>）</w:t>
      </w:r>
      <w:r>
        <w:rPr>
          <w:rFonts w:hAnsi="宋体"/>
          <w:bCs/>
          <w:sz w:val="24"/>
          <w:szCs w:val="24"/>
        </w:rPr>
        <w:t>提议召开或召集基金份额持有人大会；</w:t>
      </w:r>
    </w:p>
    <w:p w:rsidR="00783788" w:rsidRDefault="002C6E18">
      <w:pPr>
        <w:adjustRightInd w:val="0"/>
        <w:snapToGrid w:val="0"/>
        <w:spacing w:line="360" w:lineRule="auto"/>
        <w:ind w:firstLineChars="200" w:firstLine="480"/>
        <w:rPr>
          <w:bCs/>
          <w:sz w:val="24"/>
        </w:rPr>
      </w:pPr>
      <w:r>
        <w:rPr>
          <w:bCs/>
          <w:sz w:val="24"/>
        </w:rPr>
        <w:t>6</w:t>
      </w:r>
      <w:r>
        <w:rPr>
          <w:bCs/>
          <w:sz w:val="24"/>
        </w:rPr>
        <w:t>）</w:t>
      </w:r>
      <w:r>
        <w:rPr>
          <w:rFonts w:hAnsi="宋体"/>
          <w:bCs/>
          <w:sz w:val="24"/>
          <w:szCs w:val="24"/>
        </w:rPr>
        <w:t>在基金管理人更换时，提名新的基金管理人；</w:t>
      </w:r>
    </w:p>
    <w:p w:rsidR="00783788" w:rsidRDefault="002C6E18">
      <w:pPr>
        <w:adjustRightInd w:val="0"/>
        <w:snapToGrid w:val="0"/>
        <w:spacing w:line="360" w:lineRule="auto"/>
        <w:ind w:firstLineChars="200" w:firstLine="480"/>
        <w:rPr>
          <w:bCs/>
          <w:sz w:val="24"/>
        </w:rPr>
      </w:pPr>
      <w:r>
        <w:rPr>
          <w:bCs/>
          <w:sz w:val="24"/>
        </w:rPr>
        <w:t>7</w:t>
      </w:r>
      <w:r>
        <w:rPr>
          <w:bCs/>
          <w:sz w:val="24"/>
        </w:rPr>
        <w:t>）</w:t>
      </w:r>
      <w:r>
        <w:rPr>
          <w:rFonts w:hAnsi="宋体"/>
          <w:bCs/>
          <w:sz w:val="24"/>
          <w:szCs w:val="24"/>
        </w:rPr>
        <w:t>法律法规及中国证监会规定的和基金合同约定的其他权利。</w:t>
      </w:r>
    </w:p>
    <w:p w:rsidR="00783788" w:rsidRDefault="002C6E18">
      <w:pPr>
        <w:adjustRightInd w:val="0"/>
        <w:snapToGrid w:val="0"/>
        <w:spacing w:line="360" w:lineRule="auto"/>
        <w:ind w:firstLineChars="200" w:firstLine="480"/>
        <w:rPr>
          <w:bCs/>
          <w:sz w:val="24"/>
        </w:rPr>
      </w:pPr>
      <w:r>
        <w:rPr>
          <w:bCs/>
          <w:sz w:val="24"/>
        </w:rPr>
        <w:t>（</w:t>
      </w:r>
      <w:r>
        <w:rPr>
          <w:bCs/>
          <w:sz w:val="24"/>
        </w:rPr>
        <w:t>2</w:t>
      </w:r>
      <w:r>
        <w:rPr>
          <w:bCs/>
          <w:sz w:val="24"/>
        </w:rPr>
        <w:t>）根据《基金法》、《运作办法》及其他有关规定，基金托管人的义务包括但不限于：</w:t>
      </w:r>
    </w:p>
    <w:p w:rsidR="00783788" w:rsidRDefault="002C6E18">
      <w:pPr>
        <w:adjustRightInd w:val="0"/>
        <w:snapToGrid w:val="0"/>
        <w:spacing w:line="360" w:lineRule="auto"/>
        <w:ind w:firstLineChars="200" w:firstLine="480"/>
        <w:rPr>
          <w:bCs/>
          <w:sz w:val="24"/>
        </w:rPr>
      </w:pPr>
      <w:r>
        <w:rPr>
          <w:bCs/>
          <w:sz w:val="24"/>
        </w:rPr>
        <w:t>1</w:t>
      </w:r>
      <w:r>
        <w:rPr>
          <w:bCs/>
          <w:sz w:val="24"/>
        </w:rPr>
        <w:t>）</w:t>
      </w:r>
      <w:r>
        <w:rPr>
          <w:rFonts w:hAnsi="宋体"/>
          <w:bCs/>
          <w:sz w:val="24"/>
          <w:szCs w:val="24"/>
        </w:rPr>
        <w:t>以诚实信用、勤勉尽责的原则持有并安全保管基金财产；</w:t>
      </w:r>
    </w:p>
    <w:p w:rsidR="00783788" w:rsidRDefault="002C6E18">
      <w:pPr>
        <w:adjustRightInd w:val="0"/>
        <w:snapToGrid w:val="0"/>
        <w:spacing w:line="360" w:lineRule="auto"/>
        <w:ind w:firstLineChars="200" w:firstLine="480"/>
        <w:rPr>
          <w:bCs/>
          <w:sz w:val="24"/>
        </w:rPr>
      </w:pPr>
      <w:r>
        <w:rPr>
          <w:bCs/>
          <w:sz w:val="24"/>
        </w:rPr>
        <w:t>2</w:t>
      </w:r>
      <w:r>
        <w:rPr>
          <w:bCs/>
          <w:sz w:val="24"/>
        </w:rPr>
        <w:t>）</w:t>
      </w:r>
      <w:r>
        <w:rPr>
          <w:rFonts w:hAnsi="宋体"/>
          <w:bCs/>
          <w:sz w:val="24"/>
          <w:szCs w:val="24"/>
        </w:rPr>
        <w:t>设立专门的基金托管部门，具有符合要求的营业场所，配备足够的、合格的熟悉基金托管业务的专职人员，负责基金财产托管事宜；</w:t>
      </w:r>
    </w:p>
    <w:p w:rsidR="00783788" w:rsidRDefault="002C6E18">
      <w:pPr>
        <w:adjustRightInd w:val="0"/>
        <w:snapToGrid w:val="0"/>
        <w:spacing w:line="360" w:lineRule="auto"/>
        <w:ind w:firstLineChars="200" w:firstLine="480"/>
        <w:rPr>
          <w:bCs/>
          <w:sz w:val="24"/>
        </w:rPr>
      </w:pPr>
      <w:r>
        <w:rPr>
          <w:bCs/>
          <w:sz w:val="24"/>
        </w:rPr>
        <w:t>3</w:t>
      </w:r>
      <w:r>
        <w:rPr>
          <w:bCs/>
          <w:sz w:val="24"/>
        </w:rPr>
        <w:t>）</w:t>
      </w:r>
      <w:r>
        <w:rPr>
          <w:rFonts w:hAnsi="宋体"/>
          <w:bCs/>
          <w:sz w:val="24"/>
          <w:szCs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783788" w:rsidRDefault="002C6E18">
      <w:pPr>
        <w:adjustRightInd w:val="0"/>
        <w:snapToGrid w:val="0"/>
        <w:spacing w:line="360" w:lineRule="auto"/>
        <w:ind w:firstLineChars="200" w:firstLine="480"/>
        <w:rPr>
          <w:bCs/>
          <w:sz w:val="24"/>
        </w:rPr>
      </w:pPr>
      <w:r>
        <w:rPr>
          <w:bCs/>
          <w:sz w:val="24"/>
        </w:rPr>
        <w:t>4</w:t>
      </w:r>
      <w:r>
        <w:rPr>
          <w:bCs/>
          <w:sz w:val="24"/>
        </w:rPr>
        <w:t>）</w:t>
      </w:r>
      <w:r>
        <w:rPr>
          <w:rFonts w:hAnsi="宋体"/>
          <w:bCs/>
          <w:sz w:val="24"/>
          <w:szCs w:val="24"/>
        </w:rPr>
        <w:t>除依据《基金法》、基金合同及其他有关规定外，不得利用基金财产为自己及任何第三人谋取利益，不得委托第三人托管基金财产；</w:t>
      </w:r>
    </w:p>
    <w:p w:rsidR="00783788" w:rsidRDefault="002C6E18">
      <w:pPr>
        <w:adjustRightInd w:val="0"/>
        <w:snapToGrid w:val="0"/>
        <w:spacing w:line="360" w:lineRule="auto"/>
        <w:ind w:firstLineChars="200" w:firstLine="480"/>
        <w:rPr>
          <w:bCs/>
          <w:sz w:val="24"/>
        </w:rPr>
      </w:pPr>
      <w:r>
        <w:rPr>
          <w:bCs/>
          <w:sz w:val="24"/>
        </w:rPr>
        <w:t>5</w:t>
      </w:r>
      <w:r>
        <w:rPr>
          <w:bCs/>
          <w:sz w:val="24"/>
        </w:rPr>
        <w:t>）</w:t>
      </w:r>
      <w:r>
        <w:rPr>
          <w:rFonts w:hAnsi="宋体"/>
          <w:bCs/>
          <w:sz w:val="24"/>
          <w:szCs w:val="24"/>
        </w:rPr>
        <w:t>保管由基金管理人代表基金签订的与基金有关的重大合同及有关凭证；</w:t>
      </w:r>
    </w:p>
    <w:p w:rsidR="00783788" w:rsidRDefault="002C6E18">
      <w:pPr>
        <w:adjustRightInd w:val="0"/>
        <w:snapToGrid w:val="0"/>
        <w:spacing w:line="360" w:lineRule="auto"/>
        <w:ind w:firstLineChars="200" w:firstLine="480"/>
        <w:rPr>
          <w:bCs/>
          <w:sz w:val="24"/>
        </w:rPr>
      </w:pPr>
      <w:r>
        <w:rPr>
          <w:bCs/>
          <w:sz w:val="24"/>
        </w:rPr>
        <w:t>6</w:t>
      </w:r>
      <w:r>
        <w:rPr>
          <w:bCs/>
          <w:sz w:val="24"/>
        </w:rPr>
        <w:t>）</w:t>
      </w:r>
      <w:r>
        <w:rPr>
          <w:rFonts w:hAnsi="宋体"/>
          <w:bCs/>
          <w:sz w:val="24"/>
          <w:szCs w:val="24"/>
        </w:rPr>
        <w:t>按规定开设基金财产的资金账户和证券账户</w:t>
      </w:r>
      <w:r>
        <w:rPr>
          <w:bCs/>
          <w:sz w:val="24"/>
          <w:szCs w:val="24"/>
        </w:rPr>
        <w:t>,</w:t>
      </w:r>
      <w:r>
        <w:rPr>
          <w:rFonts w:hAnsi="宋体"/>
          <w:bCs/>
          <w:sz w:val="24"/>
          <w:szCs w:val="24"/>
        </w:rPr>
        <w:t>按照基金合同的约定，根据基金管理人的投资指令，及时办理清算、交割事宜；</w:t>
      </w:r>
    </w:p>
    <w:p w:rsidR="00783788" w:rsidRDefault="002C6E18">
      <w:pPr>
        <w:adjustRightInd w:val="0"/>
        <w:snapToGrid w:val="0"/>
        <w:spacing w:line="360" w:lineRule="auto"/>
        <w:ind w:firstLineChars="200" w:firstLine="480"/>
        <w:rPr>
          <w:bCs/>
          <w:sz w:val="24"/>
        </w:rPr>
      </w:pPr>
      <w:r>
        <w:rPr>
          <w:bCs/>
          <w:sz w:val="24"/>
        </w:rPr>
        <w:t>7</w:t>
      </w:r>
      <w:r>
        <w:rPr>
          <w:bCs/>
          <w:sz w:val="24"/>
        </w:rPr>
        <w:t>）</w:t>
      </w:r>
      <w:r>
        <w:rPr>
          <w:rFonts w:hAnsi="宋体"/>
          <w:bCs/>
          <w:sz w:val="24"/>
          <w:szCs w:val="24"/>
        </w:rPr>
        <w:t>保守基金商业秘密，除《基金法》、基金合同及其他有关规定另有规定外，在基金信息公开披露前予以保密，不得向他人泄露；</w:t>
      </w:r>
    </w:p>
    <w:p w:rsidR="00783788" w:rsidRDefault="002C6E18">
      <w:pPr>
        <w:adjustRightInd w:val="0"/>
        <w:snapToGrid w:val="0"/>
        <w:spacing w:line="360" w:lineRule="auto"/>
        <w:ind w:firstLineChars="200" w:firstLine="480"/>
        <w:rPr>
          <w:bCs/>
          <w:sz w:val="24"/>
        </w:rPr>
      </w:pPr>
      <w:r>
        <w:rPr>
          <w:bCs/>
          <w:sz w:val="24"/>
        </w:rPr>
        <w:t>8</w:t>
      </w:r>
      <w:r>
        <w:rPr>
          <w:bCs/>
          <w:sz w:val="24"/>
        </w:rPr>
        <w:t>）</w:t>
      </w:r>
      <w:r>
        <w:rPr>
          <w:rFonts w:hAnsi="宋体"/>
          <w:bCs/>
          <w:sz w:val="24"/>
          <w:szCs w:val="24"/>
        </w:rPr>
        <w:t>复核、审查基金管理人计算的基金资产净值、基金份额申购、赎回价格、基金业绩数据等；</w:t>
      </w:r>
    </w:p>
    <w:p w:rsidR="00783788" w:rsidRDefault="002C6E18">
      <w:pPr>
        <w:adjustRightInd w:val="0"/>
        <w:snapToGrid w:val="0"/>
        <w:spacing w:line="360" w:lineRule="auto"/>
        <w:ind w:firstLineChars="200" w:firstLine="480"/>
        <w:rPr>
          <w:bCs/>
          <w:sz w:val="24"/>
        </w:rPr>
      </w:pPr>
      <w:r>
        <w:rPr>
          <w:bCs/>
          <w:sz w:val="24"/>
        </w:rPr>
        <w:t>9</w:t>
      </w:r>
      <w:r>
        <w:rPr>
          <w:bCs/>
          <w:sz w:val="24"/>
        </w:rPr>
        <w:t>）</w:t>
      </w:r>
      <w:r>
        <w:rPr>
          <w:rFonts w:hAnsi="宋体"/>
          <w:bCs/>
          <w:sz w:val="24"/>
          <w:szCs w:val="24"/>
        </w:rPr>
        <w:t>办理与基金托管业务活动有关的信息披露事项；</w:t>
      </w:r>
    </w:p>
    <w:p w:rsidR="00783788" w:rsidRDefault="002C6E18">
      <w:pPr>
        <w:adjustRightInd w:val="0"/>
        <w:snapToGrid w:val="0"/>
        <w:spacing w:line="360" w:lineRule="auto"/>
        <w:ind w:firstLineChars="200" w:firstLine="480"/>
        <w:rPr>
          <w:bCs/>
          <w:sz w:val="24"/>
        </w:rPr>
      </w:pPr>
      <w:r>
        <w:rPr>
          <w:bCs/>
          <w:sz w:val="24"/>
        </w:rPr>
        <w:t>10</w:t>
      </w:r>
      <w:r>
        <w:rPr>
          <w:bCs/>
          <w:sz w:val="24"/>
        </w:rPr>
        <w:t>）</w:t>
      </w:r>
      <w:r>
        <w:rPr>
          <w:rFonts w:hAnsi="宋体"/>
          <w:bCs/>
          <w:sz w:val="24"/>
          <w:szCs w:val="24"/>
        </w:rPr>
        <w:t>对基金财务会计报告、季度、半年度和年度基金报告出具意见，说明基金管理人在各重要方面的运作是否严格按照基金合同的规定进行；如果基金管理人有未执行基金合同规定的行为，还应当说明基金托管人是否采取了适当的措施；</w:t>
      </w:r>
    </w:p>
    <w:p w:rsidR="00783788" w:rsidRDefault="002C6E18">
      <w:pPr>
        <w:adjustRightInd w:val="0"/>
        <w:snapToGrid w:val="0"/>
        <w:spacing w:line="360" w:lineRule="auto"/>
        <w:ind w:firstLineChars="200" w:firstLine="480"/>
        <w:rPr>
          <w:bCs/>
          <w:sz w:val="24"/>
        </w:rPr>
      </w:pPr>
      <w:r>
        <w:rPr>
          <w:bCs/>
          <w:sz w:val="24"/>
        </w:rPr>
        <w:t>11</w:t>
      </w:r>
      <w:r>
        <w:rPr>
          <w:bCs/>
          <w:sz w:val="24"/>
        </w:rPr>
        <w:t>）</w:t>
      </w:r>
      <w:r>
        <w:rPr>
          <w:rFonts w:hAnsi="宋体"/>
          <w:bCs/>
          <w:sz w:val="24"/>
          <w:szCs w:val="24"/>
        </w:rPr>
        <w:t>保存基金托管业务活动的记录、账册、报表和其他相关资料</w:t>
      </w:r>
      <w:r>
        <w:rPr>
          <w:sz w:val="24"/>
          <w:szCs w:val="24"/>
        </w:rPr>
        <w:t>15</w:t>
      </w:r>
      <w:r>
        <w:rPr>
          <w:rFonts w:hAnsi="宋体"/>
          <w:bCs/>
          <w:sz w:val="24"/>
          <w:szCs w:val="24"/>
        </w:rPr>
        <w:t>年以上；</w:t>
      </w:r>
    </w:p>
    <w:p w:rsidR="00783788" w:rsidRDefault="002C6E18">
      <w:pPr>
        <w:adjustRightInd w:val="0"/>
        <w:snapToGrid w:val="0"/>
        <w:spacing w:line="360" w:lineRule="auto"/>
        <w:ind w:firstLineChars="200" w:firstLine="480"/>
        <w:rPr>
          <w:bCs/>
          <w:sz w:val="24"/>
        </w:rPr>
      </w:pPr>
      <w:r>
        <w:rPr>
          <w:bCs/>
          <w:sz w:val="24"/>
        </w:rPr>
        <w:t>12</w:t>
      </w:r>
      <w:r>
        <w:rPr>
          <w:bCs/>
          <w:sz w:val="24"/>
        </w:rPr>
        <w:t>）</w:t>
      </w:r>
      <w:r>
        <w:rPr>
          <w:rFonts w:hAnsi="宋体"/>
          <w:bCs/>
          <w:sz w:val="24"/>
          <w:szCs w:val="24"/>
        </w:rPr>
        <w:t>建立并保存基金份额持有人名册；</w:t>
      </w:r>
    </w:p>
    <w:p w:rsidR="00783788" w:rsidRDefault="002C6E18">
      <w:pPr>
        <w:adjustRightInd w:val="0"/>
        <w:snapToGrid w:val="0"/>
        <w:spacing w:line="360" w:lineRule="auto"/>
        <w:ind w:firstLineChars="200" w:firstLine="480"/>
        <w:rPr>
          <w:bCs/>
          <w:sz w:val="24"/>
        </w:rPr>
      </w:pPr>
      <w:r>
        <w:rPr>
          <w:bCs/>
          <w:sz w:val="24"/>
        </w:rPr>
        <w:t>13</w:t>
      </w:r>
      <w:r>
        <w:rPr>
          <w:bCs/>
          <w:sz w:val="24"/>
        </w:rPr>
        <w:t>）</w:t>
      </w:r>
      <w:r>
        <w:rPr>
          <w:rFonts w:hAnsi="宋体"/>
          <w:bCs/>
          <w:sz w:val="24"/>
          <w:szCs w:val="24"/>
        </w:rPr>
        <w:t>按规定制作相关账册并与基金管理人核对；</w:t>
      </w:r>
    </w:p>
    <w:p w:rsidR="00783788" w:rsidRDefault="002C6E18">
      <w:pPr>
        <w:adjustRightInd w:val="0"/>
        <w:snapToGrid w:val="0"/>
        <w:spacing w:line="360" w:lineRule="auto"/>
        <w:ind w:firstLineChars="200" w:firstLine="480"/>
        <w:rPr>
          <w:bCs/>
          <w:sz w:val="24"/>
        </w:rPr>
      </w:pPr>
      <w:r>
        <w:rPr>
          <w:bCs/>
          <w:sz w:val="24"/>
        </w:rPr>
        <w:t>14</w:t>
      </w:r>
      <w:r>
        <w:rPr>
          <w:bCs/>
          <w:sz w:val="24"/>
        </w:rPr>
        <w:t>）</w:t>
      </w:r>
      <w:r>
        <w:rPr>
          <w:rFonts w:hAnsi="宋体"/>
          <w:bCs/>
          <w:sz w:val="24"/>
          <w:szCs w:val="24"/>
        </w:rPr>
        <w:t>依据基金管理人的指令或有关规定向基金份额持有人支付基金收益和赎回款项；</w:t>
      </w:r>
    </w:p>
    <w:p w:rsidR="00783788" w:rsidRDefault="002C6E18">
      <w:pPr>
        <w:adjustRightInd w:val="0"/>
        <w:snapToGrid w:val="0"/>
        <w:spacing w:line="360" w:lineRule="auto"/>
        <w:ind w:firstLineChars="200" w:firstLine="480"/>
        <w:rPr>
          <w:bCs/>
          <w:sz w:val="24"/>
        </w:rPr>
      </w:pPr>
      <w:r>
        <w:rPr>
          <w:bCs/>
          <w:sz w:val="24"/>
        </w:rPr>
        <w:t>15</w:t>
      </w:r>
      <w:r>
        <w:rPr>
          <w:bCs/>
          <w:sz w:val="24"/>
        </w:rPr>
        <w:t>）</w:t>
      </w:r>
      <w:r>
        <w:rPr>
          <w:rFonts w:hAnsi="宋体"/>
          <w:bCs/>
          <w:sz w:val="24"/>
          <w:szCs w:val="24"/>
        </w:rPr>
        <w:t>依据《基金法》、基金合同及其他有关规定，召集基金份额持有人大会或配合基金管理人、基金份额持有人依法召集基金份额持有人大会；</w:t>
      </w:r>
    </w:p>
    <w:p w:rsidR="00783788" w:rsidRDefault="002C6E18">
      <w:pPr>
        <w:adjustRightInd w:val="0"/>
        <w:snapToGrid w:val="0"/>
        <w:spacing w:line="360" w:lineRule="auto"/>
        <w:ind w:firstLineChars="200" w:firstLine="480"/>
        <w:rPr>
          <w:bCs/>
          <w:sz w:val="24"/>
        </w:rPr>
      </w:pPr>
      <w:r>
        <w:rPr>
          <w:bCs/>
          <w:sz w:val="24"/>
        </w:rPr>
        <w:t>16</w:t>
      </w:r>
      <w:r>
        <w:rPr>
          <w:bCs/>
          <w:sz w:val="24"/>
        </w:rPr>
        <w:t>）</w:t>
      </w:r>
      <w:r>
        <w:rPr>
          <w:rFonts w:hAnsi="宋体"/>
          <w:bCs/>
          <w:sz w:val="24"/>
          <w:szCs w:val="24"/>
        </w:rPr>
        <w:t>按照法律法规和基金合同的规定监督基金管理人的投资运作；</w:t>
      </w:r>
    </w:p>
    <w:p w:rsidR="00783788" w:rsidRDefault="002C6E18">
      <w:pPr>
        <w:adjustRightInd w:val="0"/>
        <w:snapToGrid w:val="0"/>
        <w:spacing w:line="360" w:lineRule="auto"/>
        <w:ind w:firstLineChars="200" w:firstLine="480"/>
        <w:rPr>
          <w:bCs/>
          <w:sz w:val="24"/>
        </w:rPr>
      </w:pPr>
      <w:r>
        <w:rPr>
          <w:bCs/>
          <w:sz w:val="24"/>
        </w:rPr>
        <w:t>17</w:t>
      </w:r>
      <w:r>
        <w:rPr>
          <w:bCs/>
          <w:sz w:val="24"/>
        </w:rPr>
        <w:t>）</w:t>
      </w:r>
      <w:r>
        <w:rPr>
          <w:rFonts w:hAnsi="宋体"/>
          <w:bCs/>
          <w:sz w:val="24"/>
          <w:szCs w:val="24"/>
        </w:rPr>
        <w:t>参加基金财产清算小组，参与基金财产的保管、清理、估价、变现和分配；</w:t>
      </w:r>
    </w:p>
    <w:p w:rsidR="00783788" w:rsidRDefault="002C6E18">
      <w:pPr>
        <w:adjustRightInd w:val="0"/>
        <w:snapToGrid w:val="0"/>
        <w:spacing w:line="360" w:lineRule="auto"/>
        <w:ind w:firstLineChars="200" w:firstLine="480"/>
        <w:rPr>
          <w:bCs/>
          <w:sz w:val="24"/>
        </w:rPr>
      </w:pPr>
      <w:r>
        <w:rPr>
          <w:bCs/>
          <w:sz w:val="24"/>
        </w:rPr>
        <w:t>18</w:t>
      </w:r>
      <w:r>
        <w:rPr>
          <w:bCs/>
          <w:sz w:val="24"/>
        </w:rPr>
        <w:t>）</w:t>
      </w:r>
      <w:r>
        <w:rPr>
          <w:rFonts w:hAnsi="宋体"/>
          <w:bCs/>
          <w:sz w:val="24"/>
          <w:szCs w:val="24"/>
        </w:rPr>
        <w:t>面临解散、依法被撤销或者被依法宣告破产时，及时报告中国证监会和银行业监督管理机构，并通知基金管理人；</w:t>
      </w:r>
    </w:p>
    <w:p w:rsidR="00783788" w:rsidRDefault="002C6E18">
      <w:pPr>
        <w:adjustRightInd w:val="0"/>
        <w:snapToGrid w:val="0"/>
        <w:spacing w:line="360" w:lineRule="auto"/>
        <w:ind w:firstLineChars="200" w:firstLine="480"/>
        <w:rPr>
          <w:bCs/>
          <w:sz w:val="24"/>
        </w:rPr>
      </w:pPr>
      <w:r>
        <w:rPr>
          <w:bCs/>
          <w:sz w:val="24"/>
        </w:rPr>
        <w:t>19</w:t>
      </w:r>
      <w:r>
        <w:rPr>
          <w:bCs/>
          <w:sz w:val="24"/>
        </w:rPr>
        <w:t>）</w:t>
      </w:r>
      <w:r>
        <w:rPr>
          <w:rFonts w:hAnsi="宋体"/>
          <w:bCs/>
          <w:sz w:val="24"/>
          <w:szCs w:val="24"/>
        </w:rPr>
        <w:t>因违反基金合同导致基金财产损失时，应承担赔偿责任，其赔偿责任不因其退任而免除；</w:t>
      </w:r>
    </w:p>
    <w:p w:rsidR="00783788" w:rsidRDefault="002C6E18">
      <w:pPr>
        <w:adjustRightInd w:val="0"/>
        <w:snapToGrid w:val="0"/>
        <w:spacing w:line="360" w:lineRule="auto"/>
        <w:ind w:firstLineChars="200" w:firstLine="480"/>
        <w:rPr>
          <w:bCs/>
          <w:sz w:val="24"/>
        </w:rPr>
      </w:pPr>
      <w:r>
        <w:rPr>
          <w:bCs/>
          <w:sz w:val="24"/>
        </w:rPr>
        <w:t>20</w:t>
      </w:r>
      <w:r>
        <w:rPr>
          <w:bCs/>
          <w:sz w:val="24"/>
        </w:rPr>
        <w:t>）</w:t>
      </w:r>
      <w:r>
        <w:rPr>
          <w:rFonts w:hAnsi="宋体"/>
          <w:bCs/>
          <w:sz w:val="24"/>
          <w:szCs w:val="24"/>
        </w:rPr>
        <w:t>按规定监督基金管理人按法律法规和基金合同规定履行自己的义务，基金管理人因违反基金合同造成基金财产损失时，应为基金份额持有人利益向基金管理人追偿；</w:t>
      </w:r>
    </w:p>
    <w:p w:rsidR="00783788" w:rsidRDefault="002C6E18">
      <w:pPr>
        <w:adjustRightInd w:val="0"/>
        <w:snapToGrid w:val="0"/>
        <w:spacing w:line="360" w:lineRule="auto"/>
        <w:ind w:firstLineChars="200" w:firstLine="480"/>
        <w:rPr>
          <w:bCs/>
          <w:sz w:val="24"/>
        </w:rPr>
      </w:pPr>
      <w:r>
        <w:rPr>
          <w:bCs/>
          <w:sz w:val="24"/>
        </w:rPr>
        <w:t>21</w:t>
      </w:r>
      <w:r>
        <w:rPr>
          <w:bCs/>
          <w:sz w:val="24"/>
        </w:rPr>
        <w:t>）</w:t>
      </w:r>
      <w:r>
        <w:rPr>
          <w:rFonts w:hAnsi="宋体"/>
          <w:bCs/>
          <w:sz w:val="24"/>
          <w:szCs w:val="24"/>
        </w:rPr>
        <w:t>执行生效的基金份额持有人大会的决定；</w:t>
      </w:r>
    </w:p>
    <w:p w:rsidR="00783788" w:rsidRDefault="002C6E18">
      <w:pPr>
        <w:adjustRightInd w:val="0"/>
        <w:snapToGrid w:val="0"/>
        <w:spacing w:line="360" w:lineRule="auto"/>
        <w:ind w:firstLineChars="200" w:firstLine="480"/>
        <w:rPr>
          <w:sz w:val="24"/>
        </w:rPr>
      </w:pPr>
      <w:r>
        <w:rPr>
          <w:bCs/>
          <w:sz w:val="24"/>
        </w:rPr>
        <w:t>22</w:t>
      </w:r>
      <w:r>
        <w:rPr>
          <w:bCs/>
          <w:sz w:val="24"/>
        </w:rPr>
        <w:t>）</w:t>
      </w:r>
      <w:r>
        <w:rPr>
          <w:rFonts w:hAnsi="宋体"/>
          <w:bCs/>
          <w:sz w:val="24"/>
          <w:szCs w:val="24"/>
        </w:rPr>
        <w:t>法律法规及中国证监会规定的和基金合同约定的其他义务。</w:t>
      </w:r>
    </w:p>
    <w:p w:rsidR="00783788" w:rsidRDefault="002C6E18">
      <w:pPr>
        <w:adjustRightInd w:val="0"/>
        <w:snapToGrid w:val="0"/>
        <w:spacing w:line="360" w:lineRule="auto"/>
        <w:ind w:firstLineChars="200" w:firstLine="480"/>
        <w:rPr>
          <w:kern w:val="0"/>
          <w:sz w:val="24"/>
        </w:rPr>
      </w:pPr>
      <w:r>
        <w:rPr>
          <w:kern w:val="0"/>
          <w:sz w:val="24"/>
        </w:rPr>
        <w:t>3</w:t>
      </w:r>
      <w:r>
        <w:rPr>
          <w:kern w:val="0"/>
          <w:sz w:val="24"/>
        </w:rPr>
        <w:t>、基金份额持有人的权利与义务</w:t>
      </w:r>
      <w:r>
        <w:rPr>
          <w:kern w:val="0"/>
          <w:sz w:val="24"/>
        </w:rPr>
        <w:t xml:space="preserve"> </w:t>
      </w:r>
    </w:p>
    <w:p w:rsidR="00783788" w:rsidRDefault="002C6E18">
      <w:pPr>
        <w:adjustRightInd w:val="0"/>
        <w:snapToGrid w:val="0"/>
        <w:spacing w:line="360" w:lineRule="auto"/>
        <w:ind w:firstLineChars="200" w:firstLine="480"/>
        <w:rPr>
          <w:bCs/>
          <w:sz w:val="24"/>
          <w:szCs w:val="24"/>
        </w:rPr>
      </w:pPr>
      <w:r>
        <w:rPr>
          <w:rFonts w:hAnsi="宋体"/>
          <w:bCs/>
          <w:sz w:val="24"/>
          <w:szCs w:val="24"/>
        </w:rPr>
        <w:t>基金投资者持有本基金</w:t>
      </w:r>
      <w:bookmarkStart w:id="102" w:name="_Hlt88899909"/>
      <w:bookmarkEnd w:id="102"/>
      <w:r>
        <w:rPr>
          <w:rFonts w:hAnsi="宋体"/>
          <w:bCs/>
          <w:sz w:val="24"/>
          <w:szCs w:val="24"/>
        </w:rPr>
        <w:t>基金份额的行为即视为对基金合同的承认和接受，基金投资者自依据基金合同取得本基金的基金份额，即成为本基金份额持有人和基金合同的当事人，直至其不再持有本基金的基金份额。基金份额持有人作为基金合同当事人并不以在基金合同上书面签章或签字为必要条件。</w:t>
      </w:r>
    </w:p>
    <w:p w:rsidR="00783788" w:rsidRDefault="002C6E18">
      <w:pPr>
        <w:widowControl/>
        <w:adjustRightInd w:val="0"/>
        <w:snapToGrid w:val="0"/>
        <w:spacing w:line="360" w:lineRule="auto"/>
        <w:ind w:firstLineChars="200" w:firstLine="480"/>
        <w:outlineLvl w:val="8"/>
        <w:rPr>
          <w:bCs/>
          <w:sz w:val="24"/>
        </w:rPr>
      </w:pPr>
      <w:r>
        <w:rPr>
          <w:bCs/>
          <w:sz w:val="24"/>
        </w:rPr>
        <w:t>每份基金份额具有同等的合法权益。</w:t>
      </w:r>
    </w:p>
    <w:p w:rsidR="00783788" w:rsidRDefault="002C6E18">
      <w:pPr>
        <w:widowControl/>
        <w:adjustRightInd w:val="0"/>
        <w:snapToGrid w:val="0"/>
        <w:spacing w:line="360" w:lineRule="auto"/>
        <w:ind w:firstLineChars="200" w:firstLine="480"/>
        <w:outlineLvl w:val="8"/>
        <w:rPr>
          <w:bCs/>
          <w:sz w:val="24"/>
        </w:rPr>
      </w:pPr>
      <w:r>
        <w:rPr>
          <w:bCs/>
          <w:sz w:val="24"/>
        </w:rPr>
        <w:t>（</w:t>
      </w:r>
      <w:r>
        <w:rPr>
          <w:bCs/>
          <w:sz w:val="24"/>
        </w:rPr>
        <w:t>1</w:t>
      </w:r>
      <w:r>
        <w:rPr>
          <w:bCs/>
          <w:sz w:val="24"/>
        </w:rPr>
        <w:t>）根据《基金法》、《运作办法》</w:t>
      </w:r>
      <w:bookmarkStart w:id="103" w:name="_Hlt88825668"/>
      <w:bookmarkEnd w:id="103"/>
      <w:r>
        <w:rPr>
          <w:bCs/>
          <w:sz w:val="24"/>
        </w:rPr>
        <w:t>及其他有关规定，基金份额持有人的权利包括但不限于：</w:t>
      </w:r>
    </w:p>
    <w:p w:rsidR="00783788" w:rsidRDefault="002C6E18">
      <w:pPr>
        <w:adjustRightInd w:val="0"/>
        <w:snapToGrid w:val="0"/>
        <w:spacing w:line="360" w:lineRule="auto"/>
        <w:ind w:firstLineChars="200" w:firstLine="480"/>
        <w:rPr>
          <w:bCs/>
          <w:sz w:val="24"/>
        </w:rPr>
      </w:pPr>
      <w:r>
        <w:rPr>
          <w:bCs/>
          <w:sz w:val="24"/>
        </w:rPr>
        <w:t>1</w:t>
      </w:r>
      <w:r>
        <w:rPr>
          <w:bCs/>
          <w:sz w:val="24"/>
        </w:rPr>
        <w:t>）</w:t>
      </w:r>
      <w:r>
        <w:rPr>
          <w:rFonts w:hAnsi="宋体"/>
          <w:bCs/>
          <w:sz w:val="24"/>
          <w:szCs w:val="24"/>
        </w:rPr>
        <w:t>分享基金财产收益；</w:t>
      </w:r>
    </w:p>
    <w:p w:rsidR="00783788" w:rsidRDefault="002C6E18">
      <w:pPr>
        <w:adjustRightInd w:val="0"/>
        <w:snapToGrid w:val="0"/>
        <w:spacing w:line="360" w:lineRule="auto"/>
        <w:ind w:firstLineChars="200" w:firstLine="480"/>
        <w:rPr>
          <w:bCs/>
          <w:sz w:val="24"/>
        </w:rPr>
      </w:pPr>
      <w:r>
        <w:rPr>
          <w:bCs/>
          <w:sz w:val="24"/>
        </w:rPr>
        <w:t>2</w:t>
      </w:r>
      <w:r>
        <w:rPr>
          <w:bCs/>
          <w:sz w:val="24"/>
        </w:rPr>
        <w:t>）</w:t>
      </w:r>
      <w:r>
        <w:rPr>
          <w:rFonts w:hAnsi="宋体"/>
          <w:bCs/>
          <w:sz w:val="24"/>
          <w:szCs w:val="24"/>
        </w:rPr>
        <w:t>参与分配清算后的剩余基金财产；</w:t>
      </w:r>
    </w:p>
    <w:p w:rsidR="00783788" w:rsidRDefault="002C6E18">
      <w:pPr>
        <w:adjustRightInd w:val="0"/>
        <w:snapToGrid w:val="0"/>
        <w:spacing w:line="360" w:lineRule="auto"/>
        <w:ind w:firstLineChars="200" w:firstLine="480"/>
        <w:rPr>
          <w:bCs/>
          <w:sz w:val="24"/>
        </w:rPr>
      </w:pPr>
      <w:r>
        <w:rPr>
          <w:bCs/>
          <w:sz w:val="24"/>
        </w:rPr>
        <w:t>3</w:t>
      </w:r>
      <w:r>
        <w:rPr>
          <w:bCs/>
          <w:sz w:val="24"/>
        </w:rPr>
        <w:t>）</w:t>
      </w:r>
      <w:r>
        <w:rPr>
          <w:rFonts w:hAnsi="宋体"/>
          <w:bCs/>
          <w:sz w:val="24"/>
          <w:szCs w:val="24"/>
        </w:rPr>
        <w:t>依法申请赎回其持有的基金份额；</w:t>
      </w:r>
    </w:p>
    <w:p w:rsidR="00783788" w:rsidRDefault="002C6E18">
      <w:pPr>
        <w:adjustRightInd w:val="0"/>
        <w:snapToGrid w:val="0"/>
        <w:spacing w:line="360" w:lineRule="auto"/>
        <w:ind w:firstLineChars="200" w:firstLine="480"/>
        <w:rPr>
          <w:bCs/>
          <w:sz w:val="24"/>
        </w:rPr>
      </w:pPr>
      <w:r>
        <w:rPr>
          <w:bCs/>
          <w:sz w:val="24"/>
        </w:rPr>
        <w:t>4</w:t>
      </w:r>
      <w:r>
        <w:rPr>
          <w:bCs/>
          <w:sz w:val="24"/>
        </w:rPr>
        <w:t>）</w:t>
      </w:r>
      <w:r>
        <w:rPr>
          <w:rFonts w:hAnsi="宋体"/>
          <w:bCs/>
          <w:sz w:val="24"/>
          <w:szCs w:val="24"/>
        </w:rPr>
        <w:t>按照规定要求召开基金份额持有人大会；</w:t>
      </w:r>
    </w:p>
    <w:p w:rsidR="00783788" w:rsidRDefault="002C6E18">
      <w:pPr>
        <w:adjustRightInd w:val="0"/>
        <w:snapToGrid w:val="0"/>
        <w:spacing w:line="360" w:lineRule="auto"/>
        <w:ind w:firstLineChars="200" w:firstLine="480"/>
        <w:rPr>
          <w:bCs/>
          <w:sz w:val="24"/>
        </w:rPr>
      </w:pPr>
      <w:r>
        <w:rPr>
          <w:bCs/>
          <w:sz w:val="24"/>
        </w:rPr>
        <w:t>5</w:t>
      </w:r>
      <w:r>
        <w:rPr>
          <w:bCs/>
          <w:sz w:val="24"/>
        </w:rPr>
        <w:t>）</w:t>
      </w:r>
      <w:r>
        <w:rPr>
          <w:rFonts w:hAnsi="宋体"/>
          <w:bCs/>
          <w:sz w:val="24"/>
          <w:szCs w:val="24"/>
        </w:rPr>
        <w:t>出席或者委派代表出席基金份额持有人大会，对基金份额持有人大会审议事项行使表决权；</w:t>
      </w:r>
    </w:p>
    <w:p w:rsidR="00783788" w:rsidRDefault="002C6E18">
      <w:pPr>
        <w:adjustRightInd w:val="0"/>
        <w:snapToGrid w:val="0"/>
        <w:spacing w:line="360" w:lineRule="auto"/>
        <w:ind w:firstLineChars="200" w:firstLine="480"/>
        <w:rPr>
          <w:bCs/>
          <w:sz w:val="24"/>
        </w:rPr>
      </w:pPr>
      <w:r>
        <w:rPr>
          <w:bCs/>
          <w:sz w:val="24"/>
        </w:rPr>
        <w:t>6</w:t>
      </w:r>
      <w:r>
        <w:rPr>
          <w:bCs/>
          <w:sz w:val="24"/>
        </w:rPr>
        <w:t>）</w:t>
      </w:r>
      <w:r>
        <w:rPr>
          <w:rFonts w:hAnsi="宋体"/>
          <w:bCs/>
          <w:sz w:val="24"/>
          <w:szCs w:val="24"/>
        </w:rPr>
        <w:t>查阅或者复制公开披露的基金信息资料；</w:t>
      </w:r>
    </w:p>
    <w:p w:rsidR="00783788" w:rsidRDefault="002C6E18">
      <w:pPr>
        <w:adjustRightInd w:val="0"/>
        <w:snapToGrid w:val="0"/>
        <w:spacing w:line="360" w:lineRule="auto"/>
        <w:ind w:firstLineChars="200" w:firstLine="480"/>
        <w:rPr>
          <w:bCs/>
          <w:sz w:val="24"/>
        </w:rPr>
      </w:pPr>
      <w:r>
        <w:rPr>
          <w:bCs/>
          <w:sz w:val="24"/>
        </w:rPr>
        <w:t>7</w:t>
      </w:r>
      <w:r>
        <w:rPr>
          <w:bCs/>
          <w:sz w:val="24"/>
        </w:rPr>
        <w:t>）</w:t>
      </w:r>
      <w:r>
        <w:rPr>
          <w:rFonts w:hAnsi="宋体"/>
          <w:bCs/>
          <w:sz w:val="24"/>
          <w:szCs w:val="24"/>
        </w:rPr>
        <w:t>监督基金管理人的投资运作；</w:t>
      </w:r>
    </w:p>
    <w:p w:rsidR="00783788" w:rsidRDefault="002C6E18">
      <w:pPr>
        <w:adjustRightInd w:val="0"/>
        <w:snapToGrid w:val="0"/>
        <w:spacing w:line="360" w:lineRule="auto"/>
        <w:ind w:firstLineChars="200" w:firstLine="480"/>
        <w:rPr>
          <w:bCs/>
          <w:sz w:val="24"/>
        </w:rPr>
      </w:pPr>
      <w:r>
        <w:rPr>
          <w:bCs/>
          <w:sz w:val="24"/>
        </w:rPr>
        <w:t>8</w:t>
      </w:r>
      <w:r>
        <w:rPr>
          <w:bCs/>
          <w:sz w:val="24"/>
        </w:rPr>
        <w:t>）</w:t>
      </w:r>
      <w:r>
        <w:rPr>
          <w:rFonts w:hAnsi="宋体"/>
          <w:bCs/>
          <w:sz w:val="24"/>
          <w:szCs w:val="24"/>
        </w:rPr>
        <w:t>对基金管理人、基金托管人、基金销售机构损害其合法权益的行为依法提起诉讼或仲裁；</w:t>
      </w:r>
    </w:p>
    <w:p w:rsidR="00783788" w:rsidRDefault="002C6E18">
      <w:pPr>
        <w:adjustRightInd w:val="0"/>
        <w:snapToGrid w:val="0"/>
        <w:spacing w:line="360" w:lineRule="auto"/>
        <w:ind w:firstLineChars="200" w:firstLine="480"/>
        <w:rPr>
          <w:bCs/>
          <w:sz w:val="24"/>
        </w:rPr>
      </w:pPr>
      <w:r>
        <w:rPr>
          <w:bCs/>
          <w:sz w:val="24"/>
        </w:rPr>
        <w:t>9</w:t>
      </w:r>
      <w:r>
        <w:rPr>
          <w:bCs/>
          <w:sz w:val="24"/>
        </w:rPr>
        <w:t>）</w:t>
      </w:r>
      <w:r>
        <w:rPr>
          <w:rFonts w:hAnsi="宋体"/>
          <w:bCs/>
          <w:sz w:val="24"/>
          <w:szCs w:val="24"/>
        </w:rPr>
        <w:t>法律法规及中国证监会规定的和基金合同约定的其他权利。</w:t>
      </w:r>
    </w:p>
    <w:p w:rsidR="00783788" w:rsidRDefault="002C6E18">
      <w:pPr>
        <w:widowControl/>
        <w:adjustRightInd w:val="0"/>
        <w:snapToGrid w:val="0"/>
        <w:spacing w:line="360" w:lineRule="auto"/>
        <w:ind w:firstLineChars="200" w:firstLine="480"/>
        <w:outlineLvl w:val="8"/>
        <w:rPr>
          <w:bCs/>
          <w:sz w:val="24"/>
        </w:rPr>
      </w:pPr>
      <w:r>
        <w:rPr>
          <w:bCs/>
          <w:sz w:val="24"/>
        </w:rPr>
        <w:t>（</w:t>
      </w:r>
      <w:r>
        <w:rPr>
          <w:bCs/>
          <w:sz w:val="24"/>
        </w:rPr>
        <w:t>2</w:t>
      </w:r>
      <w:r>
        <w:rPr>
          <w:bCs/>
          <w:sz w:val="24"/>
        </w:rPr>
        <w:t>）根据《基金法》、《运作办法》及其他有关规定，基金份额持有人的义务包括但不限于：</w:t>
      </w:r>
    </w:p>
    <w:p w:rsidR="00783788" w:rsidRDefault="002C6E18">
      <w:pPr>
        <w:adjustRightInd w:val="0"/>
        <w:snapToGrid w:val="0"/>
        <w:spacing w:line="360" w:lineRule="auto"/>
        <w:ind w:firstLineChars="200" w:firstLine="480"/>
        <w:rPr>
          <w:bCs/>
          <w:sz w:val="24"/>
        </w:rPr>
      </w:pPr>
      <w:r>
        <w:rPr>
          <w:bCs/>
          <w:sz w:val="24"/>
        </w:rPr>
        <w:t>1</w:t>
      </w:r>
      <w:r>
        <w:rPr>
          <w:bCs/>
          <w:sz w:val="24"/>
        </w:rPr>
        <w:t>）</w:t>
      </w:r>
      <w:r>
        <w:rPr>
          <w:rFonts w:hAnsi="宋体"/>
          <w:bCs/>
          <w:sz w:val="24"/>
          <w:szCs w:val="24"/>
        </w:rPr>
        <w:t>认真阅读并遵守基金合同；</w:t>
      </w:r>
    </w:p>
    <w:p w:rsidR="00783788" w:rsidRDefault="002C6E18">
      <w:pPr>
        <w:adjustRightInd w:val="0"/>
        <w:snapToGrid w:val="0"/>
        <w:spacing w:line="360" w:lineRule="auto"/>
        <w:ind w:firstLineChars="200" w:firstLine="480"/>
        <w:rPr>
          <w:bCs/>
          <w:sz w:val="24"/>
        </w:rPr>
      </w:pPr>
      <w:r>
        <w:rPr>
          <w:bCs/>
          <w:sz w:val="24"/>
        </w:rPr>
        <w:t>2</w:t>
      </w:r>
      <w:r>
        <w:rPr>
          <w:bCs/>
          <w:sz w:val="24"/>
        </w:rPr>
        <w:t>）</w:t>
      </w:r>
      <w:r>
        <w:rPr>
          <w:rFonts w:hAnsi="宋体"/>
          <w:bCs/>
          <w:sz w:val="24"/>
          <w:szCs w:val="24"/>
        </w:rPr>
        <w:t>了解所投资基金产品，了解自身风险承受能力，自行承担投资风险；</w:t>
      </w:r>
    </w:p>
    <w:p w:rsidR="00783788" w:rsidRDefault="002C6E18">
      <w:pPr>
        <w:adjustRightInd w:val="0"/>
        <w:snapToGrid w:val="0"/>
        <w:spacing w:line="360" w:lineRule="auto"/>
        <w:ind w:firstLineChars="200" w:firstLine="480"/>
        <w:rPr>
          <w:bCs/>
          <w:sz w:val="24"/>
        </w:rPr>
      </w:pPr>
      <w:r>
        <w:rPr>
          <w:bCs/>
          <w:sz w:val="24"/>
        </w:rPr>
        <w:t>3</w:t>
      </w:r>
      <w:r>
        <w:rPr>
          <w:bCs/>
          <w:sz w:val="24"/>
        </w:rPr>
        <w:t>）</w:t>
      </w:r>
      <w:r>
        <w:rPr>
          <w:rFonts w:hAnsi="宋体"/>
          <w:bCs/>
          <w:sz w:val="24"/>
          <w:szCs w:val="24"/>
        </w:rPr>
        <w:t>关注基金信息披露，及时行使权利和履行义务；</w:t>
      </w:r>
    </w:p>
    <w:p w:rsidR="00783788" w:rsidRDefault="002C6E18">
      <w:pPr>
        <w:adjustRightInd w:val="0"/>
        <w:snapToGrid w:val="0"/>
        <w:spacing w:line="360" w:lineRule="auto"/>
        <w:ind w:firstLineChars="200" w:firstLine="480"/>
        <w:rPr>
          <w:bCs/>
          <w:sz w:val="24"/>
        </w:rPr>
      </w:pPr>
      <w:r>
        <w:rPr>
          <w:bCs/>
          <w:sz w:val="24"/>
        </w:rPr>
        <w:t>4</w:t>
      </w:r>
      <w:r>
        <w:rPr>
          <w:bCs/>
          <w:sz w:val="24"/>
        </w:rPr>
        <w:t>）</w:t>
      </w:r>
      <w:r>
        <w:rPr>
          <w:rFonts w:hAnsi="宋体"/>
          <w:bCs/>
          <w:sz w:val="24"/>
          <w:szCs w:val="24"/>
        </w:rPr>
        <w:t>缴纳基金认购、申购、赎回款项及法律法规和基金合同所规定的费用；</w:t>
      </w:r>
    </w:p>
    <w:p w:rsidR="00783788" w:rsidRDefault="002C6E18">
      <w:pPr>
        <w:adjustRightInd w:val="0"/>
        <w:snapToGrid w:val="0"/>
        <w:spacing w:line="360" w:lineRule="auto"/>
        <w:ind w:firstLineChars="200" w:firstLine="480"/>
        <w:rPr>
          <w:bCs/>
          <w:sz w:val="24"/>
        </w:rPr>
      </w:pPr>
      <w:r>
        <w:rPr>
          <w:bCs/>
          <w:sz w:val="24"/>
        </w:rPr>
        <w:t>5</w:t>
      </w:r>
      <w:r>
        <w:rPr>
          <w:bCs/>
          <w:sz w:val="24"/>
        </w:rPr>
        <w:t>）</w:t>
      </w:r>
      <w:r>
        <w:rPr>
          <w:rFonts w:hAnsi="宋体"/>
          <w:bCs/>
          <w:sz w:val="24"/>
          <w:szCs w:val="24"/>
        </w:rPr>
        <w:t>在其持有的基金份额范围内，承担基金亏损或者基金合同终止的有限责任；</w:t>
      </w:r>
    </w:p>
    <w:p w:rsidR="00783788" w:rsidRDefault="002C6E18">
      <w:pPr>
        <w:adjustRightInd w:val="0"/>
        <w:snapToGrid w:val="0"/>
        <w:spacing w:line="360" w:lineRule="auto"/>
        <w:ind w:firstLineChars="200" w:firstLine="480"/>
        <w:rPr>
          <w:bCs/>
          <w:sz w:val="24"/>
        </w:rPr>
      </w:pPr>
      <w:r>
        <w:rPr>
          <w:bCs/>
          <w:sz w:val="24"/>
        </w:rPr>
        <w:t>6</w:t>
      </w:r>
      <w:r>
        <w:rPr>
          <w:bCs/>
          <w:sz w:val="24"/>
        </w:rPr>
        <w:t>）</w:t>
      </w:r>
      <w:r>
        <w:rPr>
          <w:rFonts w:hAnsi="宋体"/>
          <w:bCs/>
          <w:sz w:val="24"/>
          <w:szCs w:val="24"/>
        </w:rPr>
        <w:t>不从事任何有损基金及其他基金合同当事人合法权益的活动；</w:t>
      </w:r>
    </w:p>
    <w:p w:rsidR="00783788" w:rsidRDefault="002C6E18">
      <w:pPr>
        <w:adjustRightInd w:val="0"/>
        <w:snapToGrid w:val="0"/>
        <w:spacing w:line="360" w:lineRule="auto"/>
        <w:ind w:firstLineChars="200" w:firstLine="480"/>
        <w:rPr>
          <w:bCs/>
          <w:sz w:val="24"/>
        </w:rPr>
      </w:pPr>
      <w:r>
        <w:rPr>
          <w:bCs/>
          <w:sz w:val="24"/>
        </w:rPr>
        <w:t>7</w:t>
      </w:r>
      <w:r>
        <w:rPr>
          <w:bCs/>
          <w:sz w:val="24"/>
        </w:rPr>
        <w:t>）</w:t>
      </w:r>
      <w:r>
        <w:rPr>
          <w:rFonts w:hAnsi="宋体"/>
          <w:bCs/>
          <w:sz w:val="24"/>
          <w:szCs w:val="24"/>
        </w:rPr>
        <w:t>执行生效的基金份额持有人大会的决定；</w:t>
      </w:r>
    </w:p>
    <w:p w:rsidR="00783788" w:rsidRDefault="002C6E18">
      <w:pPr>
        <w:adjustRightInd w:val="0"/>
        <w:snapToGrid w:val="0"/>
        <w:spacing w:line="360" w:lineRule="auto"/>
        <w:ind w:firstLineChars="200" w:firstLine="480"/>
        <w:rPr>
          <w:bCs/>
          <w:sz w:val="24"/>
        </w:rPr>
      </w:pPr>
      <w:r>
        <w:rPr>
          <w:bCs/>
          <w:sz w:val="24"/>
        </w:rPr>
        <w:t>8</w:t>
      </w:r>
      <w:r>
        <w:rPr>
          <w:bCs/>
          <w:sz w:val="24"/>
        </w:rPr>
        <w:t>）</w:t>
      </w:r>
      <w:r>
        <w:rPr>
          <w:rFonts w:hAnsi="宋体"/>
          <w:bCs/>
          <w:sz w:val="24"/>
          <w:szCs w:val="24"/>
        </w:rPr>
        <w:t>返还在基金交易过程中因任何原因获得的不当得利；</w:t>
      </w:r>
    </w:p>
    <w:p w:rsidR="00783788" w:rsidRDefault="002C6E18">
      <w:pPr>
        <w:adjustRightInd w:val="0"/>
        <w:snapToGrid w:val="0"/>
        <w:spacing w:line="360" w:lineRule="auto"/>
        <w:ind w:firstLineChars="200" w:firstLine="480"/>
        <w:rPr>
          <w:bCs/>
          <w:sz w:val="24"/>
        </w:rPr>
      </w:pPr>
      <w:r>
        <w:rPr>
          <w:bCs/>
          <w:sz w:val="24"/>
        </w:rPr>
        <w:t>9</w:t>
      </w:r>
      <w:r>
        <w:rPr>
          <w:bCs/>
          <w:sz w:val="24"/>
        </w:rPr>
        <w:t>）</w:t>
      </w:r>
      <w:r>
        <w:rPr>
          <w:rFonts w:hAnsi="宋体"/>
          <w:bCs/>
          <w:sz w:val="24"/>
          <w:szCs w:val="24"/>
        </w:rPr>
        <w:t>遵守基金管理人、基金托管人、销售机构和登记机构的相关交易及业务规则；</w:t>
      </w:r>
    </w:p>
    <w:p w:rsidR="00783788" w:rsidRDefault="002C6E18">
      <w:pPr>
        <w:spacing w:line="360" w:lineRule="auto"/>
        <w:ind w:firstLineChars="200" w:firstLine="480"/>
        <w:rPr>
          <w:bCs/>
          <w:sz w:val="24"/>
        </w:rPr>
      </w:pPr>
      <w:r>
        <w:rPr>
          <w:bCs/>
          <w:sz w:val="24"/>
        </w:rPr>
        <w:t>10</w:t>
      </w:r>
      <w:r>
        <w:rPr>
          <w:bCs/>
          <w:sz w:val="24"/>
        </w:rPr>
        <w:t>）</w:t>
      </w:r>
      <w:r>
        <w:rPr>
          <w:rFonts w:hAnsi="宋体"/>
          <w:bCs/>
          <w:sz w:val="24"/>
          <w:szCs w:val="24"/>
        </w:rPr>
        <w:t>提供基金管理人和监管机构依法要求提供的信息，以及不时的更新和补充，并保证其真实性；</w:t>
      </w:r>
    </w:p>
    <w:p w:rsidR="00783788" w:rsidRDefault="002C6E18">
      <w:pPr>
        <w:spacing w:line="360" w:lineRule="auto"/>
        <w:ind w:firstLineChars="200" w:firstLine="480"/>
        <w:rPr>
          <w:sz w:val="24"/>
        </w:rPr>
      </w:pPr>
      <w:r>
        <w:rPr>
          <w:bCs/>
          <w:sz w:val="24"/>
        </w:rPr>
        <w:t>11</w:t>
      </w:r>
      <w:r>
        <w:rPr>
          <w:bCs/>
          <w:sz w:val="24"/>
        </w:rPr>
        <w:t>）</w:t>
      </w:r>
      <w:r>
        <w:rPr>
          <w:rFonts w:hAnsi="宋体"/>
          <w:bCs/>
          <w:sz w:val="24"/>
          <w:szCs w:val="24"/>
        </w:rPr>
        <w:t>法律法规及中国证监会规定的和基金合同约定的其他义务。</w:t>
      </w:r>
    </w:p>
    <w:p w:rsidR="00783788" w:rsidRDefault="002C6E18">
      <w:pPr>
        <w:widowControl/>
        <w:adjustRightInd w:val="0"/>
        <w:snapToGrid w:val="0"/>
        <w:spacing w:line="360" w:lineRule="auto"/>
        <w:ind w:firstLineChars="200" w:firstLine="482"/>
        <w:outlineLvl w:val="1"/>
        <w:rPr>
          <w:b/>
          <w:kern w:val="0"/>
          <w:sz w:val="24"/>
        </w:rPr>
      </w:pPr>
      <w:r>
        <w:rPr>
          <w:b/>
          <w:kern w:val="0"/>
          <w:sz w:val="24"/>
        </w:rPr>
        <w:t>（二）基金份额持有人大会</w:t>
      </w:r>
      <w:r>
        <w:rPr>
          <w:b/>
          <w:kern w:val="0"/>
          <w:sz w:val="24"/>
        </w:rPr>
        <w:t xml:space="preserve"> </w:t>
      </w:r>
    </w:p>
    <w:p w:rsidR="00783788" w:rsidRDefault="002C6E18">
      <w:pPr>
        <w:widowControl/>
        <w:adjustRightInd w:val="0"/>
        <w:snapToGrid w:val="0"/>
        <w:spacing w:line="360" w:lineRule="auto"/>
        <w:ind w:firstLineChars="200" w:firstLine="480"/>
        <w:outlineLvl w:val="8"/>
        <w:rPr>
          <w:sz w:val="24"/>
        </w:rPr>
      </w:pPr>
      <w:r>
        <w:rPr>
          <w:rFonts w:hAnsi="宋体"/>
          <w:bCs/>
          <w:sz w:val="24"/>
          <w:szCs w:val="24"/>
        </w:rPr>
        <w:t>基金份额持有人大会由基金份额持有人组成，基金份额持有人的合法授权代表有权代表基金份额持有人出席会议并表决。基金份额持有人持有的每一基金份额拥有平等的投票权。</w:t>
      </w:r>
    </w:p>
    <w:p w:rsidR="00783788" w:rsidRDefault="002C6E18">
      <w:pPr>
        <w:widowControl/>
        <w:adjustRightInd w:val="0"/>
        <w:snapToGrid w:val="0"/>
        <w:spacing w:line="360" w:lineRule="auto"/>
        <w:ind w:firstLineChars="200" w:firstLine="480"/>
        <w:outlineLvl w:val="8"/>
        <w:rPr>
          <w:sz w:val="24"/>
        </w:rPr>
      </w:pPr>
      <w:r>
        <w:rPr>
          <w:sz w:val="24"/>
        </w:rPr>
        <w:t>1</w:t>
      </w:r>
      <w:r>
        <w:rPr>
          <w:sz w:val="24"/>
        </w:rPr>
        <w:t>、召开事由</w:t>
      </w:r>
    </w:p>
    <w:p w:rsidR="00783788" w:rsidRDefault="002C6E18">
      <w:pPr>
        <w:adjustRightInd w:val="0"/>
        <w:snapToGrid w:val="0"/>
        <w:spacing w:line="360" w:lineRule="auto"/>
        <w:ind w:firstLineChars="200" w:firstLine="480"/>
        <w:rPr>
          <w:bCs/>
          <w:sz w:val="24"/>
        </w:rPr>
      </w:pPr>
      <w:r>
        <w:rPr>
          <w:bCs/>
          <w:sz w:val="24"/>
        </w:rPr>
        <w:t>（</w:t>
      </w:r>
      <w:r>
        <w:rPr>
          <w:bCs/>
          <w:sz w:val="24"/>
        </w:rPr>
        <w:t>1</w:t>
      </w:r>
      <w:r>
        <w:rPr>
          <w:bCs/>
          <w:sz w:val="24"/>
        </w:rPr>
        <w:t>）当出现或需要决定下列事由之一的</w:t>
      </w:r>
      <w:bookmarkStart w:id="104" w:name="_Hlt88825574"/>
      <w:bookmarkEnd w:id="104"/>
      <w:r>
        <w:rPr>
          <w:bCs/>
          <w:sz w:val="24"/>
        </w:rPr>
        <w:t>，应当召开基金份额持有人大会：</w:t>
      </w:r>
      <w:bookmarkStart w:id="105" w:name="_Hlt94543071"/>
      <w:bookmarkEnd w:id="105"/>
    </w:p>
    <w:p w:rsidR="00783788" w:rsidRDefault="002C6E18">
      <w:pPr>
        <w:adjustRightInd w:val="0"/>
        <w:snapToGrid w:val="0"/>
        <w:spacing w:line="360" w:lineRule="auto"/>
        <w:ind w:firstLineChars="200" w:firstLine="480"/>
        <w:rPr>
          <w:bCs/>
          <w:sz w:val="24"/>
        </w:rPr>
      </w:pPr>
      <w:r>
        <w:rPr>
          <w:bCs/>
          <w:sz w:val="24"/>
        </w:rPr>
        <w:t>1</w:t>
      </w:r>
      <w:r>
        <w:rPr>
          <w:bCs/>
          <w:sz w:val="24"/>
        </w:rPr>
        <w:t>）</w:t>
      </w:r>
      <w:r>
        <w:rPr>
          <w:rFonts w:hAnsi="宋体"/>
          <w:bCs/>
          <w:sz w:val="24"/>
          <w:szCs w:val="24"/>
        </w:rPr>
        <w:t>终止基金合同；</w:t>
      </w:r>
    </w:p>
    <w:p w:rsidR="00783788" w:rsidRDefault="002C6E18">
      <w:pPr>
        <w:adjustRightInd w:val="0"/>
        <w:snapToGrid w:val="0"/>
        <w:spacing w:line="360" w:lineRule="auto"/>
        <w:ind w:firstLineChars="200" w:firstLine="480"/>
        <w:rPr>
          <w:bCs/>
          <w:sz w:val="24"/>
        </w:rPr>
      </w:pPr>
      <w:r>
        <w:rPr>
          <w:bCs/>
          <w:sz w:val="24"/>
        </w:rPr>
        <w:t>2</w:t>
      </w:r>
      <w:r>
        <w:rPr>
          <w:bCs/>
          <w:sz w:val="24"/>
        </w:rPr>
        <w:t>）</w:t>
      </w:r>
      <w:r>
        <w:rPr>
          <w:rFonts w:hAnsi="宋体"/>
          <w:bCs/>
          <w:sz w:val="24"/>
          <w:szCs w:val="24"/>
        </w:rPr>
        <w:t>更换基金管理人；</w:t>
      </w:r>
    </w:p>
    <w:p w:rsidR="00783788" w:rsidRDefault="002C6E18">
      <w:pPr>
        <w:adjustRightInd w:val="0"/>
        <w:snapToGrid w:val="0"/>
        <w:spacing w:line="360" w:lineRule="auto"/>
        <w:ind w:firstLineChars="200" w:firstLine="480"/>
        <w:rPr>
          <w:bCs/>
          <w:sz w:val="24"/>
        </w:rPr>
      </w:pPr>
      <w:r>
        <w:rPr>
          <w:bCs/>
          <w:sz w:val="24"/>
        </w:rPr>
        <w:t>3</w:t>
      </w:r>
      <w:r>
        <w:rPr>
          <w:bCs/>
          <w:sz w:val="24"/>
        </w:rPr>
        <w:t>）</w:t>
      </w:r>
      <w:r>
        <w:rPr>
          <w:rFonts w:hAnsi="宋体"/>
          <w:bCs/>
          <w:sz w:val="24"/>
          <w:szCs w:val="24"/>
        </w:rPr>
        <w:t>更换基金托管人；</w:t>
      </w:r>
    </w:p>
    <w:p w:rsidR="00783788" w:rsidRDefault="002C6E18">
      <w:pPr>
        <w:adjustRightInd w:val="0"/>
        <w:snapToGrid w:val="0"/>
        <w:spacing w:line="360" w:lineRule="auto"/>
        <w:ind w:firstLineChars="200" w:firstLine="480"/>
        <w:rPr>
          <w:bCs/>
          <w:sz w:val="24"/>
        </w:rPr>
      </w:pPr>
      <w:r>
        <w:rPr>
          <w:bCs/>
          <w:sz w:val="24"/>
        </w:rPr>
        <w:t>4</w:t>
      </w:r>
      <w:r>
        <w:rPr>
          <w:bCs/>
          <w:sz w:val="24"/>
        </w:rPr>
        <w:t>）</w:t>
      </w:r>
      <w:r>
        <w:rPr>
          <w:rFonts w:hAnsi="宋体"/>
          <w:bCs/>
          <w:sz w:val="24"/>
          <w:szCs w:val="24"/>
        </w:rPr>
        <w:t>转换基金运作方式；</w:t>
      </w:r>
    </w:p>
    <w:p w:rsidR="00783788" w:rsidRDefault="002C6E18">
      <w:pPr>
        <w:adjustRightInd w:val="0"/>
        <w:snapToGrid w:val="0"/>
        <w:spacing w:line="360" w:lineRule="auto"/>
        <w:ind w:firstLineChars="200" w:firstLine="480"/>
        <w:rPr>
          <w:bCs/>
          <w:sz w:val="24"/>
        </w:rPr>
      </w:pPr>
      <w:r>
        <w:rPr>
          <w:bCs/>
          <w:sz w:val="24"/>
        </w:rPr>
        <w:t>5</w:t>
      </w:r>
      <w:r>
        <w:rPr>
          <w:bCs/>
          <w:sz w:val="24"/>
        </w:rPr>
        <w:t>）</w:t>
      </w:r>
      <w:r>
        <w:rPr>
          <w:rFonts w:hAnsi="宋体"/>
          <w:bCs/>
          <w:sz w:val="24"/>
          <w:szCs w:val="24"/>
        </w:rPr>
        <w:t>提高基金管理人、基金托管人的报酬标准；</w:t>
      </w:r>
    </w:p>
    <w:p w:rsidR="00783788" w:rsidRDefault="002C6E18">
      <w:pPr>
        <w:adjustRightInd w:val="0"/>
        <w:snapToGrid w:val="0"/>
        <w:spacing w:line="360" w:lineRule="auto"/>
        <w:ind w:firstLineChars="200" w:firstLine="480"/>
        <w:rPr>
          <w:bCs/>
          <w:sz w:val="24"/>
        </w:rPr>
      </w:pPr>
      <w:r>
        <w:rPr>
          <w:bCs/>
          <w:sz w:val="24"/>
        </w:rPr>
        <w:t>6</w:t>
      </w:r>
      <w:r>
        <w:rPr>
          <w:bCs/>
          <w:sz w:val="24"/>
        </w:rPr>
        <w:t>）</w:t>
      </w:r>
      <w:r>
        <w:rPr>
          <w:rFonts w:hAnsi="宋体"/>
          <w:bCs/>
          <w:sz w:val="24"/>
          <w:szCs w:val="24"/>
        </w:rPr>
        <w:t>变更基金类别；</w:t>
      </w:r>
    </w:p>
    <w:p w:rsidR="00783788" w:rsidRDefault="002C6E18">
      <w:pPr>
        <w:adjustRightInd w:val="0"/>
        <w:snapToGrid w:val="0"/>
        <w:spacing w:line="360" w:lineRule="auto"/>
        <w:ind w:firstLineChars="200" w:firstLine="480"/>
        <w:rPr>
          <w:bCs/>
          <w:sz w:val="24"/>
        </w:rPr>
      </w:pPr>
      <w:r>
        <w:rPr>
          <w:bCs/>
          <w:sz w:val="24"/>
        </w:rPr>
        <w:t>7</w:t>
      </w:r>
      <w:r>
        <w:rPr>
          <w:bCs/>
          <w:sz w:val="24"/>
        </w:rPr>
        <w:t>）</w:t>
      </w:r>
      <w:r>
        <w:rPr>
          <w:rFonts w:hAnsi="宋体"/>
          <w:bCs/>
          <w:sz w:val="24"/>
          <w:szCs w:val="24"/>
        </w:rPr>
        <w:t>本基金与其他基金的合并；</w:t>
      </w:r>
    </w:p>
    <w:p w:rsidR="00783788" w:rsidRDefault="002C6E18">
      <w:pPr>
        <w:adjustRightInd w:val="0"/>
        <w:snapToGrid w:val="0"/>
        <w:spacing w:line="360" w:lineRule="auto"/>
        <w:ind w:firstLineChars="200" w:firstLine="480"/>
        <w:rPr>
          <w:bCs/>
          <w:sz w:val="24"/>
        </w:rPr>
      </w:pPr>
      <w:r>
        <w:rPr>
          <w:bCs/>
          <w:sz w:val="24"/>
        </w:rPr>
        <w:t>8</w:t>
      </w:r>
      <w:r>
        <w:rPr>
          <w:bCs/>
          <w:sz w:val="24"/>
        </w:rPr>
        <w:t>）</w:t>
      </w:r>
      <w:r>
        <w:rPr>
          <w:rFonts w:hAnsi="宋体"/>
          <w:bCs/>
          <w:sz w:val="24"/>
          <w:szCs w:val="24"/>
        </w:rPr>
        <w:t>变更基金投资目标、范围或策略；</w:t>
      </w:r>
    </w:p>
    <w:p w:rsidR="00783788" w:rsidRDefault="002C6E18">
      <w:pPr>
        <w:adjustRightInd w:val="0"/>
        <w:snapToGrid w:val="0"/>
        <w:spacing w:line="360" w:lineRule="auto"/>
        <w:ind w:firstLineChars="200" w:firstLine="480"/>
        <w:rPr>
          <w:bCs/>
          <w:sz w:val="24"/>
        </w:rPr>
      </w:pPr>
      <w:r>
        <w:rPr>
          <w:bCs/>
          <w:sz w:val="24"/>
        </w:rPr>
        <w:t>9</w:t>
      </w:r>
      <w:r>
        <w:rPr>
          <w:bCs/>
          <w:sz w:val="24"/>
        </w:rPr>
        <w:t>）</w:t>
      </w:r>
      <w:r>
        <w:rPr>
          <w:rFonts w:hAnsi="宋体"/>
          <w:bCs/>
          <w:sz w:val="24"/>
          <w:szCs w:val="24"/>
        </w:rPr>
        <w:t>变更基金份额持有人大会程序；</w:t>
      </w:r>
    </w:p>
    <w:p w:rsidR="00783788" w:rsidRDefault="002C6E18">
      <w:pPr>
        <w:adjustRightInd w:val="0"/>
        <w:snapToGrid w:val="0"/>
        <w:spacing w:line="360" w:lineRule="auto"/>
        <w:ind w:firstLineChars="200" w:firstLine="480"/>
        <w:rPr>
          <w:bCs/>
          <w:sz w:val="24"/>
        </w:rPr>
      </w:pPr>
      <w:r>
        <w:rPr>
          <w:bCs/>
          <w:sz w:val="24"/>
        </w:rPr>
        <w:t>10</w:t>
      </w:r>
      <w:r>
        <w:rPr>
          <w:bCs/>
          <w:sz w:val="24"/>
        </w:rPr>
        <w:t>）</w:t>
      </w:r>
      <w:r>
        <w:rPr>
          <w:rFonts w:hAnsi="宋体"/>
          <w:bCs/>
          <w:sz w:val="24"/>
          <w:szCs w:val="24"/>
        </w:rPr>
        <w:t>基金管理人或基金托管人要求召开基金份额持有人大会；</w:t>
      </w:r>
    </w:p>
    <w:p w:rsidR="00783788" w:rsidRDefault="002C6E18">
      <w:pPr>
        <w:adjustRightInd w:val="0"/>
        <w:snapToGrid w:val="0"/>
        <w:spacing w:line="360" w:lineRule="auto"/>
        <w:ind w:firstLineChars="200" w:firstLine="480"/>
        <w:rPr>
          <w:bCs/>
          <w:sz w:val="24"/>
        </w:rPr>
      </w:pPr>
      <w:r>
        <w:rPr>
          <w:bCs/>
          <w:sz w:val="24"/>
        </w:rPr>
        <w:t>11</w:t>
      </w:r>
      <w:r>
        <w:rPr>
          <w:bCs/>
          <w:sz w:val="24"/>
        </w:rPr>
        <w:t>）</w:t>
      </w:r>
      <w:r>
        <w:rPr>
          <w:rFonts w:hAnsi="宋体"/>
          <w:bCs/>
          <w:sz w:val="24"/>
          <w:szCs w:val="24"/>
        </w:rPr>
        <w:t>单独或合计持有本基金总份额</w:t>
      </w:r>
      <w:r>
        <w:rPr>
          <w:bCs/>
          <w:sz w:val="24"/>
          <w:szCs w:val="24"/>
        </w:rPr>
        <w:t>10%</w:t>
      </w:r>
      <w:r>
        <w:rPr>
          <w:rFonts w:hAnsi="宋体"/>
          <w:bCs/>
          <w:sz w:val="24"/>
          <w:szCs w:val="24"/>
        </w:rPr>
        <w:t>以上（含</w:t>
      </w:r>
      <w:r>
        <w:rPr>
          <w:bCs/>
          <w:sz w:val="24"/>
          <w:szCs w:val="24"/>
        </w:rPr>
        <w:t>10%</w:t>
      </w:r>
      <w:r>
        <w:rPr>
          <w:rFonts w:hAnsi="宋体"/>
          <w:bCs/>
          <w:sz w:val="24"/>
          <w:szCs w:val="24"/>
        </w:rPr>
        <w:t>）基金份额的基金份额持有人（以基金管理人收到提议当日的基金份额计算，下同）就同一事项书面要求召开基金份额持有人大会；</w:t>
      </w:r>
    </w:p>
    <w:p w:rsidR="00783788" w:rsidRDefault="002C6E18">
      <w:pPr>
        <w:adjustRightInd w:val="0"/>
        <w:snapToGrid w:val="0"/>
        <w:spacing w:line="360" w:lineRule="auto"/>
        <w:ind w:firstLineChars="200" w:firstLine="480"/>
        <w:rPr>
          <w:sz w:val="24"/>
        </w:rPr>
      </w:pPr>
      <w:r>
        <w:rPr>
          <w:bCs/>
          <w:sz w:val="24"/>
        </w:rPr>
        <w:t>12</w:t>
      </w:r>
      <w:r>
        <w:rPr>
          <w:bCs/>
          <w:sz w:val="24"/>
        </w:rPr>
        <w:t>）</w:t>
      </w:r>
      <w:r>
        <w:rPr>
          <w:rFonts w:hAnsi="宋体"/>
          <w:bCs/>
          <w:sz w:val="24"/>
          <w:szCs w:val="24"/>
        </w:rPr>
        <w:t>对基金当事人权利和义务产生重大影响的其他事项；</w:t>
      </w:r>
    </w:p>
    <w:p w:rsidR="00783788" w:rsidRDefault="002C6E18">
      <w:pPr>
        <w:adjustRightInd w:val="0"/>
        <w:snapToGrid w:val="0"/>
        <w:spacing w:line="360" w:lineRule="auto"/>
        <w:ind w:firstLineChars="200" w:firstLine="480"/>
        <w:rPr>
          <w:bCs/>
          <w:sz w:val="24"/>
        </w:rPr>
      </w:pPr>
      <w:r>
        <w:rPr>
          <w:sz w:val="24"/>
        </w:rPr>
        <w:t>13</w:t>
      </w:r>
      <w:r>
        <w:rPr>
          <w:sz w:val="24"/>
        </w:rPr>
        <w:t>）</w:t>
      </w:r>
      <w:r>
        <w:rPr>
          <w:rFonts w:hAnsi="宋体"/>
          <w:bCs/>
          <w:sz w:val="24"/>
          <w:szCs w:val="24"/>
        </w:rPr>
        <w:t>法律法规、基金合同或中国证监会规定的其他应当召开基金份额持有人大会的事项。</w:t>
      </w:r>
    </w:p>
    <w:p w:rsidR="00783788" w:rsidRDefault="002C6E18">
      <w:pPr>
        <w:adjustRightInd w:val="0"/>
        <w:snapToGrid w:val="0"/>
        <w:spacing w:line="360" w:lineRule="auto"/>
        <w:ind w:firstLineChars="200" w:firstLine="480"/>
        <w:rPr>
          <w:bCs/>
          <w:sz w:val="24"/>
        </w:rPr>
      </w:pPr>
      <w:r>
        <w:rPr>
          <w:sz w:val="24"/>
        </w:rPr>
        <w:t>（</w:t>
      </w:r>
      <w:r>
        <w:rPr>
          <w:sz w:val="24"/>
        </w:rPr>
        <w:t>2</w:t>
      </w:r>
      <w:r>
        <w:rPr>
          <w:sz w:val="24"/>
        </w:rPr>
        <w:t>）</w:t>
      </w:r>
      <w:r>
        <w:rPr>
          <w:bCs/>
          <w:sz w:val="24"/>
        </w:rPr>
        <w:t>以下情况可由基金管理人和基金托管人协商后修改，不需召开基金份额持有人大会：</w:t>
      </w:r>
    </w:p>
    <w:p w:rsidR="00783788" w:rsidRDefault="002C6E18">
      <w:pPr>
        <w:adjustRightInd w:val="0"/>
        <w:snapToGrid w:val="0"/>
        <w:spacing w:line="360" w:lineRule="auto"/>
        <w:ind w:firstLineChars="200" w:firstLine="480"/>
        <w:rPr>
          <w:bCs/>
          <w:sz w:val="24"/>
        </w:rPr>
      </w:pPr>
      <w:r>
        <w:rPr>
          <w:bCs/>
          <w:sz w:val="24"/>
        </w:rPr>
        <w:t>1</w:t>
      </w:r>
      <w:r>
        <w:rPr>
          <w:bCs/>
          <w:sz w:val="24"/>
        </w:rPr>
        <w:t>）</w:t>
      </w:r>
      <w:r>
        <w:rPr>
          <w:rFonts w:hAnsi="宋体"/>
          <w:bCs/>
          <w:sz w:val="24"/>
          <w:szCs w:val="24"/>
        </w:rPr>
        <w:t>调低基金管理费、基金托管费和其他应由本基金或基金份额持有人承担的费用；</w:t>
      </w:r>
    </w:p>
    <w:p w:rsidR="00783788" w:rsidRDefault="002C6E18">
      <w:pPr>
        <w:adjustRightInd w:val="0"/>
        <w:snapToGrid w:val="0"/>
        <w:spacing w:line="360" w:lineRule="auto"/>
        <w:ind w:firstLineChars="200" w:firstLine="480"/>
        <w:rPr>
          <w:sz w:val="24"/>
        </w:rPr>
      </w:pPr>
      <w:r>
        <w:rPr>
          <w:bCs/>
          <w:sz w:val="24"/>
        </w:rPr>
        <w:t>2</w:t>
      </w:r>
      <w:r>
        <w:rPr>
          <w:bCs/>
          <w:sz w:val="24"/>
        </w:rPr>
        <w:t>）</w:t>
      </w:r>
      <w:r>
        <w:rPr>
          <w:rFonts w:hAnsi="宋体"/>
          <w:bCs/>
          <w:sz w:val="24"/>
          <w:szCs w:val="24"/>
        </w:rPr>
        <w:t>法律法规要求增加的基金费用的收取；</w:t>
      </w:r>
    </w:p>
    <w:p w:rsidR="00783788" w:rsidRDefault="002C6E18">
      <w:pPr>
        <w:adjustRightInd w:val="0"/>
        <w:snapToGrid w:val="0"/>
        <w:spacing w:line="360" w:lineRule="auto"/>
        <w:ind w:firstLineChars="200" w:firstLine="480"/>
        <w:rPr>
          <w:sz w:val="24"/>
        </w:rPr>
      </w:pPr>
      <w:r>
        <w:rPr>
          <w:sz w:val="24"/>
        </w:rPr>
        <w:t>3</w:t>
      </w:r>
      <w:r>
        <w:rPr>
          <w:sz w:val="24"/>
        </w:rPr>
        <w:t>）</w:t>
      </w:r>
      <w:r>
        <w:rPr>
          <w:rFonts w:hAnsi="宋体"/>
          <w:bCs/>
          <w:sz w:val="24"/>
          <w:szCs w:val="24"/>
        </w:rPr>
        <w:t>在法律法规和基金合同规定的范围内调整本基金的申购费率、调低赎回费率、变更或增加收费方式；</w:t>
      </w:r>
    </w:p>
    <w:p w:rsidR="00783788" w:rsidRDefault="002C6E18">
      <w:pPr>
        <w:adjustRightInd w:val="0"/>
        <w:snapToGrid w:val="0"/>
        <w:spacing w:line="440" w:lineRule="exact"/>
        <w:ind w:firstLineChars="200" w:firstLine="480"/>
        <w:rPr>
          <w:sz w:val="24"/>
        </w:rPr>
      </w:pPr>
      <w:r>
        <w:rPr>
          <w:sz w:val="24"/>
        </w:rPr>
        <w:t>4</w:t>
      </w:r>
      <w:r>
        <w:rPr>
          <w:sz w:val="24"/>
        </w:rPr>
        <w:t>）</w:t>
      </w:r>
      <w:r>
        <w:rPr>
          <w:rFonts w:hAnsi="宋体"/>
          <w:bCs/>
          <w:sz w:val="24"/>
          <w:szCs w:val="24"/>
        </w:rPr>
        <w:t>因相应的法律法规发生变动而应当对基金合同进行修改；</w:t>
      </w:r>
    </w:p>
    <w:p w:rsidR="00783788" w:rsidRDefault="002C6E18">
      <w:pPr>
        <w:adjustRightInd w:val="0"/>
        <w:snapToGrid w:val="0"/>
        <w:spacing w:line="440" w:lineRule="exact"/>
        <w:ind w:firstLineChars="200" w:firstLine="480"/>
        <w:rPr>
          <w:bCs/>
          <w:sz w:val="24"/>
        </w:rPr>
      </w:pPr>
      <w:r>
        <w:rPr>
          <w:sz w:val="24"/>
        </w:rPr>
        <w:t>5</w:t>
      </w:r>
      <w:r>
        <w:rPr>
          <w:sz w:val="24"/>
        </w:rPr>
        <w:t>）</w:t>
      </w:r>
      <w:r>
        <w:rPr>
          <w:rFonts w:hAnsi="宋体"/>
          <w:bCs/>
          <w:sz w:val="24"/>
          <w:szCs w:val="24"/>
        </w:rPr>
        <w:t>对基金合同的修改对基金份额持有人利益无实质性不利影响或修改不涉及基金合同当事人权利义务关系发生重大变化；</w:t>
      </w:r>
    </w:p>
    <w:p w:rsidR="00783788" w:rsidRDefault="002C6E18">
      <w:pPr>
        <w:adjustRightInd w:val="0"/>
        <w:snapToGrid w:val="0"/>
        <w:spacing w:line="440" w:lineRule="exact"/>
        <w:ind w:firstLineChars="200" w:firstLine="480"/>
        <w:rPr>
          <w:bCs/>
          <w:sz w:val="24"/>
        </w:rPr>
      </w:pPr>
      <w:r>
        <w:rPr>
          <w:bCs/>
          <w:sz w:val="24"/>
        </w:rPr>
        <w:t>6</w:t>
      </w:r>
      <w:r>
        <w:rPr>
          <w:bCs/>
          <w:sz w:val="24"/>
        </w:rPr>
        <w:t>）</w:t>
      </w:r>
      <w:r>
        <w:rPr>
          <w:rFonts w:hAnsi="宋体" w:hint="eastAsia"/>
          <w:bCs/>
          <w:sz w:val="24"/>
        </w:rPr>
        <w:t>基金管理人根据基金实际运作情况和市场环境的变化，对年化现金支付比率进行调整；</w:t>
      </w:r>
    </w:p>
    <w:p w:rsidR="00783788" w:rsidRDefault="002C6E18">
      <w:pPr>
        <w:adjustRightInd w:val="0"/>
        <w:snapToGrid w:val="0"/>
        <w:spacing w:line="420" w:lineRule="exact"/>
        <w:ind w:firstLineChars="200" w:firstLine="480"/>
        <w:rPr>
          <w:bCs/>
          <w:sz w:val="24"/>
        </w:rPr>
      </w:pPr>
      <w:r>
        <w:rPr>
          <w:rFonts w:hAnsi="宋体" w:hint="eastAsia"/>
          <w:bCs/>
          <w:sz w:val="24"/>
          <w:szCs w:val="24"/>
        </w:rPr>
        <w:t>7</w:t>
      </w:r>
      <w:r>
        <w:rPr>
          <w:rFonts w:hAnsi="宋体" w:hint="eastAsia"/>
          <w:bCs/>
          <w:sz w:val="24"/>
          <w:szCs w:val="24"/>
        </w:rPr>
        <w:t>）</w:t>
      </w:r>
      <w:r>
        <w:rPr>
          <w:rFonts w:hAnsi="宋体"/>
          <w:bCs/>
          <w:sz w:val="24"/>
          <w:szCs w:val="24"/>
        </w:rPr>
        <w:t>按照法律法规和基金合同规定不需召开基金份额持有人大会的以外的其他情形。</w:t>
      </w:r>
    </w:p>
    <w:p w:rsidR="00783788" w:rsidRDefault="002C6E18">
      <w:pPr>
        <w:widowControl/>
        <w:adjustRightInd w:val="0"/>
        <w:snapToGrid w:val="0"/>
        <w:spacing w:line="360" w:lineRule="auto"/>
        <w:ind w:firstLineChars="200" w:firstLine="480"/>
        <w:outlineLvl w:val="8"/>
        <w:rPr>
          <w:sz w:val="24"/>
        </w:rPr>
      </w:pPr>
      <w:r>
        <w:rPr>
          <w:sz w:val="24"/>
        </w:rPr>
        <w:t>2</w:t>
      </w:r>
      <w:r>
        <w:rPr>
          <w:sz w:val="24"/>
        </w:rPr>
        <w:t>、会议召集人及召集方式</w:t>
      </w:r>
    </w:p>
    <w:p w:rsidR="00783788" w:rsidRDefault="002C6E18">
      <w:pPr>
        <w:adjustRightInd w:val="0"/>
        <w:snapToGrid w:val="0"/>
        <w:spacing w:line="360" w:lineRule="auto"/>
        <w:ind w:firstLineChars="200" w:firstLine="480"/>
        <w:rPr>
          <w:bCs/>
          <w:sz w:val="24"/>
        </w:rPr>
      </w:pPr>
      <w:r>
        <w:rPr>
          <w:bCs/>
          <w:sz w:val="24"/>
        </w:rPr>
        <w:t>（</w:t>
      </w:r>
      <w:r>
        <w:rPr>
          <w:bCs/>
          <w:sz w:val="24"/>
        </w:rPr>
        <w:t>1</w:t>
      </w:r>
      <w:r>
        <w:rPr>
          <w:bCs/>
          <w:sz w:val="24"/>
        </w:rPr>
        <w:t>）</w:t>
      </w:r>
      <w:r>
        <w:rPr>
          <w:rFonts w:hAnsi="宋体"/>
          <w:bCs/>
          <w:sz w:val="24"/>
          <w:szCs w:val="24"/>
        </w:rPr>
        <w:t>除法律法规规定或基金合同另有约定外，基金份额持有人大会由基金管理人召集；</w:t>
      </w:r>
    </w:p>
    <w:p w:rsidR="00783788" w:rsidRDefault="002C6E18">
      <w:pPr>
        <w:adjustRightInd w:val="0"/>
        <w:snapToGrid w:val="0"/>
        <w:spacing w:line="360" w:lineRule="auto"/>
        <w:ind w:firstLineChars="200" w:firstLine="480"/>
        <w:rPr>
          <w:bCs/>
          <w:sz w:val="24"/>
        </w:rPr>
      </w:pPr>
      <w:r>
        <w:rPr>
          <w:bCs/>
          <w:sz w:val="24"/>
        </w:rPr>
        <w:t>（</w:t>
      </w:r>
      <w:r>
        <w:rPr>
          <w:bCs/>
          <w:sz w:val="24"/>
        </w:rPr>
        <w:t>2</w:t>
      </w:r>
      <w:r>
        <w:rPr>
          <w:bCs/>
          <w:sz w:val="24"/>
        </w:rPr>
        <w:t>）</w:t>
      </w:r>
      <w:r>
        <w:rPr>
          <w:rFonts w:hAnsi="宋体"/>
          <w:bCs/>
          <w:sz w:val="24"/>
          <w:szCs w:val="24"/>
        </w:rPr>
        <w:t>基金管理人未按规定召集或不能召集时，由基金托管人召集；</w:t>
      </w:r>
    </w:p>
    <w:p w:rsidR="00783788" w:rsidRDefault="002C6E18">
      <w:pPr>
        <w:adjustRightInd w:val="0"/>
        <w:snapToGrid w:val="0"/>
        <w:spacing w:line="360" w:lineRule="auto"/>
        <w:ind w:firstLineChars="200" w:firstLine="480"/>
        <w:rPr>
          <w:bCs/>
          <w:sz w:val="24"/>
        </w:rPr>
      </w:pPr>
      <w:r>
        <w:rPr>
          <w:bCs/>
          <w:sz w:val="24"/>
        </w:rPr>
        <w:t>（</w:t>
      </w:r>
      <w:r>
        <w:rPr>
          <w:bCs/>
          <w:sz w:val="24"/>
        </w:rPr>
        <w:t>3</w:t>
      </w:r>
      <w:r>
        <w:rPr>
          <w:bCs/>
          <w:sz w:val="24"/>
        </w:rPr>
        <w:t>）</w:t>
      </w:r>
      <w:r>
        <w:rPr>
          <w:rFonts w:hAnsi="宋体"/>
          <w:bCs/>
          <w:sz w:val="24"/>
          <w:szCs w:val="24"/>
        </w:rPr>
        <w:t>基金托管人认为有必要召开基金份额持有人大会的，应当向基金管理人提出书面提议。基金管理人应当自收到书面提议之日起</w:t>
      </w:r>
      <w:r>
        <w:rPr>
          <w:bCs/>
          <w:sz w:val="24"/>
          <w:szCs w:val="24"/>
        </w:rPr>
        <w:t>10</w:t>
      </w:r>
      <w:r>
        <w:rPr>
          <w:rFonts w:hAnsi="宋体"/>
          <w:bCs/>
          <w:sz w:val="24"/>
          <w:szCs w:val="24"/>
        </w:rPr>
        <w:t>日内决定是否召集，并书面告知基金托管人。基金管理人决定召集的，应当自出具书面决定之日起</w:t>
      </w:r>
      <w:r>
        <w:rPr>
          <w:bCs/>
          <w:sz w:val="24"/>
          <w:szCs w:val="24"/>
        </w:rPr>
        <w:t>60</w:t>
      </w:r>
      <w:r>
        <w:rPr>
          <w:rFonts w:hAnsi="宋体"/>
          <w:bCs/>
          <w:sz w:val="24"/>
          <w:szCs w:val="24"/>
        </w:rPr>
        <w:t>日内召开；基金管理人决定不召集，基金托管人仍认为有必要召开的，应当由基金托管人自行召集。</w:t>
      </w:r>
    </w:p>
    <w:p w:rsidR="00783788" w:rsidRDefault="002C6E18">
      <w:pPr>
        <w:adjustRightInd w:val="0"/>
        <w:snapToGrid w:val="0"/>
        <w:spacing w:line="360" w:lineRule="auto"/>
        <w:ind w:firstLineChars="200" w:firstLine="480"/>
        <w:rPr>
          <w:bCs/>
          <w:sz w:val="24"/>
        </w:rPr>
      </w:pPr>
      <w:r>
        <w:rPr>
          <w:bCs/>
          <w:sz w:val="24"/>
        </w:rPr>
        <w:t>（</w:t>
      </w:r>
      <w:r>
        <w:rPr>
          <w:bCs/>
          <w:sz w:val="24"/>
        </w:rPr>
        <w:t>4</w:t>
      </w:r>
      <w:r>
        <w:rPr>
          <w:bCs/>
          <w:sz w:val="24"/>
        </w:rPr>
        <w:t>）</w:t>
      </w:r>
      <w:r>
        <w:rPr>
          <w:rFonts w:hAnsi="宋体"/>
          <w:bCs/>
          <w:sz w:val="24"/>
          <w:szCs w:val="24"/>
        </w:rPr>
        <w:t>代表基金份额</w:t>
      </w:r>
      <w:r>
        <w:rPr>
          <w:bCs/>
          <w:sz w:val="24"/>
          <w:szCs w:val="24"/>
        </w:rPr>
        <w:t>10%</w:t>
      </w:r>
      <w:r>
        <w:rPr>
          <w:rFonts w:hAnsi="宋体"/>
          <w:bCs/>
          <w:sz w:val="24"/>
          <w:szCs w:val="24"/>
        </w:rPr>
        <w:t>以上（含</w:t>
      </w:r>
      <w:r>
        <w:rPr>
          <w:bCs/>
          <w:sz w:val="24"/>
          <w:szCs w:val="24"/>
        </w:rPr>
        <w:t>10%</w:t>
      </w:r>
      <w:r>
        <w:rPr>
          <w:rFonts w:hAnsi="宋体"/>
          <w:bCs/>
          <w:sz w:val="24"/>
          <w:szCs w:val="24"/>
        </w:rPr>
        <w:t>）的基金份额持有人就同一事项书面要求召开基金份额持有人大会，应当向基金管理人提出书面提议。基金管理人应当自收到书面提议之日起</w:t>
      </w:r>
      <w:r>
        <w:rPr>
          <w:bCs/>
          <w:sz w:val="24"/>
          <w:szCs w:val="24"/>
        </w:rPr>
        <w:t>10</w:t>
      </w:r>
      <w:r>
        <w:rPr>
          <w:rFonts w:hAnsi="宋体"/>
          <w:bCs/>
          <w:sz w:val="24"/>
          <w:szCs w:val="24"/>
        </w:rPr>
        <w:t>日内决定是否召集，并书面告知提出提议的基金份额持有人代表和基金托管人。基金管理人决定召集的，应当自出具书面决定之日起</w:t>
      </w:r>
      <w:r>
        <w:rPr>
          <w:bCs/>
          <w:sz w:val="24"/>
          <w:szCs w:val="24"/>
        </w:rPr>
        <w:t>60</w:t>
      </w:r>
      <w:r>
        <w:rPr>
          <w:rFonts w:hAnsi="宋体"/>
          <w:bCs/>
          <w:sz w:val="24"/>
          <w:szCs w:val="24"/>
        </w:rPr>
        <w:t>日内召开；基金管理人决定不召集，代表基金份额</w:t>
      </w:r>
      <w:r>
        <w:rPr>
          <w:bCs/>
          <w:sz w:val="24"/>
          <w:szCs w:val="24"/>
        </w:rPr>
        <w:t>10%</w:t>
      </w:r>
      <w:r>
        <w:rPr>
          <w:rFonts w:hAnsi="宋体"/>
          <w:bCs/>
          <w:sz w:val="24"/>
          <w:szCs w:val="24"/>
        </w:rPr>
        <w:t>以上（含</w:t>
      </w:r>
      <w:r>
        <w:rPr>
          <w:bCs/>
          <w:sz w:val="24"/>
          <w:szCs w:val="24"/>
        </w:rPr>
        <w:t>10%</w:t>
      </w:r>
      <w:r>
        <w:rPr>
          <w:rFonts w:hAnsi="宋体"/>
          <w:bCs/>
          <w:sz w:val="24"/>
          <w:szCs w:val="24"/>
        </w:rPr>
        <w:t>）的基金份额持有人仍认为有必要召开的，应当向基金托管人提出书面提议。基金托管人应当自收到书面提议之日起</w:t>
      </w:r>
      <w:r>
        <w:rPr>
          <w:bCs/>
          <w:sz w:val="24"/>
          <w:szCs w:val="24"/>
        </w:rPr>
        <w:t>10</w:t>
      </w:r>
      <w:r>
        <w:rPr>
          <w:rFonts w:hAnsi="宋体"/>
          <w:bCs/>
          <w:sz w:val="24"/>
          <w:szCs w:val="24"/>
        </w:rPr>
        <w:t>日内决定是否召集，并书面告知提出提议的基金份额持有人代表和基金管理人；基金托管人决定召集的，应当自出具书面决定之日起</w:t>
      </w:r>
      <w:r>
        <w:rPr>
          <w:bCs/>
          <w:sz w:val="24"/>
          <w:szCs w:val="24"/>
        </w:rPr>
        <w:t>60</w:t>
      </w:r>
      <w:r>
        <w:rPr>
          <w:rFonts w:hAnsi="宋体"/>
          <w:bCs/>
          <w:sz w:val="24"/>
          <w:szCs w:val="24"/>
        </w:rPr>
        <w:t>日内召开。</w:t>
      </w:r>
    </w:p>
    <w:p w:rsidR="00783788" w:rsidRDefault="002C6E18">
      <w:pPr>
        <w:adjustRightInd w:val="0"/>
        <w:snapToGrid w:val="0"/>
        <w:spacing w:line="360" w:lineRule="auto"/>
        <w:ind w:firstLineChars="200" w:firstLine="480"/>
        <w:rPr>
          <w:bCs/>
          <w:sz w:val="24"/>
        </w:rPr>
      </w:pPr>
      <w:r>
        <w:rPr>
          <w:bCs/>
          <w:sz w:val="24"/>
        </w:rPr>
        <w:t>（</w:t>
      </w:r>
      <w:r>
        <w:rPr>
          <w:bCs/>
          <w:sz w:val="24"/>
        </w:rPr>
        <w:t>5</w:t>
      </w:r>
      <w:r>
        <w:rPr>
          <w:bCs/>
          <w:sz w:val="24"/>
        </w:rPr>
        <w:t>）</w:t>
      </w:r>
      <w:r>
        <w:rPr>
          <w:rFonts w:hAnsi="宋体"/>
          <w:bCs/>
          <w:sz w:val="24"/>
          <w:szCs w:val="24"/>
        </w:rPr>
        <w:t>代表基金份额</w:t>
      </w:r>
      <w:r>
        <w:rPr>
          <w:bCs/>
          <w:sz w:val="24"/>
          <w:szCs w:val="24"/>
        </w:rPr>
        <w:t>10%</w:t>
      </w:r>
      <w:r>
        <w:rPr>
          <w:rFonts w:hAnsi="宋体"/>
          <w:bCs/>
          <w:sz w:val="24"/>
          <w:szCs w:val="24"/>
        </w:rPr>
        <w:t>以上（含</w:t>
      </w:r>
      <w:r>
        <w:rPr>
          <w:bCs/>
          <w:sz w:val="24"/>
          <w:szCs w:val="24"/>
        </w:rPr>
        <w:t>10%</w:t>
      </w:r>
      <w:r>
        <w:rPr>
          <w:rFonts w:hAnsi="宋体"/>
          <w:bCs/>
          <w:sz w:val="24"/>
          <w:szCs w:val="24"/>
        </w:rPr>
        <w:t>）的基金份额持有人就同一事项要求召开基金份额持有人大会，而基金管理人、基金托管人都不召集的，单独或合计代表基金份额</w:t>
      </w:r>
      <w:r>
        <w:rPr>
          <w:bCs/>
          <w:sz w:val="24"/>
          <w:szCs w:val="24"/>
        </w:rPr>
        <w:t>10%</w:t>
      </w:r>
      <w:r>
        <w:rPr>
          <w:rFonts w:hAnsi="宋体"/>
          <w:bCs/>
          <w:sz w:val="24"/>
          <w:szCs w:val="24"/>
        </w:rPr>
        <w:t>以上（含</w:t>
      </w:r>
      <w:r>
        <w:rPr>
          <w:bCs/>
          <w:sz w:val="24"/>
          <w:szCs w:val="24"/>
        </w:rPr>
        <w:t>10%</w:t>
      </w:r>
      <w:r>
        <w:rPr>
          <w:rFonts w:hAnsi="宋体"/>
          <w:bCs/>
          <w:sz w:val="24"/>
          <w:szCs w:val="24"/>
        </w:rPr>
        <w:t>）的基金份额持有人有权自行召集，并至少提前</w:t>
      </w:r>
      <w:r>
        <w:rPr>
          <w:bCs/>
          <w:sz w:val="24"/>
          <w:szCs w:val="24"/>
        </w:rPr>
        <w:t>30</w:t>
      </w:r>
      <w:r>
        <w:rPr>
          <w:rFonts w:hAnsi="宋体"/>
          <w:bCs/>
          <w:sz w:val="24"/>
          <w:szCs w:val="24"/>
        </w:rPr>
        <w:t>日报中国证监会备案。基金份额持有人依法自行召集基金份额持有人大会的，基金管理人、基金托管人应当配合，不得阻碍、干扰。</w:t>
      </w:r>
    </w:p>
    <w:p w:rsidR="00783788" w:rsidRDefault="002C6E18">
      <w:pPr>
        <w:adjustRightInd w:val="0"/>
        <w:snapToGrid w:val="0"/>
        <w:spacing w:line="360" w:lineRule="auto"/>
        <w:ind w:firstLineChars="200" w:firstLine="480"/>
        <w:rPr>
          <w:sz w:val="24"/>
        </w:rPr>
      </w:pPr>
      <w:r>
        <w:rPr>
          <w:bCs/>
          <w:sz w:val="24"/>
        </w:rPr>
        <w:t>（</w:t>
      </w:r>
      <w:r>
        <w:rPr>
          <w:bCs/>
          <w:sz w:val="24"/>
        </w:rPr>
        <w:t>6</w:t>
      </w:r>
      <w:r>
        <w:rPr>
          <w:bCs/>
          <w:sz w:val="24"/>
        </w:rPr>
        <w:t>）</w:t>
      </w:r>
      <w:r>
        <w:rPr>
          <w:rFonts w:hAnsi="宋体"/>
          <w:bCs/>
          <w:sz w:val="24"/>
          <w:szCs w:val="24"/>
        </w:rPr>
        <w:t>基金份额持有人会议的召集人负责选择确定开会时间、地点、方式和权益登记日。</w:t>
      </w:r>
    </w:p>
    <w:p w:rsidR="00783788" w:rsidRDefault="002C6E18">
      <w:pPr>
        <w:widowControl/>
        <w:adjustRightInd w:val="0"/>
        <w:snapToGrid w:val="0"/>
        <w:spacing w:line="360" w:lineRule="auto"/>
        <w:ind w:firstLineChars="200" w:firstLine="480"/>
        <w:outlineLvl w:val="8"/>
        <w:rPr>
          <w:sz w:val="24"/>
        </w:rPr>
      </w:pPr>
      <w:r>
        <w:rPr>
          <w:sz w:val="24"/>
        </w:rPr>
        <w:t>3</w:t>
      </w:r>
      <w:r>
        <w:rPr>
          <w:sz w:val="24"/>
        </w:rPr>
        <w:t>、召开基金份额持有人大会的通知时间、通知内容、通知方式</w:t>
      </w:r>
    </w:p>
    <w:p w:rsidR="00783788" w:rsidRDefault="002C6E18">
      <w:pPr>
        <w:adjustRightInd w:val="0"/>
        <w:snapToGrid w:val="0"/>
        <w:spacing w:line="360" w:lineRule="auto"/>
        <w:ind w:firstLineChars="200" w:firstLine="480"/>
        <w:rPr>
          <w:bCs/>
          <w:sz w:val="24"/>
        </w:rPr>
      </w:pPr>
      <w:r>
        <w:rPr>
          <w:bCs/>
          <w:sz w:val="24"/>
        </w:rPr>
        <w:t>（</w:t>
      </w:r>
      <w:r>
        <w:rPr>
          <w:bCs/>
          <w:sz w:val="24"/>
        </w:rPr>
        <w:t>1</w:t>
      </w:r>
      <w:r>
        <w:rPr>
          <w:bCs/>
          <w:sz w:val="24"/>
        </w:rPr>
        <w:t>）</w:t>
      </w:r>
      <w:r>
        <w:rPr>
          <w:rFonts w:hAnsi="宋体"/>
          <w:bCs/>
          <w:sz w:val="24"/>
          <w:szCs w:val="24"/>
        </w:rPr>
        <w:t>召开基金份额持有人大会，召集人应于会议召开前</w:t>
      </w:r>
      <w:r>
        <w:rPr>
          <w:bCs/>
          <w:sz w:val="24"/>
          <w:szCs w:val="24"/>
        </w:rPr>
        <w:t>30</w:t>
      </w:r>
      <w:r>
        <w:rPr>
          <w:rFonts w:hAnsi="宋体"/>
          <w:bCs/>
          <w:sz w:val="24"/>
          <w:szCs w:val="24"/>
        </w:rPr>
        <w:t>日，在指定媒体公告。基金份额持有人大会通知应至少载明以下内容：</w:t>
      </w:r>
    </w:p>
    <w:p w:rsidR="00783788" w:rsidRDefault="002C6E18">
      <w:pPr>
        <w:adjustRightInd w:val="0"/>
        <w:snapToGrid w:val="0"/>
        <w:spacing w:line="360" w:lineRule="auto"/>
        <w:ind w:firstLineChars="200" w:firstLine="480"/>
        <w:rPr>
          <w:bCs/>
          <w:sz w:val="24"/>
        </w:rPr>
      </w:pPr>
      <w:r>
        <w:rPr>
          <w:bCs/>
          <w:sz w:val="24"/>
        </w:rPr>
        <w:t>1</w:t>
      </w:r>
      <w:r>
        <w:rPr>
          <w:bCs/>
          <w:sz w:val="24"/>
        </w:rPr>
        <w:t>）</w:t>
      </w:r>
      <w:r>
        <w:rPr>
          <w:rFonts w:hAnsi="宋体"/>
          <w:bCs/>
          <w:sz w:val="24"/>
          <w:szCs w:val="24"/>
        </w:rPr>
        <w:t>会议召开的时间、地点和会议形式；</w:t>
      </w:r>
    </w:p>
    <w:p w:rsidR="00783788" w:rsidRDefault="002C6E18">
      <w:pPr>
        <w:adjustRightInd w:val="0"/>
        <w:snapToGrid w:val="0"/>
        <w:spacing w:line="360" w:lineRule="auto"/>
        <w:ind w:firstLineChars="200" w:firstLine="480"/>
        <w:rPr>
          <w:bCs/>
          <w:sz w:val="24"/>
        </w:rPr>
      </w:pPr>
      <w:r>
        <w:rPr>
          <w:bCs/>
          <w:sz w:val="24"/>
        </w:rPr>
        <w:t>2</w:t>
      </w:r>
      <w:r>
        <w:rPr>
          <w:bCs/>
          <w:sz w:val="24"/>
        </w:rPr>
        <w:t>）</w:t>
      </w:r>
      <w:r>
        <w:rPr>
          <w:rFonts w:hAnsi="宋体"/>
          <w:bCs/>
          <w:sz w:val="24"/>
          <w:szCs w:val="24"/>
        </w:rPr>
        <w:t>会议拟审议的事项、议事程序和表决方式；</w:t>
      </w:r>
    </w:p>
    <w:p w:rsidR="00783788" w:rsidRDefault="002C6E18">
      <w:pPr>
        <w:adjustRightInd w:val="0"/>
        <w:snapToGrid w:val="0"/>
        <w:spacing w:line="360" w:lineRule="auto"/>
        <w:ind w:firstLineChars="200" w:firstLine="480"/>
        <w:rPr>
          <w:bCs/>
          <w:sz w:val="24"/>
        </w:rPr>
      </w:pPr>
      <w:r>
        <w:rPr>
          <w:bCs/>
          <w:sz w:val="24"/>
        </w:rPr>
        <w:t>3</w:t>
      </w:r>
      <w:r>
        <w:rPr>
          <w:bCs/>
          <w:sz w:val="24"/>
        </w:rPr>
        <w:t>）</w:t>
      </w:r>
      <w:r>
        <w:rPr>
          <w:rFonts w:hAnsi="宋体"/>
          <w:bCs/>
          <w:sz w:val="24"/>
          <w:szCs w:val="24"/>
        </w:rPr>
        <w:t>有权出席基金份额持有人大会的基金份额持有人的权益登记日；</w:t>
      </w:r>
    </w:p>
    <w:p w:rsidR="00783788" w:rsidRDefault="002C6E18">
      <w:pPr>
        <w:adjustRightInd w:val="0"/>
        <w:snapToGrid w:val="0"/>
        <w:spacing w:line="360" w:lineRule="auto"/>
        <w:ind w:firstLineChars="200" w:firstLine="480"/>
        <w:rPr>
          <w:bCs/>
          <w:sz w:val="24"/>
        </w:rPr>
      </w:pPr>
      <w:r>
        <w:rPr>
          <w:bCs/>
          <w:sz w:val="24"/>
        </w:rPr>
        <w:t>4</w:t>
      </w:r>
      <w:r>
        <w:rPr>
          <w:bCs/>
          <w:sz w:val="24"/>
        </w:rPr>
        <w:t>）</w:t>
      </w:r>
      <w:r>
        <w:rPr>
          <w:rFonts w:hAnsi="宋体"/>
          <w:bCs/>
          <w:sz w:val="24"/>
          <w:szCs w:val="24"/>
        </w:rPr>
        <w:t>授权委托证明的内容要求（包括但不限于代理人身份，代理权限和代理有效期限等）、送达时间和地点</w:t>
      </w:r>
      <w:r>
        <w:rPr>
          <w:rFonts w:hint="eastAsia"/>
          <w:bCs/>
          <w:sz w:val="24"/>
          <w:szCs w:val="24"/>
        </w:rPr>
        <w:t>；</w:t>
      </w:r>
    </w:p>
    <w:p w:rsidR="00783788" w:rsidRDefault="002C6E18">
      <w:pPr>
        <w:adjustRightInd w:val="0"/>
        <w:snapToGrid w:val="0"/>
        <w:spacing w:line="360" w:lineRule="auto"/>
        <w:ind w:firstLineChars="200" w:firstLine="480"/>
        <w:rPr>
          <w:bCs/>
          <w:sz w:val="24"/>
        </w:rPr>
      </w:pPr>
      <w:r>
        <w:rPr>
          <w:bCs/>
          <w:sz w:val="24"/>
        </w:rPr>
        <w:t>5</w:t>
      </w:r>
      <w:r>
        <w:rPr>
          <w:bCs/>
          <w:sz w:val="24"/>
        </w:rPr>
        <w:t>）</w:t>
      </w:r>
      <w:r>
        <w:rPr>
          <w:rFonts w:hAnsi="宋体"/>
          <w:bCs/>
          <w:sz w:val="24"/>
          <w:szCs w:val="24"/>
        </w:rPr>
        <w:t>会务常设联系人姓名及联系电话；</w:t>
      </w:r>
    </w:p>
    <w:p w:rsidR="00783788" w:rsidRDefault="002C6E18">
      <w:pPr>
        <w:adjustRightInd w:val="0"/>
        <w:snapToGrid w:val="0"/>
        <w:spacing w:line="360" w:lineRule="auto"/>
        <w:ind w:firstLineChars="200" w:firstLine="480"/>
        <w:rPr>
          <w:bCs/>
          <w:sz w:val="24"/>
        </w:rPr>
      </w:pPr>
      <w:r>
        <w:rPr>
          <w:bCs/>
          <w:sz w:val="24"/>
        </w:rPr>
        <w:t>6</w:t>
      </w:r>
      <w:r>
        <w:rPr>
          <w:bCs/>
          <w:sz w:val="24"/>
        </w:rPr>
        <w:t>）</w:t>
      </w:r>
      <w:r>
        <w:rPr>
          <w:rFonts w:hAnsi="宋体"/>
          <w:bCs/>
          <w:sz w:val="24"/>
          <w:szCs w:val="24"/>
        </w:rPr>
        <w:t>出席会议者必须准备的文件和必须履行的手续；</w:t>
      </w:r>
    </w:p>
    <w:p w:rsidR="00783788" w:rsidRDefault="002C6E18">
      <w:pPr>
        <w:adjustRightInd w:val="0"/>
        <w:snapToGrid w:val="0"/>
        <w:spacing w:line="360" w:lineRule="auto"/>
        <w:ind w:firstLineChars="200" w:firstLine="480"/>
        <w:rPr>
          <w:bCs/>
          <w:sz w:val="24"/>
        </w:rPr>
      </w:pPr>
      <w:r>
        <w:rPr>
          <w:bCs/>
          <w:sz w:val="24"/>
        </w:rPr>
        <w:t>7</w:t>
      </w:r>
      <w:r>
        <w:rPr>
          <w:bCs/>
          <w:sz w:val="24"/>
        </w:rPr>
        <w:t>）</w:t>
      </w:r>
      <w:r>
        <w:rPr>
          <w:rFonts w:hAnsi="宋体"/>
          <w:bCs/>
          <w:sz w:val="24"/>
          <w:szCs w:val="24"/>
        </w:rPr>
        <w:t>召集人需要通知的其他事项。</w:t>
      </w:r>
    </w:p>
    <w:p w:rsidR="00783788" w:rsidRDefault="002C6E18">
      <w:pPr>
        <w:adjustRightInd w:val="0"/>
        <w:snapToGrid w:val="0"/>
        <w:spacing w:line="360" w:lineRule="auto"/>
        <w:ind w:firstLineChars="200" w:firstLine="480"/>
        <w:rPr>
          <w:bCs/>
          <w:sz w:val="24"/>
        </w:rPr>
      </w:pPr>
      <w:r>
        <w:rPr>
          <w:bCs/>
          <w:sz w:val="24"/>
        </w:rPr>
        <w:t>（</w:t>
      </w:r>
      <w:r>
        <w:rPr>
          <w:bCs/>
          <w:sz w:val="24"/>
        </w:rPr>
        <w:t>2</w:t>
      </w:r>
      <w:r>
        <w:rPr>
          <w:bCs/>
          <w:sz w:val="24"/>
        </w:rPr>
        <w:t>）</w:t>
      </w:r>
      <w:r>
        <w:rPr>
          <w:rFonts w:hAnsi="宋体"/>
          <w:bCs/>
          <w:sz w:val="24"/>
          <w:szCs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rsidR="00783788" w:rsidRDefault="002C6E18">
      <w:pPr>
        <w:widowControl/>
        <w:adjustRightInd w:val="0"/>
        <w:snapToGrid w:val="0"/>
        <w:spacing w:line="360" w:lineRule="auto"/>
        <w:ind w:firstLineChars="200" w:firstLine="480"/>
        <w:outlineLvl w:val="8"/>
        <w:rPr>
          <w:sz w:val="24"/>
        </w:rPr>
      </w:pPr>
      <w:r>
        <w:rPr>
          <w:bCs/>
          <w:sz w:val="24"/>
        </w:rPr>
        <w:t>（</w:t>
      </w:r>
      <w:r>
        <w:rPr>
          <w:bCs/>
          <w:sz w:val="24"/>
        </w:rPr>
        <w:t>3</w:t>
      </w:r>
      <w:r>
        <w:rPr>
          <w:bCs/>
          <w:sz w:val="24"/>
        </w:rPr>
        <w:t>）</w:t>
      </w:r>
      <w:r>
        <w:rPr>
          <w:rFonts w:hAnsi="宋体"/>
          <w:bCs/>
          <w:sz w:val="24"/>
          <w:szCs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书面表决意见的计票进行监督的，不影响表决意见的计票效力。</w:t>
      </w:r>
    </w:p>
    <w:p w:rsidR="00783788" w:rsidRDefault="002C6E18">
      <w:pPr>
        <w:widowControl/>
        <w:adjustRightInd w:val="0"/>
        <w:snapToGrid w:val="0"/>
        <w:spacing w:line="360" w:lineRule="auto"/>
        <w:ind w:firstLineChars="200" w:firstLine="480"/>
        <w:outlineLvl w:val="8"/>
        <w:rPr>
          <w:sz w:val="24"/>
        </w:rPr>
      </w:pPr>
      <w:r>
        <w:rPr>
          <w:sz w:val="24"/>
        </w:rPr>
        <w:t>4</w:t>
      </w:r>
      <w:r>
        <w:rPr>
          <w:sz w:val="24"/>
        </w:rPr>
        <w:t>、基金份额持有人出席会议的方式</w:t>
      </w:r>
    </w:p>
    <w:p w:rsidR="00783788" w:rsidRDefault="002C6E18">
      <w:pPr>
        <w:adjustRightInd w:val="0"/>
        <w:snapToGrid w:val="0"/>
        <w:spacing w:line="360" w:lineRule="auto"/>
        <w:ind w:firstLineChars="200" w:firstLine="480"/>
        <w:rPr>
          <w:bCs/>
          <w:sz w:val="24"/>
        </w:rPr>
      </w:pPr>
      <w:r>
        <w:rPr>
          <w:rFonts w:hAnsi="宋体"/>
          <w:bCs/>
          <w:sz w:val="24"/>
          <w:szCs w:val="24"/>
        </w:rPr>
        <w:t>基金份额持有人大会可通过现场开会方式、通讯开会方式</w:t>
      </w:r>
      <w:r>
        <w:rPr>
          <w:rFonts w:hAnsi="宋体"/>
          <w:sz w:val="24"/>
          <w:szCs w:val="24"/>
        </w:rPr>
        <w:t>或法律法规和监管机关允许的其他方式</w:t>
      </w:r>
      <w:r>
        <w:rPr>
          <w:rFonts w:hAnsi="宋体"/>
          <w:bCs/>
          <w:sz w:val="24"/>
          <w:szCs w:val="24"/>
        </w:rPr>
        <w:t>召开，会议的召开方式由会议召集人确定。</w:t>
      </w:r>
    </w:p>
    <w:p w:rsidR="00783788" w:rsidRDefault="002C6E18">
      <w:pPr>
        <w:adjustRightInd w:val="0"/>
        <w:snapToGrid w:val="0"/>
        <w:spacing w:line="360" w:lineRule="auto"/>
        <w:ind w:firstLineChars="200" w:firstLine="480"/>
        <w:rPr>
          <w:bCs/>
          <w:sz w:val="24"/>
        </w:rPr>
      </w:pPr>
      <w:r>
        <w:rPr>
          <w:bCs/>
          <w:sz w:val="24"/>
        </w:rPr>
        <w:t>（</w:t>
      </w:r>
      <w:r>
        <w:rPr>
          <w:bCs/>
          <w:sz w:val="24"/>
        </w:rPr>
        <w:t>1</w:t>
      </w:r>
      <w:r>
        <w:rPr>
          <w:bCs/>
          <w:sz w:val="24"/>
        </w:rPr>
        <w:t>）</w:t>
      </w:r>
      <w:r>
        <w:rPr>
          <w:rFonts w:hAnsi="宋体"/>
          <w:bCs/>
          <w:sz w:val="24"/>
          <w:szCs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rsidR="00783788" w:rsidRDefault="002C6E18">
      <w:pPr>
        <w:adjustRightInd w:val="0"/>
        <w:snapToGrid w:val="0"/>
        <w:spacing w:line="360" w:lineRule="auto"/>
        <w:ind w:firstLineChars="200" w:firstLine="480"/>
        <w:rPr>
          <w:bCs/>
          <w:sz w:val="24"/>
        </w:rPr>
      </w:pPr>
      <w:r>
        <w:rPr>
          <w:bCs/>
          <w:sz w:val="24"/>
        </w:rPr>
        <w:t>1</w:t>
      </w:r>
      <w:r>
        <w:rPr>
          <w:bCs/>
          <w:sz w:val="24"/>
        </w:rPr>
        <w:t>）</w:t>
      </w:r>
      <w:r>
        <w:rPr>
          <w:rFonts w:hAnsi="宋体"/>
          <w:bCs/>
          <w:sz w:val="24"/>
          <w:szCs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783788" w:rsidRDefault="002C6E18">
      <w:pPr>
        <w:adjustRightInd w:val="0"/>
        <w:snapToGrid w:val="0"/>
        <w:spacing w:line="360" w:lineRule="auto"/>
        <w:ind w:firstLineChars="200" w:firstLine="480"/>
        <w:rPr>
          <w:bCs/>
          <w:sz w:val="24"/>
        </w:rPr>
      </w:pPr>
      <w:r>
        <w:rPr>
          <w:bCs/>
          <w:sz w:val="24"/>
        </w:rPr>
        <w:t>2</w:t>
      </w:r>
      <w:r>
        <w:rPr>
          <w:bCs/>
          <w:sz w:val="24"/>
        </w:rPr>
        <w:t>）</w:t>
      </w:r>
      <w:r>
        <w:rPr>
          <w:rFonts w:hAnsi="宋体"/>
          <w:bCs/>
          <w:sz w:val="24"/>
          <w:szCs w:val="24"/>
        </w:rPr>
        <w:t>经核对，汇总到会者出示的在权益登记日持有基金份额的凭证显示，有效的基金份额不少于本基金在权益登记日基金总份额的</w:t>
      </w:r>
      <w:r>
        <w:rPr>
          <w:bCs/>
          <w:sz w:val="24"/>
          <w:szCs w:val="24"/>
        </w:rPr>
        <w:t>50%</w:t>
      </w:r>
      <w:r>
        <w:rPr>
          <w:rFonts w:hAnsi="宋体"/>
          <w:bCs/>
          <w:sz w:val="24"/>
          <w:szCs w:val="24"/>
        </w:rPr>
        <w:t>（含</w:t>
      </w:r>
      <w:r>
        <w:rPr>
          <w:bCs/>
          <w:sz w:val="24"/>
          <w:szCs w:val="24"/>
        </w:rPr>
        <w:t>50%</w:t>
      </w:r>
      <w:r>
        <w:rPr>
          <w:rFonts w:hAnsi="宋体"/>
          <w:bCs/>
          <w:sz w:val="24"/>
          <w:szCs w:val="24"/>
        </w:rPr>
        <w:t>）。</w:t>
      </w:r>
    </w:p>
    <w:p w:rsidR="00783788" w:rsidRDefault="002C6E18">
      <w:pPr>
        <w:adjustRightInd w:val="0"/>
        <w:snapToGrid w:val="0"/>
        <w:spacing w:line="360" w:lineRule="auto"/>
        <w:ind w:firstLineChars="200" w:firstLine="480"/>
        <w:rPr>
          <w:bCs/>
          <w:sz w:val="24"/>
          <w:szCs w:val="24"/>
        </w:rPr>
      </w:pPr>
      <w:r>
        <w:rPr>
          <w:bCs/>
          <w:sz w:val="24"/>
        </w:rPr>
        <w:t>（</w:t>
      </w:r>
      <w:r>
        <w:rPr>
          <w:bCs/>
          <w:sz w:val="24"/>
        </w:rPr>
        <w:t>2</w:t>
      </w:r>
      <w:r>
        <w:rPr>
          <w:bCs/>
          <w:sz w:val="24"/>
        </w:rPr>
        <w:t>）</w:t>
      </w:r>
      <w:r>
        <w:rPr>
          <w:rFonts w:hAnsi="宋体"/>
          <w:bCs/>
          <w:sz w:val="24"/>
          <w:szCs w:val="24"/>
        </w:rPr>
        <w:t>通讯开会。通讯开会系指基金份额持有人将其对表决事项的投票以书面形式在表决截至日以前送达至召集人指定的地址。通讯开会应以书面方式进行表决。</w:t>
      </w:r>
    </w:p>
    <w:p w:rsidR="00783788" w:rsidRDefault="002C6E18">
      <w:pPr>
        <w:adjustRightInd w:val="0"/>
        <w:snapToGrid w:val="0"/>
        <w:spacing w:line="360" w:lineRule="auto"/>
        <w:ind w:firstLineChars="200" w:firstLine="480"/>
        <w:rPr>
          <w:bCs/>
          <w:sz w:val="24"/>
        </w:rPr>
      </w:pPr>
      <w:r>
        <w:rPr>
          <w:rFonts w:hAnsi="宋体"/>
          <w:bCs/>
          <w:sz w:val="24"/>
          <w:szCs w:val="24"/>
        </w:rPr>
        <w:t>在同时符合以下条件时，通讯开会的方式视为有效：</w:t>
      </w:r>
    </w:p>
    <w:p w:rsidR="00783788" w:rsidRDefault="002C6E18">
      <w:pPr>
        <w:adjustRightInd w:val="0"/>
        <w:snapToGrid w:val="0"/>
        <w:spacing w:line="360" w:lineRule="auto"/>
        <w:ind w:firstLineChars="200" w:firstLine="480"/>
        <w:rPr>
          <w:bCs/>
          <w:sz w:val="24"/>
        </w:rPr>
      </w:pPr>
      <w:r>
        <w:rPr>
          <w:bCs/>
          <w:sz w:val="24"/>
        </w:rPr>
        <w:t>1</w:t>
      </w:r>
      <w:r>
        <w:rPr>
          <w:bCs/>
          <w:sz w:val="24"/>
        </w:rPr>
        <w:t>）</w:t>
      </w:r>
      <w:r>
        <w:rPr>
          <w:rFonts w:hAnsi="宋体"/>
          <w:bCs/>
          <w:sz w:val="24"/>
          <w:szCs w:val="24"/>
        </w:rPr>
        <w:t>会议召集人按基金合同约定公布会议通知后，在</w:t>
      </w:r>
      <w:r>
        <w:rPr>
          <w:bCs/>
          <w:sz w:val="24"/>
          <w:szCs w:val="24"/>
        </w:rPr>
        <w:t>2</w:t>
      </w:r>
      <w:r>
        <w:rPr>
          <w:rFonts w:hAnsi="宋体"/>
          <w:bCs/>
          <w:sz w:val="24"/>
          <w:szCs w:val="24"/>
        </w:rPr>
        <w:t>个工作日内连续公布相关提示性公告；</w:t>
      </w:r>
    </w:p>
    <w:p w:rsidR="00783788" w:rsidRDefault="002C6E18">
      <w:pPr>
        <w:adjustRightInd w:val="0"/>
        <w:snapToGrid w:val="0"/>
        <w:spacing w:line="360" w:lineRule="auto"/>
        <w:ind w:firstLineChars="200" w:firstLine="480"/>
        <w:rPr>
          <w:bCs/>
          <w:sz w:val="24"/>
        </w:rPr>
      </w:pPr>
      <w:r>
        <w:rPr>
          <w:bCs/>
          <w:sz w:val="24"/>
        </w:rPr>
        <w:t>2</w:t>
      </w:r>
      <w:r>
        <w:rPr>
          <w:bCs/>
          <w:sz w:val="24"/>
        </w:rPr>
        <w:t>）</w:t>
      </w:r>
      <w:r>
        <w:rPr>
          <w:rFonts w:hAnsi="宋体"/>
          <w:bCs/>
          <w:sz w:val="24"/>
          <w:szCs w:val="24"/>
        </w:rPr>
        <w:t>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rsidR="00783788" w:rsidRDefault="002C6E18">
      <w:pPr>
        <w:adjustRightInd w:val="0"/>
        <w:snapToGrid w:val="0"/>
        <w:spacing w:line="360" w:lineRule="auto"/>
        <w:ind w:firstLineChars="200" w:firstLine="480"/>
        <w:rPr>
          <w:bCs/>
          <w:sz w:val="24"/>
        </w:rPr>
      </w:pPr>
      <w:r>
        <w:rPr>
          <w:bCs/>
          <w:sz w:val="24"/>
        </w:rPr>
        <w:t>3</w:t>
      </w:r>
      <w:r>
        <w:rPr>
          <w:bCs/>
          <w:sz w:val="24"/>
        </w:rPr>
        <w:t>）</w:t>
      </w:r>
      <w:r>
        <w:rPr>
          <w:rFonts w:hAnsi="宋体"/>
          <w:bCs/>
          <w:sz w:val="24"/>
          <w:szCs w:val="24"/>
        </w:rPr>
        <w:t>本人直接出具书面意见或授权他人代表出具书面意见的，基金份额持有人所持有的基金份额不小于在权益登记日基金总份额的</w:t>
      </w:r>
      <w:r>
        <w:rPr>
          <w:bCs/>
          <w:sz w:val="24"/>
          <w:szCs w:val="24"/>
        </w:rPr>
        <w:t>50%</w:t>
      </w:r>
      <w:r>
        <w:rPr>
          <w:rFonts w:hAnsi="宋体"/>
          <w:bCs/>
          <w:sz w:val="24"/>
          <w:szCs w:val="24"/>
        </w:rPr>
        <w:t>（含</w:t>
      </w:r>
      <w:r>
        <w:rPr>
          <w:bCs/>
          <w:sz w:val="24"/>
          <w:szCs w:val="24"/>
        </w:rPr>
        <w:t>50%</w:t>
      </w:r>
      <w:r>
        <w:rPr>
          <w:rFonts w:hAnsi="宋体"/>
          <w:bCs/>
          <w:sz w:val="24"/>
          <w:szCs w:val="24"/>
        </w:rPr>
        <w:t>）；</w:t>
      </w:r>
    </w:p>
    <w:p w:rsidR="00783788" w:rsidRDefault="002C6E18">
      <w:pPr>
        <w:adjustRightInd w:val="0"/>
        <w:snapToGrid w:val="0"/>
        <w:spacing w:line="360" w:lineRule="auto"/>
        <w:ind w:firstLineChars="200" w:firstLine="480"/>
        <w:rPr>
          <w:bCs/>
          <w:sz w:val="24"/>
        </w:rPr>
      </w:pPr>
      <w:r>
        <w:rPr>
          <w:bCs/>
          <w:sz w:val="24"/>
        </w:rPr>
        <w:t>4</w:t>
      </w:r>
      <w:r>
        <w:rPr>
          <w:bCs/>
          <w:sz w:val="24"/>
        </w:rPr>
        <w:t>）</w:t>
      </w:r>
      <w:r>
        <w:rPr>
          <w:rFonts w:hAnsi="宋体"/>
          <w:bCs/>
          <w:sz w:val="24"/>
          <w:szCs w:val="24"/>
        </w:rPr>
        <w:t>上述第</w:t>
      </w:r>
      <w:r>
        <w:rPr>
          <w:bCs/>
          <w:sz w:val="24"/>
          <w:szCs w:val="24"/>
        </w:rPr>
        <w:t>3</w:t>
      </w:r>
      <w:r>
        <w:rPr>
          <w:rFonts w:hAnsi="宋体"/>
          <w:bCs/>
          <w:sz w:val="24"/>
          <w:szCs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p>
    <w:p w:rsidR="00783788" w:rsidRDefault="002C6E18">
      <w:pPr>
        <w:adjustRightInd w:val="0"/>
        <w:snapToGrid w:val="0"/>
        <w:spacing w:line="360" w:lineRule="auto"/>
        <w:ind w:firstLineChars="200" w:firstLine="480"/>
        <w:rPr>
          <w:bCs/>
          <w:sz w:val="24"/>
        </w:rPr>
      </w:pPr>
      <w:r>
        <w:rPr>
          <w:bCs/>
          <w:sz w:val="24"/>
        </w:rPr>
        <w:t>5</w:t>
      </w:r>
      <w:r>
        <w:rPr>
          <w:bCs/>
          <w:sz w:val="24"/>
        </w:rPr>
        <w:t>）</w:t>
      </w:r>
      <w:r>
        <w:rPr>
          <w:rFonts w:hAnsi="宋体"/>
          <w:bCs/>
          <w:sz w:val="24"/>
          <w:szCs w:val="24"/>
        </w:rPr>
        <w:t>会议通知公布前报中国证监会备案。</w:t>
      </w:r>
    </w:p>
    <w:p w:rsidR="00783788" w:rsidRDefault="002C6E18">
      <w:pPr>
        <w:adjustRightInd w:val="0"/>
        <w:snapToGrid w:val="0"/>
        <w:spacing w:line="360" w:lineRule="auto"/>
        <w:ind w:firstLineChars="200" w:firstLine="480"/>
        <w:rPr>
          <w:sz w:val="24"/>
        </w:rPr>
      </w:pPr>
      <w:r>
        <w:rPr>
          <w:bCs/>
          <w:sz w:val="24"/>
        </w:rPr>
        <w:t>（</w:t>
      </w:r>
      <w:r>
        <w:rPr>
          <w:bCs/>
          <w:sz w:val="24"/>
        </w:rPr>
        <w:t>3</w:t>
      </w:r>
      <w:r>
        <w:rPr>
          <w:bCs/>
          <w:sz w:val="24"/>
        </w:rPr>
        <w:t>）</w:t>
      </w:r>
      <w:r>
        <w:rPr>
          <w:rFonts w:hAnsi="宋体"/>
          <w:bCs/>
          <w:sz w:val="24"/>
          <w:szCs w:val="24"/>
        </w:rPr>
        <w:t>在法律法规或监管机关允许的情况下，本基金亦可采用网络、电话等其他非书面方式由基金份额持有人向其授权代表进行授权。</w:t>
      </w:r>
    </w:p>
    <w:p w:rsidR="00783788" w:rsidRDefault="002C6E18">
      <w:pPr>
        <w:widowControl/>
        <w:adjustRightInd w:val="0"/>
        <w:snapToGrid w:val="0"/>
        <w:spacing w:line="360" w:lineRule="auto"/>
        <w:ind w:firstLineChars="200" w:firstLine="480"/>
        <w:outlineLvl w:val="8"/>
        <w:rPr>
          <w:sz w:val="24"/>
        </w:rPr>
      </w:pPr>
      <w:r>
        <w:rPr>
          <w:bCs/>
          <w:sz w:val="24"/>
        </w:rPr>
        <w:t>（</w:t>
      </w:r>
      <w:r>
        <w:rPr>
          <w:bCs/>
          <w:sz w:val="24"/>
        </w:rPr>
        <w:t>4</w:t>
      </w:r>
      <w:r>
        <w:rPr>
          <w:bCs/>
          <w:sz w:val="24"/>
        </w:rPr>
        <w:t>）</w:t>
      </w:r>
      <w:r>
        <w:rPr>
          <w:rFonts w:hAnsi="宋体"/>
          <w:bCs/>
          <w:sz w:val="24"/>
          <w:szCs w:val="24"/>
        </w:rPr>
        <w:t>在法律法规和监管机关允许的情况下，本基金亦可采用网络、电话等其他非现场方式或者以非现场方式与现场方式结合的方式召开基金份额持有人大会，会议程序比照现场开会和通讯方式开会的程序进行。</w:t>
      </w:r>
    </w:p>
    <w:p w:rsidR="00783788" w:rsidRDefault="002C6E18">
      <w:pPr>
        <w:widowControl/>
        <w:adjustRightInd w:val="0"/>
        <w:snapToGrid w:val="0"/>
        <w:spacing w:line="360" w:lineRule="auto"/>
        <w:ind w:firstLineChars="200" w:firstLine="480"/>
        <w:outlineLvl w:val="8"/>
        <w:rPr>
          <w:sz w:val="24"/>
        </w:rPr>
      </w:pPr>
      <w:r>
        <w:rPr>
          <w:sz w:val="24"/>
        </w:rPr>
        <w:t>5</w:t>
      </w:r>
      <w:r>
        <w:rPr>
          <w:sz w:val="24"/>
        </w:rPr>
        <w:t>、议事内容与程序</w:t>
      </w:r>
    </w:p>
    <w:p w:rsidR="00783788" w:rsidRDefault="002C6E18">
      <w:pPr>
        <w:adjustRightInd w:val="0"/>
        <w:snapToGrid w:val="0"/>
        <w:spacing w:line="360" w:lineRule="auto"/>
        <w:ind w:firstLineChars="200" w:firstLine="480"/>
        <w:rPr>
          <w:bCs/>
          <w:sz w:val="24"/>
        </w:rPr>
      </w:pPr>
      <w:r>
        <w:rPr>
          <w:bCs/>
          <w:sz w:val="24"/>
        </w:rPr>
        <w:t>（</w:t>
      </w:r>
      <w:r>
        <w:rPr>
          <w:bCs/>
          <w:sz w:val="24"/>
        </w:rPr>
        <w:t>1</w:t>
      </w:r>
      <w:r>
        <w:rPr>
          <w:bCs/>
          <w:sz w:val="24"/>
        </w:rPr>
        <w:t>）议事内容及提案权</w:t>
      </w:r>
    </w:p>
    <w:p w:rsidR="00783788" w:rsidRDefault="002C6E18">
      <w:pPr>
        <w:adjustRightInd w:val="0"/>
        <w:snapToGrid w:val="0"/>
        <w:spacing w:line="360" w:lineRule="auto"/>
        <w:ind w:firstLineChars="200" w:firstLine="480"/>
        <w:rPr>
          <w:bCs/>
          <w:sz w:val="24"/>
          <w:szCs w:val="24"/>
        </w:rPr>
      </w:pPr>
      <w:r>
        <w:rPr>
          <w:rFonts w:hAnsi="宋体"/>
          <w:bCs/>
          <w:sz w:val="24"/>
          <w:szCs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783788" w:rsidRDefault="002C6E18">
      <w:pPr>
        <w:adjustRightInd w:val="0"/>
        <w:snapToGrid w:val="0"/>
        <w:spacing w:line="360" w:lineRule="auto"/>
        <w:ind w:firstLineChars="200" w:firstLine="480"/>
        <w:rPr>
          <w:bCs/>
          <w:sz w:val="24"/>
          <w:szCs w:val="24"/>
        </w:rPr>
      </w:pPr>
      <w:r>
        <w:rPr>
          <w:rFonts w:hAnsi="宋体"/>
          <w:bCs/>
          <w:sz w:val="24"/>
          <w:szCs w:val="24"/>
        </w:rPr>
        <w:t>基金份额持有人大会的召集人发出召集会议的通知后，对原有提案的修改应当在基金份额持有人大会召开前及时公告。</w:t>
      </w:r>
    </w:p>
    <w:p w:rsidR="00783788" w:rsidRDefault="002C6E18">
      <w:pPr>
        <w:adjustRightInd w:val="0"/>
        <w:snapToGrid w:val="0"/>
        <w:spacing w:line="360" w:lineRule="auto"/>
        <w:ind w:firstLineChars="200" w:firstLine="480"/>
        <w:rPr>
          <w:bCs/>
          <w:sz w:val="24"/>
        </w:rPr>
      </w:pPr>
      <w:r>
        <w:rPr>
          <w:rFonts w:hAnsi="宋体"/>
          <w:bCs/>
          <w:sz w:val="24"/>
          <w:szCs w:val="24"/>
        </w:rPr>
        <w:t>基金份额持有人大会不得对未事先公告的议事内容进行表决。</w:t>
      </w:r>
    </w:p>
    <w:p w:rsidR="00783788" w:rsidRDefault="002C6E18">
      <w:pPr>
        <w:adjustRightInd w:val="0"/>
        <w:snapToGrid w:val="0"/>
        <w:spacing w:line="360" w:lineRule="auto"/>
        <w:ind w:firstLineChars="200" w:firstLine="480"/>
        <w:rPr>
          <w:bCs/>
          <w:sz w:val="24"/>
        </w:rPr>
      </w:pPr>
      <w:r>
        <w:rPr>
          <w:bCs/>
          <w:sz w:val="24"/>
        </w:rPr>
        <w:t>（</w:t>
      </w:r>
      <w:r>
        <w:rPr>
          <w:bCs/>
          <w:sz w:val="24"/>
        </w:rPr>
        <w:t>2</w:t>
      </w:r>
      <w:r>
        <w:rPr>
          <w:bCs/>
          <w:sz w:val="24"/>
        </w:rPr>
        <w:t>）议事程序</w:t>
      </w:r>
    </w:p>
    <w:p w:rsidR="00783788" w:rsidRDefault="002C6E18">
      <w:pPr>
        <w:adjustRightInd w:val="0"/>
        <w:snapToGrid w:val="0"/>
        <w:spacing w:line="360" w:lineRule="auto"/>
        <w:ind w:firstLineChars="200" w:firstLine="480"/>
        <w:rPr>
          <w:bCs/>
          <w:sz w:val="24"/>
        </w:rPr>
      </w:pPr>
      <w:r>
        <w:rPr>
          <w:bCs/>
          <w:sz w:val="24"/>
        </w:rPr>
        <w:t>1</w:t>
      </w:r>
      <w:r>
        <w:rPr>
          <w:bCs/>
          <w:sz w:val="24"/>
        </w:rPr>
        <w:t>）现场开会</w:t>
      </w:r>
    </w:p>
    <w:p w:rsidR="00783788" w:rsidRDefault="002C6E18">
      <w:pPr>
        <w:adjustRightInd w:val="0"/>
        <w:snapToGrid w:val="0"/>
        <w:spacing w:line="360" w:lineRule="auto"/>
        <w:ind w:firstLineChars="200" w:firstLine="480"/>
        <w:rPr>
          <w:bCs/>
          <w:sz w:val="24"/>
          <w:szCs w:val="24"/>
        </w:rPr>
      </w:pPr>
      <w:r>
        <w:rPr>
          <w:rFonts w:hAnsi="宋体"/>
          <w:bCs/>
          <w:sz w:val="24"/>
          <w:szCs w:val="24"/>
        </w:rPr>
        <w:t>在现场开会的方式下，首先由大会主持人按照下列第</w:t>
      </w:r>
      <w:r>
        <w:rPr>
          <w:rFonts w:hAnsi="宋体" w:hint="eastAsia"/>
          <w:bCs/>
          <w:sz w:val="24"/>
          <w:szCs w:val="24"/>
        </w:rPr>
        <w:t>7</w:t>
      </w:r>
      <w:r>
        <w:rPr>
          <w:rFonts w:hAnsi="宋体"/>
          <w:bCs/>
          <w:sz w:val="24"/>
          <w:szCs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bCs/>
          <w:sz w:val="24"/>
          <w:szCs w:val="24"/>
        </w:rPr>
        <w:t>50%</w:t>
      </w:r>
      <w:r>
        <w:rPr>
          <w:rFonts w:hAnsi="宋体"/>
          <w:bCs/>
          <w:sz w:val="24"/>
          <w:szCs w:val="24"/>
        </w:rPr>
        <w:t>以上（含</w:t>
      </w:r>
      <w:r>
        <w:rPr>
          <w:bCs/>
          <w:sz w:val="24"/>
          <w:szCs w:val="24"/>
        </w:rPr>
        <w:t>50%</w:t>
      </w:r>
      <w:r>
        <w:rPr>
          <w:rFonts w:hAnsi="宋体"/>
          <w:bCs/>
          <w:sz w:val="24"/>
          <w:szCs w:val="24"/>
        </w:rPr>
        <w:t>）选举产生一名基金份额持有人作为该次基金份额持有人大会的主持人。基金管理人和基金托管人拒不出席或主持基金份额持有人大会，不影响基金份额持有人大会作出的决议的效力。</w:t>
      </w:r>
    </w:p>
    <w:p w:rsidR="00783788" w:rsidRDefault="002C6E18">
      <w:pPr>
        <w:adjustRightInd w:val="0"/>
        <w:snapToGrid w:val="0"/>
        <w:spacing w:line="360" w:lineRule="auto"/>
        <w:ind w:firstLineChars="200" w:firstLine="480"/>
        <w:rPr>
          <w:bCs/>
          <w:sz w:val="24"/>
        </w:rPr>
      </w:pPr>
      <w:r>
        <w:rPr>
          <w:rFonts w:hAnsi="宋体"/>
          <w:bCs/>
          <w:sz w:val="24"/>
          <w:szCs w:val="24"/>
        </w:rPr>
        <w:t>会议召集人应当制作出席会议人员的签名册。签名册载明参加会议人员姓名（或单位名称）、身份证明文件号码、持有或代表有表决权的基金份额、委托人姓名（或单位名称）和联系方式等事项。</w:t>
      </w:r>
    </w:p>
    <w:p w:rsidR="00783788" w:rsidRDefault="002C6E18">
      <w:pPr>
        <w:adjustRightInd w:val="0"/>
        <w:snapToGrid w:val="0"/>
        <w:spacing w:line="360" w:lineRule="auto"/>
        <w:ind w:firstLineChars="200" w:firstLine="480"/>
        <w:rPr>
          <w:bCs/>
          <w:sz w:val="24"/>
        </w:rPr>
      </w:pPr>
      <w:r>
        <w:rPr>
          <w:bCs/>
          <w:sz w:val="24"/>
        </w:rPr>
        <w:t>2</w:t>
      </w:r>
      <w:r>
        <w:rPr>
          <w:bCs/>
          <w:sz w:val="24"/>
        </w:rPr>
        <w:t>）通讯开会</w:t>
      </w:r>
    </w:p>
    <w:p w:rsidR="00783788" w:rsidRDefault="002C6E18">
      <w:pPr>
        <w:adjustRightInd w:val="0"/>
        <w:snapToGrid w:val="0"/>
        <w:spacing w:line="360" w:lineRule="auto"/>
        <w:ind w:firstLineChars="200" w:firstLine="480"/>
        <w:rPr>
          <w:sz w:val="24"/>
        </w:rPr>
      </w:pPr>
      <w:r>
        <w:rPr>
          <w:rFonts w:hAnsi="宋体"/>
          <w:bCs/>
          <w:sz w:val="24"/>
          <w:szCs w:val="24"/>
        </w:rPr>
        <w:t>在通讯开会的情况下，首先由召集人提前</w:t>
      </w:r>
      <w:r>
        <w:rPr>
          <w:bCs/>
          <w:sz w:val="24"/>
          <w:szCs w:val="24"/>
        </w:rPr>
        <w:t>30</w:t>
      </w:r>
      <w:r>
        <w:rPr>
          <w:rFonts w:hAnsi="宋体"/>
          <w:bCs/>
          <w:sz w:val="24"/>
          <w:szCs w:val="24"/>
        </w:rPr>
        <w:t>日公布提案，在所通知的表决截止日期后</w:t>
      </w:r>
      <w:r>
        <w:rPr>
          <w:bCs/>
          <w:sz w:val="24"/>
          <w:szCs w:val="24"/>
        </w:rPr>
        <w:t>2</w:t>
      </w:r>
      <w:r>
        <w:rPr>
          <w:rFonts w:hAnsi="宋体"/>
          <w:bCs/>
          <w:sz w:val="24"/>
          <w:szCs w:val="24"/>
        </w:rPr>
        <w:t>个工作日内在公证机关监督下由召集人统计全部有效表决，在公证机关监督下形成决议。</w:t>
      </w:r>
    </w:p>
    <w:p w:rsidR="00783788" w:rsidRDefault="002C6E18">
      <w:pPr>
        <w:widowControl/>
        <w:adjustRightInd w:val="0"/>
        <w:snapToGrid w:val="0"/>
        <w:spacing w:line="360" w:lineRule="auto"/>
        <w:ind w:firstLineChars="200" w:firstLine="480"/>
        <w:outlineLvl w:val="8"/>
        <w:rPr>
          <w:sz w:val="24"/>
        </w:rPr>
      </w:pPr>
      <w:r>
        <w:rPr>
          <w:sz w:val="24"/>
        </w:rPr>
        <w:t>6</w:t>
      </w:r>
      <w:r>
        <w:rPr>
          <w:sz w:val="24"/>
        </w:rPr>
        <w:t>、</w:t>
      </w:r>
      <w:r>
        <w:rPr>
          <w:sz w:val="24"/>
          <w:szCs w:val="18"/>
        </w:rPr>
        <w:t>表决</w:t>
      </w:r>
    </w:p>
    <w:p w:rsidR="00783788" w:rsidRDefault="002C6E18">
      <w:pPr>
        <w:adjustRightInd w:val="0"/>
        <w:snapToGrid w:val="0"/>
        <w:spacing w:line="360" w:lineRule="auto"/>
        <w:ind w:firstLineChars="200" w:firstLine="480"/>
        <w:rPr>
          <w:bCs/>
          <w:sz w:val="24"/>
          <w:szCs w:val="24"/>
        </w:rPr>
      </w:pPr>
      <w:r>
        <w:rPr>
          <w:rFonts w:hAnsi="宋体"/>
          <w:bCs/>
          <w:sz w:val="24"/>
          <w:szCs w:val="24"/>
        </w:rPr>
        <w:t>基金份额持有人所持每份基金份额有一票表决权。</w:t>
      </w:r>
    </w:p>
    <w:p w:rsidR="00783788" w:rsidRDefault="002C6E18">
      <w:pPr>
        <w:adjustRightInd w:val="0"/>
        <w:snapToGrid w:val="0"/>
        <w:spacing w:line="360" w:lineRule="auto"/>
        <w:ind w:firstLineChars="200" w:firstLine="480"/>
        <w:rPr>
          <w:bCs/>
          <w:sz w:val="24"/>
        </w:rPr>
      </w:pPr>
      <w:r>
        <w:rPr>
          <w:rFonts w:hAnsi="宋体"/>
          <w:bCs/>
          <w:sz w:val="24"/>
          <w:szCs w:val="24"/>
        </w:rPr>
        <w:t>基金份额持有人大会决议分为一般决议和特别决议：</w:t>
      </w:r>
    </w:p>
    <w:p w:rsidR="00783788" w:rsidRDefault="002C6E18">
      <w:pPr>
        <w:adjustRightInd w:val="0"/>
        <w:snapToGrid w:val="0"/>
        <w:spacing w:line="360" w:lineRule="auto"/>
        <w:ind w:firstLineChars="200" w:firstLine="480"/>
        <w:rPr>
          <w:bCs/>
          <w:sz w:val="24"/>
        </w:rPr>
      </w:pPr>
      <w:r>
        <w:rPr>
          <w:bCs/>
          <w:sz w:val="24"/>
        </w:rPr>
        <w:t>（</w:t>
      </w:r>
      <w:r>
        <w:rPr>
          <w:bCs/>
          <w:sz w:val="24"/>
        </w:rPr>
        <w:t>1</w:t>
      </w:r>
      <w:r>
        <w:rPr>
          <w:bCs/>
          <w:sz w:val="24"/>
        </w:rPr>
        <w:t>）</w:t>
      </w:r>
      <w:r>
        <w:rPr>
          <w:rFonts w:hAnsi="宋体"/>
          <w:bCs/>
          <w:sz w:val="24"/>
          <w:szCs w:val="24"/>
        </w:rPr>
        <w:t>一般决议，一般决议须经参加大会的基金份额持有人或其代理人所持表决权的</w:t>
      </w:r>
      <w:r>
        <w:rPr>
          <w:bCs/>
          <w:sz w:val="24"/>
          <w:szCs w:val="24"/>
        </w:rPr>
        <w:t>50%</w:t>
      </w:r>
      <w:r>
        <w:rPr>
          <w:rFonts w:hAnsi="宋体"/>
          <w:bCs/>
          <w:sz w:val="24"/>
          <w:szCs w:val="24"/>
        </w:rPr>
        <w:t>以上（含</w:t>
      </w:r>
      <w:r>
        <w:rPr>
          <w:bCs/>
          <w:sz w:val="24"/>
          <w:szCs w:val="24"/>
        </w:rPr>
        <w:t>50%</w:t>
      </w:r>
      <w:r>
        <w:rPr>
          <w:rFonts w:hAnsi="宋体"/>
          <w:bCs/>
          <w:sz w:val="24"/>
          <w:szCs w:val="24"/>
        </w:rPr>
        <w:t>）通过方为有效；除下列第</w:t>
      </w:r>
      <w:r>
        <w:rPr>
          <w:rFonts w:hAnsi="宋体" w:hint="eastAsia"/>
          <w:bCs/>
          <w:sz w:val="24"/>
          <w:szCs w:val="24"/>
        </w:rPr>
        <w:t>（</w:t>
      </w:r>
      <w:r>
        <w:rPr>
          <w:bCs/>
          <w:sz w:val="24"/>
          <w:szCs w:val="24"/>
        </w:rPr>
        <w:t>2</w:t>
      </w:r>
      <w:r>
        <w:rPr>
          <w:rFonts w:hint="eastAsia"/>
          <w:bCs/>
          <w:sz w:val="24"/>
          <w:szCs w:val="24"/>
        </w:rPr>
        <w:t>）</w:t>
      </w:r>
      <w:r>
        <w:rPr>
          <w:rFonts w:hAnsi="宋体"/>
          <w:bCs/>
          <w:sz w:val="24"/>
          <w:szCs w:val="24"/>
        </w:rPr>
        <w:t>项所规定的须以特别决议通过事项以外的其他事项均以一般决议的方式通过。</w:t>
      </w:r>
    </w:p>
    <w:p w:rsidR="00783788" w:rsidRDefault="002C6E18">
      <w:pPr>
        <w:adjustRightInd w:val="0"/>
        <w:snapToGrid w:val="0"/>
        <w:spacing w:line="360" w:lineRule="auto"/>
        <w:ind w:firstLineChars="200" w:firstLine="480"/>
        <w:rPr>
          <w:bCs/>
          <w:sz w:val="24"/>
          <w:szCs w:val="24"/>
        </w:rPr>
      </w:pPr>
      <w:r>
        <w:rPr>
          <w:bCs/>
          <w:sz w:val="24"/>
        </w:rPr>
        <w:t>（</w:t>
      </w:r>
      <w:r>
        <w:rPr>
          <w:bCs/>
          <w:sz w:val="24"/>
        </w:rPr>
        <w:t>2</w:t>
      </w:r>
      <w:r>
        <w:rPr>
          <w:bCs/>
          <w:sz w:val="24"/>
        </w:rPr>
        <w:t>）</w:t>
      </w:r>
      <w:r>
        <w:rPr>
          <w:rFonts w:hAnsi="宋体"/>
          <w:bCs/>
          <w:sz w:val="24"/>
          <w:szCs w:val="24"/>
        </w:rPr>
        <w:t>特别决议，特别决议应当经参加大会的基金份额持有人或其代理人所持表决权的</w:t>
      </w:r>
      <w:r>
        <w:rPr>
          <w:bCs/>
          <w:sz w:val="24"/>
          <w:szCs w:val="24"/>
        </w:rPr>
        <w:t>2/3</w:t>
      </w:r>
      <w:r>
        <w:rPr>
          <w:rFonts w:hAnsi="宋体"/>
          <w:bCs/>
          <w:sz w:val="24"/>
          <w:szCs w:val="24"/>
        </w:rPr>
        <w:t>以上（含</w:t>
      </w:r>
      <w:r>
        <w:rPr>
          <w:bCs/>
          <w:sz w:val="24"/>
          <w:szCs w:val="24"/>
        </w:rPr>
        <w:t>2/3</w:t>
      </w:r>
      <w:r>
        <w:rPr>
          <w:rFonts w:hAnsi="宋体"/>
          <w:bCs/>
          <w:sz w:val="24"/>
          <w:szCs w:val="24"/>
        </w:rPr>
        <w:t>）通过方可做出。转换基金运作方式、更换基金管理人或者基金托管人、终止基金合同以特别决议通过方为有效。</w:t>
      </w:r>
    </w:p>
    <w:p w:rsidR="00783788" w:rsidRDefault="002C6E18">
      <w:pPr>
        <w:adjustRightInd w:val="0"/>
        <w:snapToGrid w:val="0"/>
        <w:spacing w:line="360" w:lineRule="auto"/>
        <w:ind w:firstLineChars="200" w:firstLine="480"/>
        <w:rPr>
          <w:bCs/>
          <w:sz w:val="24"/>
          <w:szCs w:val="24"/>
        </w:rPr>
      </w:pPr>
      <w:r>
        <w:rPr>
          <w:rFonts w:hAnsi="宋体"/>
          <w:bCs/>
          <w:sz w:val="24"/>
          <w:szCs w:val="24"/>
        </w:rPr>
        <w:t>基金份额持有人大会采取记名方式进行投票表决。</w:t>
      </w:r>
    </w:p>
    <w:p w:rsidR="00783788" w:rsidRDefault="002C6E18">
      <w:pPr>
        <w:adjustRightInd w:val="0"/>
        <w:snapToGrid w:val="0"/>
        <w:spacing w:line="360" w:lineRule="auto"/>
        <w:ind w:firstLineChars="200" w:firstLine="480"/>
        <w:rPr>
          <w:bCs/>
          <w:sz w:val="24"/>
          <w:szCs w:val="24"/>
        </w:rPr>
      </w:pPr>
      <w:r>
        <w:rPr>
          <w:rFonts w:hAnsi="宋体"/>
          <w:bCs/>
          <w:sz w:val="24"/>
          <w:szCs w:val="24"/>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rsidR="00783788" w:rsidRDefault="002C6E18">
      <w:pPr>
        <w:adjustRightInd w:val="0"/>
        <w:snapToGrid w:val="0"/>
        <w:spacing w:line="360" w:lineRule="auto"/>
        <w:ind w:firstLineChars="200" w:firstLine="480"/>
        <w:rPr>
          <w:sz w:val="24"/>
        </w:rPr>
      </w:pPr>
      <w:r>
        <w:rPr>
          <w:rFonts w:hAnsi="宋体"/>
          <w:bCs/>
          <w:sz w:val="24"/>
          <w:szCs w:val="24"/>
        </w:rPr>
        <w:t>基金份额持有人大会的各项提案或同一项提案内并列的各项议题应当分开审议、逐项表决。</w:t>
      </w:r>
    </w:p>
    <w:p w:rsidR="00783788" w:rsidRDefault="002C6E18">
      <w:pPr>
        <w:widowControl/>
        <w:adjustRightInd w:val="0"/>
        <w:snapToGrid w:val="0"/>
        <w:spacing w:line="360" w:lineRule="auto"/>
        <w:ind w:firstLineChars="200" w:firstLine="480"/>
        <w:outlineLvl w:val="8"/>
        <w:rPr>
          <w:sz w:val="24"/>
        </w:rPr>
      </w:pPr>
      <w:r>
        <w:rPr>
          <w:sz w:val="24"/>
        </w:rPr>
        <w:t>7</w:t>
      </w:r>
      <w:r>
        <w:rPr>
          <w:sz w:val="24"/>
        </w:rPr>
        <w:t>、计票</w:t>
      </w:r>
    </w:p>
    <w:p w:rsidR="00783788" w:rsidRDefault="002C6E18">
      <w:pPr>
        <w:adjustRightInd w:val="0"/>
        <w:snapToGrid w:val="0"/>
        <w:spacing w:line="360" w:lineRule="auto"/>
        <w:ind w:firstLineChars="200" w:firstLine="480"/>
        <w:rPr>
          <w:bCs/>
          <w:sz w:val="24"/>
        </w:rPr>
      </w:pPr>
      <w:r>
        <w:rPr>
          <w:bCs/>
          <w:sz w:val="24"/>
        </w:rPr>
        <w:t>（</w:t>
      </w:r>
      <w:r>
        <w:rPr>
          <w:bCs/>
          <w:sz w:val="24"/>
        </w:rPr>
        <w:t>1</w:t>
      </w:r>
      <w:r>
        <w:rPr>
          <w:bCs/>
          <w:sz w:val="24"/>
        </w:rPr>
        <w:t>）现场开会</w:t>
      </w:r>
    </w:p>
    <w:p w:rsidR="00783788" w:rsidRDefault="002C6E18">
      <w:pPr>
        <w:adjustRightInd w:val="0"/>
        <w:snapToGrid w:val="0"/>
        <w:spacing w:line="360" w:lineRule="auto"/>
        <w:ind w:firstLineChars="200" w:firstLine="480"/>
        <w:rPr>
          <w:bCs/>
          <w:sz w:val="24"/>
        </w:rPr>
      </w:pPr>
      <w:r>
        <w:rPr>
          <w:bCs/>
          <w:sz w:val="24"/>
        </w:rPr>
        <w:t>1</w:t>
      </w:r>
      <w:r>
        <w:rPr>
          <w:bCs/>
          <w:sz w:val="24"/>
        </w:rPr>
        <w:t>）</w:t>
      </w:r>
      <w:r>
        <w:rPr>
          <w:rFonts w:hAnsi="宋体"/>
          <w:bCs/>
          <w:sz w:val="24"/>
          <w:szCs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和代理人中选举三名基金份额持有人代表担任监票人。基金管理人或基金托管人不出席大会的，不影响计票的效力。</w:t>
      </w:r>
    </w:p>
    <w:p w:rsidR="00783788" w:rsidRDefault="002C6E18">
      <w:pPr>
        <w:adjustRightInd w:val="0"/>
        <w:snapToGrid w:val="0"/>
        <w:spacing w:line="360" w:lineRule="auto"/>
        <w:ind w:firstLineChars="200" w:firstLine="480"/>
        <w:rPr>
          <w:bCs/>
          <w:sz w:val="24"/>
        </w:rPr>
      </w:pPr>
      <w:r>
        <w:rPr>
          <w:bCs/>
          <w:sz w:val="24"/>
        </w:rPr>
        <w:t>2</w:t>
      </w:r>
      <w:r>
        <w:rPr>
          <w:bCs/>
          <w:sz w:val="24"/>
        </w:rPr>
        <w:t>）</w:t>
      </w:r>
      <w:r>
        <w:rPr>
          <w:rFonts w:hAnsi="宋体"/>
          <w:bCs/>
          <w:sz w:val="24"/>
          <w:szCs w:val="24"/>
        </w:rPr>
        <w:t>监票人应当在基金份额持有人表决后立即进行清点并由大会主持人当场公布计票结果。</w:t>
      </w:r>
    </w:p>
    <w:p w:rsidR="00783788" w:rsidRDefault="002C6E18">
      <w:pPr>
        <w:adjustRightInd w:val="0"/>
        <w:snapToGrid w:val="0"/>
        <w:spacing w:line="360" w:lineRule="auto"/>
        <w:ind w:firstLineChars="200" w:firstLine="480"/>
        <w:rPr>
          <w:bCs/>
          <w:sz w:val="24"/>
        </w:rPr>
      </w:pPr>
      <w:r>
        <w:rPr>
          <w:bCs/>
          <w:sz w:val="24"/>
        </w:rPr>
        <w:t>3</w:t>
      </w:r>
      <w:r>
        <w:rPr>
          <w:bCs/>
          <w:sz w:val="24"/>
        </w:rPr>
        <w:t>）</w:t>
      </w:r>
      <w:r>
        <w:rPr>
          <w:rFonts w:hAnsi="宋体"/>
          <w:bCs/>
          <w:sz w:val="24"/>
          <w:szCs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783788" w:rsidRDefault="002C6E18">
      <w:pPr>
        <w:adjustRightInd w:val="0"/>
        <w:snapToGrid w:val="0"/>
        <w:spacing w:line="360" w:lineRule="auto"/>
        <w:ind w:firstLineChars="200" w:firstLine="480"/>
        <w:rPr>
          <w:bCs/>
          <w:sz w:val="24"/>
        </w:rPr>
      </w:pPr>
      <w:r>
        <w:rPr>
          <w:bCs/>
          <w:sz w:val="24"/>
        </w:rPr>
        <w:t>4</w:t>
      </w:r>
      <w:r>
        <w:rPr>
          <w:bCs/>
          <w:sz w:val="24"/>
        </w:rPr>
        <w:t>）</w:t>
      </w:r>
      <w:r>
        <w:rPr>
          <w:rFonts w:hAnsi="宋体"/>
          <w:bCs/>
          <w:sz w:val="24"/>
          <w:szCs w:val="24"/>
        </w:rPr>
        <w:t>计票过程应由公证机关予以公证</w:t>
      </w:r>
      <w:r>
        <w:rPr>
          <w:bCs/>
          <w:sz w:val="24"/>
          <w:szCs w:val="24"/>
        </w:rPr>
        <w:t>,</w:t>
      </w:r>
      <w:r>
        <w:rPr>
          <w:rFonts w:hAnsi="宋体"/>
          <w:bCs/>
          <w:sz w:val="24"/>
          <w:szCs w:val="24"/>
        </w:rPr>
        <w:t>基金管理人或基金托管人拒不出席大会的，不影响计票的效力。</w:t>
      </w:r>
    </w:p>
    <w:p w:rsidR="00783788" w:rsidRDefault="002C6E18">
      <w:pPr>
        <w:adjustRightInd w:val="0"/>
        <w:snapToGrid w:val="0"/>
        <w:spacing w:line="360" w:lineRule="auto"/>
        <w:ind w:firstLineChars="200" w:firstLine="480"/>
        <w:rPr>
          <w:bCs/>
          <w:sz w:val="24"/>
        </w:rPr>
      </w:pPr>
      <w:r>
        <w:rPr>
          <w:bCs/>
          <w:sz w:val="24"/>
        </w:rPr>
        <w:t>（</w:t>
      </w:r>
      <w:r>
        <w:rPr>
          <w:bCs/>
          <w:sz w:val="24"/>
        </w:rPr>
        <w:t>2</w:t>
      </w:r>
      <w:r>
        <w:rPr>
          <w:bCs/>
          <w:sz w:val="24"/>
        </w:rPr>
        <w:t>）通讯开会</w:t>
      </w:r>
    </w:p>
    <w:p w:rsidR="00783788" w:rsidRDefault="002C6E18">
      <w:pPr>
        <w:widowControl/>
        <w:adjustRightInd w:val="0"/>
        <w:snapToGrid w:val="0"/>
        <w:spacing w:line="360" w:lineRule="auto"/>
        <w:ind w:firstLineChars="200" w:firstLine="480"/>
        <w:outlineLvl w:val="8"/>
        <w:rPr>
          <w:sz w:val="24"/>
        </w:rPr>
      </w:pPr>
      <w:r>
        <w:rPr>
          <w:rFonts w:hAnsi="宋体"/>
          <w:bCs/>
          <w:sz w:val="24"/>
          <w:szCs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书面表决意见的计票进行监督的，不影响计票和表决结果。</w:t>
      </w:r>
    </w:p>
    <w:p w:rsidR="00783788" w:rsidRDefault="002C6E18">
      <w:pPr>
        <w:widowControl/>
        <w:adjustRightInd w:val="0"/>
        <w:snapToGrid w:val="0"/>
        <w:spacing w:line="360" w:lineRule="auto"/>
        <w:ind w:firstLineChars="200" w:firstLine="480"/>
        <w:outlineLvl w:val="8"/>
        <w:rPr>
          <w:sz w:val="24"/>
        </w:rPr>
      </w:pPr>
      <w:r>
        <w:rPr>
          <w:sz w:val="24"/>
        </w:rPr>
        <w:t>8</w:t>
      </w:r>
      <w:r>
        <w:rPr>
          <w:sz w:val="24"/>
        </w:rPr>
        <w:t>、</w:t>
      </w:r>
      <w:r>
        <w:rPr>
          <w:bCs/>
          <w:sz w:val="24"/>
        </w:rPr>
        <w:t>生效与公告</w:t>
      </w:r>
    </w:p>
    <w:p w:rsidR="00783788" w:rsidRDefault="002C6E18">
      <w:pPr>
        <w:adjustRightInd w:val="0"/>
        <w:snapToGrid w:val="0"/>
        <w:spacing w:line="360" w:lineRule="auto"/>
        <w:ind w:firstLineChars="200" w:firstLine="480"/>
        <w:rPr>
          <w:bCs/>
          <w:sz w:val="24"/>
          <w:szCs w:val="24"/>
        </w:rPr>
      </w:pPr>
      <w:r>
        <w:rPr>
          <w:rFonts w:hAnsi="宋体"/>
          <w:bCs/>
          <w:sz w:val="24"/>
          <w:szCs w:val="24"/>
        </w:rPr>
        <w:t>基金份额持有人大会的决议，召集人应当自通过之日起</w:t>
      </w:r>
      <w:r>
        <w:rPr>
          <w:bCs/>
          <w:sz w:val="24"/>
          <w:szCs w:val="24"/>
        </w:rPr>
        <w:t>5</w:t>
      </w:r>
      <w:r>
        <w:rPr>
          <w:rFonts w:hAnsi="宋体"/>
          <w:bCs/>
          <w:sz w:val="24"/>
          <w:szCs w:val="24"/>
        </w:rPr>
        <w:t>日内报中国证监会核准或者备案。</w:t>
      </w:r>
    </w:p>
    <w:p w:rsidR="00783788" w:rsidRDefault="002C6E18">
      <w:pPr>
        <w:adjustRightInd w:val="0"/>
        <w:snapToGrid w:val="0"/>
        <w:spacing w:line="360" w:lineRule="auto"/>
        <w:ind w:firstLineChars="200" w:firstLine="480"/>
        <w:rPr>
          <w:bCs/>
          <w:sz w:val="24"/>
          <w:szCs w:val="24"/>
        </w:rPr>
      </w:pPr>
      <w:r>
        <w:rPr>
          <w:rFonts w:hAnsi="宋体"/>
          <w:bCs/>
          <w:sz w:val="24"/>
          <w:szCs w:val="24"/>
        </w:rPr>
        <w:t>基金份额持有人大会的决议自中国证监会依法核准或者出具无异议意见之日起生效。</w:t>
      </w:r>
    </w:p>
    <w:p w:rsidR="00783788" w:rsidRDefault="002C6E18">
      <w:pPr>
        <w:adjustRightInd w:val="0"/>
        <w:snapToGrid w:val="0"/>
        <w:spacing w:line="360" w:lineRule="auto"/>
        <w:ind w:firstLineChars="200" w:firstLine="480"/>
        <w:rPr>
          <w:bCs/>
          <w:sz w:val="24"/>
          <w:szCs w:val="24"/>
        </w:rPr>
      </w:pPr>
      <w:r>
        <w:rPr>
          <w:rFonts w:hAnsi="宋体"/>
          <w:bCs/>
          <w:sz w:val="24"/>
          <w:szCs w:val="24"/>
        </w:rPr>
        <w:t>基金份额持有人大会决议自生效之日起</w:t>
      </w:r>
      <w:r>
        <w:rPr>
          <w:bCs/>
          <w:sz w:val="24"/>
          <w:szCs w:val="24"/>
        </w:rPr>
        <w:t>2</w:t>
      </w:r>
      <w:r>
        <w:rPr>
          <w:rFonts w:hAnsi="宋体"/>
          <w:bCs/>
          <w:sz w:val="24"/>
          <w:szCs w:val="24"/>
        </w:rPr>
        <w:t>个工作日内在指定媒体上公告。如果采用通讯方式进行表决，在公告基金份额持有人大会决议时，必须将公证书全文、公证机构、公证员姓名等一同公告。</w:t>
      </w:r>
    </w:p>
    <w:p w:rsidR="00783788" w:rsidRDefault="002C6E18">
      <w:pPr>
        <w:widowControl/>
        <w:adjustRightInd w:val="0"/>
        <w:snapToGrid w:val="0"/>
        <w:spacing w:line="360" w:lineRule="auto"/>
        <w:ind w:firstLineChars="200" w:firstLine="480"/>
        <w:outlineLvl w:val="8"/>
        <w:rPr>
          <w:bCs/>
          <w:sz w:val="24"/>
        </w:rPr>
      </w:pPr>
      <w:r>
        <w:rPr>
          <w:rFonts w:hAnsi="宋体"/>
          <w:bCs/>
          <w:sz w:val="24"/>
          <w:szCs w:val="24"/>
        </w:rPr>
        <w:t>基金管理人、基金托管人和基金份额持有人应当执行生效的基金份额持有人大会的决议。生效的基金份额持有人大会决议对全体基金份额持有人、基金管理人、基金托管人均有约束力。</w:t>
      </w:r>
    </w:p>
    <w:p w:rsidR="00783788" w:rsidRDefault="002C6E18">
      <w:pPr>
        <w:widowControl/>
        <w:adjustRightInd w:val="0"/>
        <w:snapToGrid w:val="0"/>
        <w:spacing w:line="360" w:lineRule="auto"/>
        <w:ind w:firstLineChars="200" w:firstLine="480"/>
        <w:outlineLvl w:val="8"/>
        <w:rPr>
          <w:kern w:val="0"/>
          <w:sz w:val="24"/>
        </w:rPr>
      </w:pPr>
      <w:r>
        <w:rPr>
          <w:bCs/>
          <w:sz w:val="24"/>
        </w:rPr>
        <w:t>9</w:t>
      </w:r>
      <w:r>
        <w:rPr>
          <w:bCs/>
          <w:sz w:val="24"/>
        </w:rPr>
        <w:t>、</w:t>
      </w:r>
      <w:r>
        <w:rPr>
          <w:rFonts w:hAnsi="宋体"/>
          <w:bCs/>
          <w:sz w:val="24"/>
          <w:szCs w:val="24"/>
        </w:rPr>
        <w:t>法律法规或监管部门对基金份额持有人大会另有规定的，从其规定。</w:t>
      </w:r>
    </w:p>
    <w:p w:rsidR="00783788" w:rsidRDefault="002C6E18">
      <w:pPr>
        <w:widowControl/>
        <w:adjustRightInd w:val="0"/>
        <w:snapToGrid w:val="0"/>
        <w:spacing w:line="360" w:lineRule="auto"/>
        <w:ind w:firstLineChars="200" w:firstLine="482"/>
        <w:outlineLvl w:val="1"/>
        <w:rPr>
          <w:b/>
          <w:kern w:val="0"/>
          <w:sz w:val="24"/>
        </w:rPr>
      </w:pPr>
      <w:r>
        <w:rPr>
          <w:b/>
          <w:kern w:val="0"/>
          <w:sz w:val="24"/>
        </w:rPr>
        <w:t>（三）基金合同的变更与终止</w:t>
      </w:r>
    </w:p>
    <w:p w:rsidR="00783788" w:rsidRDefault="002C6E18">
      <w:pPr>
        <w:widowControl/>
        <w:adjustRightInd w:val="0"/>
        <w:snapToGrid w:val="0"/>
        <w:spacing w:line="360" w:lineRule="auto"/>
        <w:ind w:firstLineChars="200" w:firstLine="480"/>
        <w:outlineLvl w:val="8"/>
        <w:rPr>
          <w:kern w:val="0"/>
          <w:sz w:val="24"/>
        </w:rPr>
      </w:pPr>
      <w:r>
        <w:rPr>
          <w:kern w:val="0"/>
          <w:sz w:val="24"/>
        </w:rPr>
        <w:t>1</w:t>
      </w:r>
      <w:r>
        <w:rPr>
          <w:kern w:val="0"/>
          <w:sz w:val="24"/>
        </w:rPr>
        <w:t>、</w:t>
      </w:r>
      <w:r>
        <w:rPr>
          <w:bCs/>
          <w:sz w:val="24"/>
        </w:rPr>
        <w:t>基金合同</w:t>
      </w:r>
      <w:r>
        <w:rPr>
          <w:kern w:val="0"/>
          <w:sz w:val="24"/>
        </w:rPr>
        <w:t>的变更</w:t>
      </w:r>
    </w:p>
    <w:p w:rsidR="00783788" w:rsidRDefault="002C6E18">
      <w:pPr>
        <w:adjustRightInd w:val="0"/>
        <w:snapToGrid w:val="0"/>
        <w:spacing w:line="360" w:lineRule="auto"/>
        <w:ind w:firstLineChars="200" w:firstLine="480"/>
        <w:rPr>
          <w:bCs/>
          <w:sz w:val="24"/>
        </w:rPr>
      </w:pPr>
      <w:r>
        <w:rPr>
          <w:rFonts w:hint="eastAsia"/>
          <w:bCs/>
          <w:sz w:val="24"/>
        </w:rPr>
        <w:t>（</w:t>
      </w:r>
      <w:r>
        <w:rPr>
          <w:bCs/>
          <w:sz w:val="24"/>
        </w:rPr>
        <w:t>1</w:t>
      </w:r>
      <w:r>
        <w:rPr>
          <w:rFonts w:hAnsi="宋体" w:hint="eastAsia"/>
          <w:bCs/>
          <w:sz w:val="24"/>
        </w:rPr>
        <w:t>）</w:t>
      </w:r>
      <w:r>
        <w:rPr>
          <w:rFonts w:hAnsi="宋体"/>
          <w:bCs/>
          <w:sz w:val="24"/>
        </w:rPr>
        <w:t>变更基金合同涉及法律法规规定或本基金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rsidR="00783788" w:rsidRDefault="002C6E18">
      <w:pPr>
        <w:widowControl/>
        <w:adjustRightInd w:val="0"/>
        <w:snapToGrid w:val="0"/>
        <w:spacing w:line="360" w:lineRule="auto"/>
        <w:ind w:firstLineChars="200" w:firstLine="480"/>
        <w:outlineLvl w:val="8"/>
        <w:rPr>
          <w:kern w:val="0"/>
          <w:sz w:val="24"/>
        </w:rPr>
      </w:pPr>
      <w:r>
        <w:rPr>
          <w:rFonts w:hint="eastAsia"/>
          <w:bCs/>
          <w:sz w:val="24"/>
        </w:rPr>
        <w:t>（</w:t>
      </w:r>
      <w:r>
        <w:rPr>
          <w:bCs/>
          <w:sz w:val="24"/>
        </w:rPr>
        <w:t>2</w:t>
      </w:r>
      <w:r>
        <w:rPr>
          <w:rFonts w:hAnsi="宋体" w:hint="eastAsia"/>
          <w:bCs/>
          <w:sz w:val="24"/>
        </w:rPr>
        <w:t>）</w:t>
      </w:r>
      <w:r>
        <w:rPr>
          <w:rFonts w:hAnsi="宋体"/>
          <w:bCs/>
          <w:sz w:val="24"/>
        </w:rPr>
        <w:t>关于基金合同变更的基金份额持有人大会决议经中国证监会核准或出具无异议意见后方可执行，自决议生效后两日内依照《信息披露办法》的规定在指定媒体公告。</w:t>
      </w:r>
    </w:p>
    <w:p w:rsidR="00783788" w:rsidRDefault="002C6E18">
      <w:pPr>
        <w:adjustRightInd w:val="0"/>
        <w:snapToGrid w:val="0"/>
        <w:spacing w:line="360" w:lineRule="auto"/>
        <w:ind w:firstLineChars="200" w:firstLine="480"/>
        <w:rPr>
          <w:bCs/>
          <w:sz w:val="24"/>
        </w:rPr>
      </w:pPr>
      <w:r>
        <w:rPr>
          <w:kern w:val="0"/>
          <w:sz w:val="24"/>
        </w:rPr>
        <w:t>2</w:t>
      </w:r>
      <w:r>
        <w:rPr>
          <w:kern w:val="0"/>
          <w:sz w:val="24"/>
        </w:rPr>
        <w:t>、</w:t>
      </w:r>
      <w:r>
        <w:rPr>
          <w:bCs/>
          <w:sz w:val="24"/>
        </w:rPr>
        <w:t>基金合同的终止事由</w:t>
      </w:r>
    </w:p>
    <w:p w:rsidR="00783788" w:rsidRDefault="002C6E18">
      <w:pPr>
        <w:adjustRightInd w:val="0"/>
        <w:snapToGrid w:val="0"/>
        <w:spacing w:line="360" w:lineRule="auto"/>
        <w:ind w:firstLineChars="200" w:firstLine="480"/>
        <w:rPr>
          <w:bCs/>
          <w:sz w:val="24"/>
        </w:rPr>
      </w:pPr>
      <w:r>
        <w:rPr>
          <w:bCs/>
          <w:sz w:val="24"/>
        </w:rPr>
        <w:t>有下列情形之一的，基金合同应当终止：</w:t>
      </w:r>
    </w:p>
    <w:p w:rsidR="00783788" w:rsidRDefault="002C6E18">
      <w:pPr>
        <w:adjustRightInd w:val="0"/>
        <w:snapToGrid w:val="0"/>
        <w:spacing w:line="360" w:lineRule="auto"/>
        <w:ind w:firstLineChars="200" w:firstLine="480"/>
        <w:rPr>
          <w:bCs/>
          <w:sz w:val="24"/>
        </w:rPr>
      </w:pPr>
      <w:r>
        <w:rPr>
          <w:rFonts w:hint="eastAsia"/>
          <w:bCs/>
          <w:sz w:val="24"/>
        </w:rPr>
        <w:t>（</w:t>
      </w:r>
      <w:r>
        <w:rPr>
          <w:bCs/>
          <w:sz w:val="24"/>
        </w:rPr>
        <w:t>1</w:t>
      </w:r>
      <w:r>
        <w:rPr>
          <w:rFonts w:hAnsi="宋体" w:hint="eastAsia"/>
          <w:bCs/>
          <w:sz w:val="24"/>
        </w:rPr>
        <w:t>）</w:t>
      </w:r>
      <w:r>
        <w:rPr>
          <w:rFonts w:hAnsi="宋体"/>
          <w:bCs/>
          <w:sz w:val="24"/>
        </w:rPr>
        <w:t>基金份额持有人大会决定终止的；</w:t>
      </w:r>
    </w:p>
    <w:p w:rsidR="00783788" w:rsidRDefault="002C6E18">
      <w:pPr>
        <w:adjustRightInd w:val="0"/>
        <w:snapToGrid w:val="0"/>
        <w:spacing w:line="360" w:lineRule="auto"/>
        <w:ind w:firstLineChars="200" w:firstLine="480"/>
        <w:rPr>
          <w:bCs/>
          <w:sz w:val="24"/>
        </w:rPr>
      </w:pPr>
      <w:r>
        <w:rPr>
          <w:rFonts w:hint="eastAsia"/>
          <w:bCs/>
          <w:sz w:val="24"/>
        </w:rPr>
        <w:t>（</w:t>
      </w:r>
      <w:r>
        <w:rPr>
          <w:bCs/>
          <w:sz w:val="24"/>
        </w:rPr>
        <w:t>2</w:t>
      </w:r>
      <w:r>
        <w:rPr>
          <w:rFonts w:hAnsi="宋体" w:hint="eastAsia"/>
          <w:bCs/>
          <w:sz w:val="24"/>
        </w:rPr>
        <w:t>）</w:t>
      </w:r>
      <w:r>
        <w:rPr>
          <w:rFonts w:hAnsi="宋体"/>
          <w:bCs/>
          <w:sz w:val="24"/>
        </w:rPr>
        <w:t>基金管理人、基金托管人职责终止，在</w:t>
      </w:r>
      <w:r>
        <w:rPr>
          <w:bCs/>
          <w:sz w:val="24"/>
        </w:rPr>
        <w:t>6</w:t>
      </w:r>
      <w:r>
        <w:rPr>
          <w:rFonts w:hAnsi="宋体"/>
          <w:bCs/>
          <w:sz w:val="24"/>
        </w:rPr>
        <w:t>个月内没有新基金管理人、新基金托管人承接的；</w:t>
      </w:r>
    </w:p>
    <w:p w:rsidR="00783788" w:rsidRDefault="002C6E18">
      <w:pPr>
        <w:adjustRightInd w:val="0"/>
        <w:snapToGrid w:val="0"/>
        <w:spacing w:line="360" w:lineRule="auto"/>
        <w:ind w:firstLineChars="200" w:firstLine="480"/>
        <w:rPr>
          <w:bCs/>
          <w:sz w:val="24"/>
        </w:rPr>
      </w:pPr>
      <w:r>
        <w:rPr>
          <w:rFonts w:hint="eastAsia"/>
          <w:bCs/>
          <w:sz w:val="24"/>
        </w:rPr>
        <w:t>（</w:t>
      </w:r>
      <w:r>
        <w:rPr>
          <w:bCs/>
          <w:sz w:val="24"/>
        </w:rPr>
        <w:t>3</w:t>
      </w:r>
      <w:r>
        <w:rPr>
          <w:rFonts w:hAnsi="宋体" w:hint="eastAsia"/>
          <w:bCs/>
          <w:sz w:val="24"/>
        </w:rPr>
        <w:t>）</w:t>
      </w:r>
      <w:r>
        <w:rPr>
          <w:rFonts w:hAnsi="宋体"/>
          <w:bCs/>
          <w:sz w:val="24"/>
        </w:rPr>
        <w:t>基金合同约定的其他情形；</w:t>
      </w:r>
    </w:p>
    <w:p w:rsidR="00783788" w:rsidRDefault="002C6E18">
      <w:pPr>
        <w:adjustRightInd w:val="0"/>
        <w:snapToGrid w:val="0"/>
        <w:spacing w:line="360" w:lineRule="auto"/>
        <w:ind w:firstLineChars="200" w:firstLine="480"/>
        <w:rPr>
          <w:bCs/>
          <w:sz w:val="24"/>
        </w:rPr>
      </w:pPr>
      <w:r>
        <w:rPr>
          <w:rFonts w:hint="eastAsia"/>
          <w:bCs/>
          <w:sz w:val="24"/>
        </w:rPr>
        <w:t>（</w:t>
      </w:r>
      <w:r>
        <w:rPr>
          <w:bCs/>
          <w:sz w:val="24"/>
        </w:rPr>
        <w:t>4</w:t>
      </w:r>
      <w:r>
        <w:rPr>
          <w:rFonts w:hAnsi="宋体" w:hint="eastAsia"/>
          <w:bCs/>
          <w:sz w:val="24"/>
        </w:rPr>
        <w:t>）</w:t>
      </w:r>
      <w:r>
        <w:rPr>
          <w:rFonts w:hAnsi="宋体"/>
          <w:bCs/>
          <w:sz w:val="24"/>
        </w:rPr>
        <w:t>相关法律法规和中国证监会规定的其他情况。</w:t>
      </w:r>
    </w:p>
    <w:p w:rsidR="00783788" w:rsidRDefault="002C6E18">
      <w:pPr>
        <w:widowControl/>
        <w:adjustRightInd w:val="0"/>
        <w:snapToGrid w:val="0"/>
        <w:spacing w:line="360" w:lineRule="auto"/>
        <w:ind w:firstLineChars="200" w:firstLine="482"/>
        <w:outlineLvl w:val="1"/>
        <w:rPr>
          <w:b/>
          <w:kern w:val="0"/>
          <w:sz w:val="24"/>
        </w:rPr>
      </w:pPr>
      <w:r>
        <w:rPr>
          <w:b/>
          <w:kern w:val="0"/>
          <w:sz w:val="24"/>
        </w:rPr>
        <w:t>（四）争议的处理和适用的法律</w:t>
      </w:r>
    </w:p>
    <w:p w:rsidR="00783788" w:rsidRDefault="002C6E18">
      <w:pPr>
        <w:adjustRightInd w:val="0"/>
        <w:snapToGrid w:val="0"/>
        <w:spacing w:line="360" w:lineRule="auto"/>
        <w:ind w:firstLineChars="200" w:firstLine="480"/>
        <w:rPr>
          <w:bCs/>
          <w:sz w:val="24"/>
        </w:rPr>
      </w:pPr>
      <w:r>
        <w:rPr>
          <w:bCs/>
          <w:sz w:val="24"/>
        </w:rPr>
        <w:t>各方当事人同意，因基金合同而产生的或与基金合同有关的一切争议，如经友好协商未能解决的，</w:t>
      </w:r>
      <w:r>
        <w:rPr>
          <w:rFonts w:hAnsi="宋体"/>
          <w:sz w:val="24"/>
        </w:rPr>
        <w:t>任何一方均有权将争议提交中国国际经济贸易仲裁委员会，按照中国国际经济贸易仲裁委员会届时有效的仲裁规则进行仲裁。仲裁地点为北京市。仲裁裁决是终局的，对各方当事人均有约束力，仲裁费用由败诉方承担。</w:t>
      </w:r>
    </w:p>
    <w:p w:rsidR="00783788" w:rsidRDefault="002C6E18">
      <w:pPr>
        <w:widowControl/>
        <w:adjustRightInd w:val="0"/>
        <w:snapToGrid w:val="0"/>
        <w:spacing w:line="360" w:lineRule="auto"/>
        <w:ind w:firstLineChars="200" w:firstLine="480"/>
        <w:outlineLvl w:val="1"/>
        <w:rPr>
          <w:bCs/>
          <w:sz w:val="24"/>
        </w:rPr>
      </w:pPr>
      <w:r>
        <w:rPr>
          <w:bCs/>
          <w:sz w:val="24"/>
        </w:rPr>
        <w:t>基金合同受中国法律管辖。</w:t>
      </w:r>
      <w:bookmarkStart w:id="106" w:name="_Toc523711688"/>
    </w:p>
    <w:p w:rsidR="00783788" w:rsidRDefault="002C6E18">
      <w:pPr>
        <w:widowControl/>
        <w:adjustRightInd w:val="0"/>
        <w:snapToGrid w:val="0"/>
        <w:spacing w:line="360" w:lineRule="auto"/>
        <w:ind w:firstLineChars="200" w:firstLine="482"/>
        <w:outlineLvl w:val="1"/>
        <w:rPr>
          <w:b/>
          <w:kern w:val="0"/>
          <w:sz w:val="24"/>
        </w:rPr>
      </w:pPr>
      <w:r>
        <w:rPr>
          <w:b/>
          <w:kern w:val="0"/>
          <w:sz w:val="24"/>
        </w:rPr>
        <w:t>（五）基金合同存放及投资者取得基金合同的方式</w:t>
      </w:r>
    </w:p>
    <w:p w:rsidR="00783788" w:rsidRDefault="002C6E18">
      <w:pPr>
        <w:widowControl/>
        <w:adjustRightInd w:val="0"/>
        <w:snapToGrid w:val="0"/>
        <w:spacing w:line="360" w:lineRule="auto"/>
        <w:ind w:firstLineChars="200" w:firstLine="480"/>
        <w:outlineLvl w:val="1"/>
        <w:rPr>
          <w:bCs/>
          <w:sz w:val="24"/>
        </w:rPr>
      </w:pPr>
      <w:r>
        <w:rPr>
          <w:rFonts w:hint="eastAsia"/>
          <w:bCs/>
          <w:sz w:val="24"/>
        </w:rPr>
        <w:t>基金合同正本一式六份，除上报有关监管机构一式二份外，基金管理人、基金托管人各持有二份，每份具有同等的法律效力。</w:t>
      </w:r>
    </w:p>
    <w:p w:rsidR="00783788" w:rsidRDefault="002C6E18">
      <w:pPr>
        <w:adjustRightInd w:val="0"/>
        <w:snapToGrid w:val="0"/>
        <w:spacing w:line="360" w:lineRule="auto"/>
        <w:ind w:firstLineChars="200" w:firstLine="480"/>
        <w:rPr>
          <w:rFonts w:ascii="宋体" w:hAnsi="宋体"/>
          <w:sz w:val="24"/>
        </w:rPr>
      </w:pPr>
      <w:r>
        <w:rPr>
          <w:rFonts w:hint="eastAsia"/>
          <w:bCs/>
          <w:sz w:val="24"/>
        </w:rPr>
        <w:t>基金合同可印制成册，供投资者在基金管理人、基金托管人、销售机构的办公场所和营业场所查阅，但应以基金合同正本为准。</w:t>
      </w:r>
      <w:bookmarkEnd w:id="106"/>
    </w:p>
    <w:p w:rsidR="00783788" w:rsidRDefault="00783788">
      <w:pPr>
        <w:adjustRightInd w:val="0"/>
        <w:snapToGrid w:val="0"/>
        <w:spacing w:line="360" w:lineRule="auto"/>
        <w:ind w:firstLineChars="200" w:firstLine="480"/>
        <w:rPr>
          <w:rFonts w:ascii="宋体" w:hAnsi="宋体"/>
          <w:sz w:val="24"/>
        </w:rPr>
      </w:pPr>
    </w:p>
    <w:p w:rsidR="00783788" w:rsidRDefault="002C6E18">
      <w:pPr>
        <w:widowControl/>
        <w:adjustRightInd w:val="0"/>
        <w:snapToGrid w:val="0"/>
        <w:spacing w:beforeLines="100" w:before="240" w:afterLines="50" w:after="120" w:line="360" w:lineRule="auto"/>
        <w:jc w:val="center"/>
        <w:outlineLvl w:val="0"/>
        <w:rPr>
          <w:rFonts w:ascii="宋体" w:hAnsi="宋体"/>
          <w:b/>
          <w:kern w:val="0"/>
          <w:sz w:val="30"/>
        </w:rPr>
      </w:pPr>
      <w:bookmarkStart w:id="107" w:name="_Toc382321333"/>
      <w:r>
        <w:rPr>
          <w:rFonts w:ascii="宋体" w:hAnsi="宋体" w:hint="eastAsia"/>
          <w:b/>
          <w:kern w:val="0"/>
          <w:sz w:val="30"/>
        </w:rPr>
        <w:t>二十二、托管协议的内容摘要</w:t>
      </w:r>
      <w:bookmarkEnd w:id="107"/>
    </w:p>
    <w:p w:rsidR="00783788" w:rsidRDefault="002C6E18">
      <w:pPr>
        <w:widowControl/>
        <w:adjustRightInd w:val="0"/>
        <w:snapToGrid w:val="0"/>
        <w:spacing w:line="360" w:lineRule="auto"/>
        <w:ind w:firstLineChars="200" w:firstLine="482"/>
        <w:outlineLvl w:val="1"/>
        <w:rPr>
          <w:rFonts w:ascii="宋体" w:hAnsi="宋体"/>
          <w:b/>
          <w:kern w:val="0"/>
          <w:sz w:val="24"/>
        </w:rPr>
      </w:pPr>
      <w:r>
        <w:rPr>
          <w:rFonts w:ascii="宋体" w:hAnsi="宋体" w:hint="eastAsia"/>
          <w:b/>
          <w:kern w:val="0"/>
          <w:sz w:val="24"/>
        </w:rPr>
        <w:t>（</w:t>
      </w:r>
      <w:r>
        <w:rPr>
          <w:rFonts w:ascii="宋体" w:hAnsi="宋体"/>
          <w:b/>
          <w:kern w:val="0"/>
          <w:sz w:val="24"/>
        </w:rPr>
        <w:t>一</w:t>
      </w:r>
      <w:r>
        <w:rPr>
          <w:rFonts w:ascii="宋体" w:hAnsi="宋体" w:hint="eastAsia"/>
          <w:b/>
          <w:kern w:val="0"/>
          <w:sz w:val="24"/>
        </w:rPr>
        <w:t>）</w:t>
      </w:r>
      <w:r>
        <w:rPr>
          <w:rFonts w:ascii="宋体" w:hAnsi="宋体"/>
          <w:b/>
          <w:kern w:val="0"/>
          <w:sz w:val="24"/>
        </w:rPr>
        <w:t xml:space="preserve">托管协议当事人 </w:t>
      </w:r>
    </w:p>
    <w:p w:rsidR="00783788" w:rsidRDefault="002C6E18">
      <w:pPr>
        <w:widowControl/>
        <w:adjustRightInd w:val="0"/>
        <w:snapToGrid w:val="0"/>
        <w:spacing w:line="360" w:lineRule="auto"/>
        <w:ind w:firstLineChars="200" w:firstLine="480"/>
        <w:rPr>
          <w:kern w:val="0"/>
          <w:sz w:val="24"/>
        </w:rPr>
      </w:pPr>
      <w:r>
        <w:rPr>
          <w:kern w:val="0"/>
          <w:sz w:val="24"/>
        </w:rPr>
        <w:t>1</w:t>
      </w:r>
      <w:r>
        <w:rPr>
          <w:rFonts w:hAnsi="宋体"/>
          <w:kern w:val="0"/>
          <w:sz w:val="24"/>
        </w:rPr>
        <w:t>、基金管理人</w:t>
      </w:r>
    </w:p>
    <w:p w:rsidR="00783788" w:rsidRDefault="002C6E18">
      <w:pPr>
        <w:adjustRightInd w:val="0"/>
        <w:snapToGrid w:val="0"/>
        <w:spacing w:line="360" w:lineRule="auto"/>
        <w:ind w:firstLineChars="200" w:firstLine="480"/>
        <w:rPr>
          <w:sz w:val="24"/>
          <w:szCs w:val="24"/>
        </w:rPr>
      </w:pPr>
      <w:r>
        <w:rPr>
          <w:rFonts w:hAnsi="宋体"/>
          <w:sz w:val="24"/>
          <w:szCs w:val="24"/>
        </w:rPr>
        <w:t>名称：交银施罗德基金管理有限公司</w:t>
      </w:r>
    </w:p>
    <w:p w:rsidR="00783788" w:rsidRDefault="002C6E18">
      <w:pPr>
        <w:adjustRightInd w:val="0"/>
        <w:snapToGrid w:val="0"/>
        <w:spacing w:line="360" w:lineRule="auto"/>
        <w:ind w:firstLineChars="200" w:firstLine="480"/>
        <w:rPr>
          <w:sz w:val="24"/>
          <w:szCs w:val="24"/>
        </w:rPr>
      </w:pPr>
      <w:r>
        <w:rPr>
          <w:rFonts w:hAnsi="宋体"/>
          <w:sz w:val="24"/>
          <w:szCs w:val="24"/>
        </w:rPr>
        <w:t>注册地址：上海市浦东新区银城中路</w:t>
      </w:r>
      <w:r>
        <w:rPr>
          <w:sz w:val="24"/>
          <w:szCs w:val="24"/>
        </w:rPr>
        <w:t>188</w:t>
      </w:r>
      <w:r>
        <w:rPr>
          <w:rFonts w:hAnsi="宋体"/>
          <w:sz w:val="24"/>
          <w:szCs w:val="24"/>
        </w:rPr>
        <w:t>号交通银行大楼二层（裙）</w:t>
      </w:r>
    </w:p>
    <w:p w:rsidR="00783788" w:rsidRDefault="002C6E18">
      <w:pPr>
        <w:adjustRightInd w:val="0"/>
        <w:snapToGrid w:val="0"/>
        <w:spacing w:line="360" w:lineRule="auto"/>
        <w:ind w:firstLineChars="200" w:firstLine="480"/>
        <w:rPr>
          <w:sz w:val="24"/>
          <w:szCs w:val="24"/>
        </w:rPr>
      </w:pPr>
      <w:r>
        <w:rPr>
          <w:rFonts w:hAnsi="宋体"/>
          <w:sz w:val="24"/>
          <w:szCs w:val="24"/>
        </w:rPr>
        <w:t>办公地址：</w:t>
      </w:r>
      <w:r>
        <w:rPr>
          <w:rFonts w:ascii="宋体" w:hAnsi="宋体" w:cs="宋体" w:hint="eastAsia"/>
          <w:sz w:val="24"/>
        </w:rPr>
        <w:t>上海浦东新区世纪大道8号国金中心二期21-22楼</w:t>
      </w:r>
    </w:p>
    <w:p w:rsidR="00783788" w:rsidRDefault="002C6E18">
      <w:pPr>
        <w:adjustRightInd w:val="0"/>
        <w:snapToGrid w:val="0"/>
        <w:spacing w:line="360" w:lineRule="auto"/>
        <w:ind w:firstLineChars="200" w:firstLine="480"/>
        <w:rPr>
          <w:sz w:val="24"/>
          <w:szCs w:val="24"/>
        </w:rPr>
      </w:pPr>
      <w:r>
        <w:rPr>
          <w:rFonts w:hAnsi="宋体"/>
          <w:sz w:val="24"/>
          <w:szCs w:val="24"/>
        </w:rPr>
        <w:t>邮政编码：</w:t>
      </w:r>
      <w:r>
        <w:rPr>
          <w:sz w:val="24"/>
          <w:szCs w:val="24"/>
        </w:rPr>
        <w:t>200120</w:t>
      </w:r>
    </w:p>
    <w:p w:rsidR="00783788" w:rsidRDefault="002C6E18">
      <w:pPr>
        <w:adjustRightInd w:val="0"/>
        <w:snapToGrid w:val="0"/>
        <w:spacing w:line="360" w:lineRule="auto"/>
        <w:ind w:firstLineChars="200" w:firstLine="480"/>
        <w:rPr>
          <w:sz w:val="24"/>
          <w:szCs w:val="24"/>
        </w:rPr>
      </w:pPr>
      <w:r>
        <w:rPr>
          <w:rFonts w:hAnsi="宋体"/>
          <w:sz w:val="24"/>
          <w:szCs w:val="24"/>
        </w:rPr>
        <w:t>法定代表人：</w:t>
      </w:r>
      <w:r w:rsidR="00233137">
        <w:rPr>
          <w:rFonts w:hAnsi="宋体" w:hint="eastAsia"/>
          <w:sz w:val="24"/>
          <w:szCs w:val="24"/>
        </w:rPr>
        <w:t>苏</w:t>
      </w:r>
      <w:r w:rsidR="00233137">
        <w:rPr>
          <w:rFonts w:hAnsi="宋体"/>
          <w:sz w:val="24"/>
          <w:szCs w:val="24"/>
        </w:rPr>
        <w:t>奋（</w:t>
      </w:r>
      <w:r w:rsidR="00233137">
        <w:rPr>
          <w:rFonts w:hAnsi="宋体" w:hint="eastAsia"/>
          <w:sz w:val="24"/>
          <w:szCs w:val="24"/>
        </w:rPr>
        <w:t>代任</w:t>
      </w:r>
      <w:r w:rsidR="00233137">
        <w:rPr>
          <w:rFonts w:hAnsi="宋体"/>
          <w:sz w:val="24"/>
          <w:szCs w:val="24"/>
        </w:rPr>
        <w:t>）</w:t>
      </w:r>
    </w:p>
    <w:p w:rsidR="00783788" w:rsidRDefault="002C6E18">
      <w:pPr>
        <w:adjustRightInd w:val="0"/>
        <w:snapToGrid w:val="0"/>
        <w:spacing w:line="360" w:lineRule="auto"/>
        <w:ind w:firstLineChars="200" w:firstLine="480"/>
        <w:rPr>
          <w:sz w:val="24"/>
          <w:szCs w:val="24"/>
        </w:rPr>
      </w:pPr>
      <w:r>
        <w:rPr>
          <w:rFonts w:hAnsi="宋体"/>
          <w:sz w:val="24"/>
          <w:szCs w:val="24"/>
        </w:rPr>
        <w:t>成立日期：</w:t>
      </w:r>
      <w:r>
        <w:rPr>
          <w:sz w:val="24"/>
          <w:szCs w:val="24"/>
        </w:rPr>
        <w:t>2005</w:t>
      </w:r>
      <w:r>
        <w:rPr>
          <w:rFonts w:hAnsi="宋体"/>
          <w:sz w:val="24"/>
          <w:szCs w:val="24"/>
        </w:rPr>
        <w:t>年</w:t>
      </w:r>
      <w:r>
        <w:rPr>
          <w:sz w:val="24"/>
          <w:szCs w:val="24"/>
        </w:rPr>
        <w:t>8</w:t>
      </w:r>
      <w:r>
        <w:rPr>
          <w:rFonts w:hAnsi="宋体"/>
          <w:sz w:val="24"/>
          <w:szCs w:val="24"/>
        </w:rPr>
        <w:t>月</w:t>
      </w:r>
      <w:r>
        <w:rPr>
          <w:sz w:val="24"/>
          <w:szCs w:val="24"/>
        </w:rPr>
        <w:t>4</w:t>
      </w:r>
      <w:r>
        <w:rPr>
          <w:rFonts w:hAnsi="宋体"/>
          <w:sz w:val="24"/>
          <w:szCs w:val="24"/>
        </w:rPr>
        <w:t>日</w:t>
      </w:r>
    </w:p>
    <w:p w:rsidR="00783788" w:rsidRDefault="002C6E18">
      <w:pPr>
        <w:adjustRightInd w:val="0"/>
        <w:snapToGrid w:val="0"/>
        <w:spacing w:line="360" w:lineRule="auto"/>
        <w:ind w:firstLineChars="200" w:firstLine="480"/>
        <w:rPr>
          <w:sz w:val="24"/>
          <w:szCs w:val="24"/>
        </w:rPr>
      </w:pPr>
      <w:r>
        <w:rPr>
          <w:rFonts w:hAnsi="宋体"/>
          <w:sz w:val="24"/>
          <w:szCs w:val="24"/>
        </w:rPr>
        <w:t>批准设立机关及批准设立文号：中国证监会证监基金字</w:t>
      </w:r>
      <w:r>
        <w:rPr>
          <w:sz w:val="24"/>
          <w:szCs w:val="24"/>
        </w:rPr>
        <w:t>[2005]128</w:t>
      </w:r>
      <w:r>
        <w:rPr>
          <w:rFonts w:hAnsi="宋体"/>
          <w:sz w:val="24"/>
          <w:szCs w:val="24"/>
        </w:rPr>
        <w:t>号</w:t>
      </w:r>
    </w:p>
    <w:p w:rsidR="00783788" w:rsidRDefault="002C6E18">
      <w:pPr>
        <w:adjustRightInd w:val="0"/>
        <w:snapToGrid w:val="0"/>
        <w:spacing w:line="360" w:lineRule="auto"/>
        <w:ind w:firstLineChars="200" w:firstLine="480"/>
        <w:rPr>
          <w:sz w:val="24"/>
          <w:szCs w:val="24"/>
        </w:rPr>
      </w:pPr>
      <w:r>
        <w:rPr>
          <w:rFonts w:hAnsi="宋体"/>
          <w:sz w:val="24"/>
          <w:szCs w:val="24"/>
        </w:rPr>
        <w:t>组织形式：有限责任公司</w:t>
      </w:r>
    </w:p>
    <w:p w:rsidR="00783788" w:rsidRDefault="002C6E18">
      <w:pPr>
        <w:adjustRightInd w:val="0"/>
        <w:snapToGrid w:val="0"/>
        <w:spacing w:line="360" w:lineRule="auto"/>
        <w:ind w:firstLineChars="200" w:firstLine="480"/>
        <w:rPr>
          <w:sz w:val="24"/>
          <w:szCs w:val="24"/>
        </w:rPr>
      </w:pPr>
      <w:r>
        <w:rPr>
          <w:rFonts w:hAnsi="宋体"/>
          <w:sz w:val="24"/>
          <w:szCs w:val="24"/>
        </w:rPr>
        <w:t>注册资本：</w:t>
      </w:r>
      <w:r>
        <w:rPr>
          <w:sz w:val="24"/>
          <w:szCs w:val="24"/>
        </w:rPr>
        <w:t>2</w:t>
      </w:r>
      <w:r>
        <w:rPr>
          <w:rFonts w:hAnsi="宋体"/>
          <w:sz w:val="24"/>
          <w:szCs w:val="24"/>
        </w:rPr>
        <w:t>亿元人民币</w:t>
      </w:r>
    </w:p>
    <w:p w:rsidR="00783788" w:rsidRDefault="002C6E18">
      <w:pPr>
        <w:adjustRightInd w:val="0"/>
        <w:snapToGrid w:val="0"/>
        <w:spacing w:line="360" w:lineRule="auto"/>
        <w:ind w:firstLineChars="200" w:firstLine="480"/>
        <w:rPr>
          <w:sz w:val="24"/>
          <w:szCs w:val="24"/>
        </w:rPr>
      </w:pPr>
      <w:r>
        <w:rPr>
          <w:rFonts w:hAnsi="宋体"/>
          <w:sz w:val="24"/>
          <w:szCs w:val="24"/>
        </w:rPr>
        <w:t>存续期间：持续经营</w:t>
      </w:r>
    </w:p>
    <w:p w:rsidR="00783788" w:rsidRDefault="002C6E18">
      <w:pPr>
        <w:widowControl/>
        <w:adjustRightInd w:val="0"/>
        <w:snapToGrid w:val="0"/>
        <w:spacing w:line="360" w:lineRule="auto"/>
        <w:ind w:firstLineChars="200" w:firstLine="480"/>
        <w:rPr>
          <w:kern w:val="0"/>
          <w:sz w:val="24"/>
        </w:rPr>
      </w:pPr>
      <w:r>
        <w:rPr>
          <w:rFonts w:hAnsi="宋体"/>
          <w:sz w:val="24"/>
          <w:szCs w:val="24"/>
        </w:rPr>
        <w:t>经营范围：基金管理业务、发起设立基金及中国证券监督管理委员会批准的其他业务。</w:t>
      </w:r>
    </w:p>
    <w:p w:rsidR="00783788" w:rsidRDefault="002C6E18">
      <w:pPr>
        <w:widowControl/>
        <w:adjustRightInd w:val="0"/>
        <w:snapToGrid w:val="0"/>
        <w:spacing w:line="360" w:lineRule="auto"/>
        <w:ind w:firstLineChars="200" w:firstLine="480"/>
        <w:rPr>
          <w:kern w:val="0"/>
          <w:sz w:val="24"/>
        </w:rPr>
      </w:pPr>
      <w:r>
        <w:rPr>
          <w:kern w:val="0"/>
          <w:sz w:val="24"/>
        </w:rPr>
        <w:t>2</w:t>
      </w:r>
      <w:r>
        <w:rPr>
          <w:rFonts w:hAnsi="宋体"/>
          <w:kern w:val="0"/>
          <w:sz w:val="24"/>
        </w:rPr>
        <w:t>、基金托管人</w:t>
      </w:r>
    </w:p>
    <w:p w:rsidR="00783788" w:rsidRDefault="002C6E18">
      <w:pPr>
        <w:adjustRightInd w:val="0"/>
        <w:snapToGrid w:val="0"/>
        <w:spacing w:line="360" w:lineRule="auto"/>
        <w:ind w:firstLineChars="200" w:firstLine="480"/>
        <w:rPr>
          <w:rFonts w:hAnsi="宋体"/>
          <w:sz w:val="24"/>
          <w:szCs w:val="24"/>
        </w:rPr>
      </w:pPr>
      <w:r>
        <w:rPr>
          <w:rFonts w:hAnsi="宋体"/>
          <w:sz w:val="24"/>
          <w:szCs w:val="24"/>
        </w:rPr>
        <w:t>名称：中国农业银行股份有限公司</w:t>
      </w:r>
    </w:p>
    <w:p w:rsidR="00783788" w:rsidRDefault="002C6E18">
      <w:pPr>
        <w:adjustRightInd w:val="0"/>
        <w:snapToGrid w:val="0"/>
        <w:spacing w:line="360" w:lineRule="auto"/>
        <w:ind w:firstLineChars="200" w:firstLine="480"/>
        <w:rPr>
          <w:sz w:val="24"/>
          <w:szCs w:val="24"/>
        </w:rPr>
      </w:pPr>
      <w:r>
        <w:rPr>
          <w:rFonts w:hAnsi="宋体"/>
          <w:sz w:val="24"/>
          <w:szCs w:val="24"/>
        </w:rPr>
        <w:t>注册地址：北京市东城区建国门内大街</w:t>
      </w:r>
      <w:r>
        <w:rPr>
          <w:sz w:val="24"/>
          <w:szCs w:val="24"/>
        </w:rPr>
        <w:t>69</w:t>
      </w:r>
      <w:r>
        <w:rPr>
          <w:rFonts w:hAnsi="宋体"/>
          <w:sz w:val="24"/>
          <w:szCs w:val="24"/>
        </w:rPr>
        <w:t>号</w:t>
      </w:r>
    </w:p>
    <w:p w:rsidR="00783788" w:rsidRDefault="002C6E18">
      <w:pPr>
        <w:adjustRightInd w:val="0"/>
        <w:snapToGrid w:val="0"/>
        <w:spacing w:line="360" w:lineRule="auto"/>
        <w:ind w:firstLineChars="200" w:firstLine="480"/>
        <w:rPr>
          <w:sz w:val="24"/>
          <w:szCs w:val="24"/>
        </w:rPr>
      </w:pPr>
      <w:r>
        <w:rPr>
          <w:rFonts w:hAnsi="宋体"/>
          <w:sz w:val="24"/>
          <w:szCs w:val="24"/>
        </w:rPr>
        <w:t>办公地址：北京市西城区复兴门内大街</w:t>
      </w:r>
      <w:r>
        <w:rPr>
          <w:sz w:val="24"/>
          <w:szCs w:val="24"/>
        </w:rPr>
        <w:t>28</w:t>
      </w:r>
      <w:r>
        <w:rPr>
          <w:rFonts w:hAnsi="宋体"/>
          <w:sz w:val="24"/>
          <w:szCs w:val="24"/>
        </w:rPr>
        <w:t>号凯晨世贸中心东座九层</w:t>
      </w:r>
    </w:p>
    <w:p w:rsidR="00783788" w:rsidRDefault="002C6E18">
      <w:pPr>
        <w:adjustRightInd w:val="0"/>
        <w:snapToGrid w:val="0"/>
        <w:spacing w:line="360" w:lineRule="auto"/>
        <w:ind w:firstLineChars="200" w:firstLine="480"/>
        <w:rPr>
          <w:sz w:val="24"/>
          <w:szCs w:val="24"/>
        </w:rPr>
      </w:pPr>
      <w:r>
        <w:rPr>
          <w:rFonts w:hAnsi="宋体"/>
          <w:sz w:val="24"/>
          <w:szCs w:val="24"/>
        </w:rPr>
        <w:t>邮政编码：</w:t>
      </w:r>
      <w:r>
        <w:rPr>
          <w:sz w:val="24"/>
          <w:szCs w:val="24"/>
        </w:rPr>
        <w:t>100031</w:t>
      </w:r>
    </w:p>
    <w:p w:rsidR="00783788" w:rsidRDefault="002C6E18">
      <w:pPr>
        <w:adjustRightInd w:val="0"/>
        <w:snapToGrid w:val="0"/>
        <w:spacing w:line="360" w:lineRule="auto"/>
        <w:ind w:firstLineChars="200" w:firstLine="480"/>
        <w:rPr>
          <w:sz w:val="24"/>
          <w:szCs w:val="24"/>
        </w:rPr>
      </w:pPr>
      <w:r>
        <w:rPr>
          <w:rFonts w:hAnsi="宋体"/>
          <w:sz w:val="24"/>
          <w:szCs w:val="24"/>
        </w:rPr>
        <w:t>法定代表人：蒋超良</w:t>
      </w:r>
    </w:p>
    <w:p w:rsidR="00783788" w:rsidRDefault="002C6E18">
      <w:pPr>
        <w:adjustRightInd w:val="0"/>
        <w:snapToGrid w:val="0"/>
        <w:spacing w:line="360" w:lineRule="auto"/>
        <w:ind w:firstLineChars="200" w:firstLine="480"/>
        <w:rPr>
          <w:sz w:val="24"/>
          <w:szCs w:val="24"/>
        </w:rPr>
      </w:pPr>
      <w:r>
        <w:rPr>
          <w:rFonts w:hAnsi="宋体"/>
          <w:sz w:val="24"/>
          <w:szCs w:val="24"/>
        </w:rPr>
        <w:t>成立时间：</w:t>
      </w:r>
      <w:r>
        <w:rPr>
          <w:sz w:val="24"/>
          <w:szCs w:val="24"/>
        </w:rPr>
        <w:t>2009</w:t>
      </w:r>
      <w:r>
        <w:rPr>
          <w:rFonts w:hAnsi="宋体"/>
          <w:sz w:val="24"/>
          <w:szCs w:val="24"/>
        </w:rPr>
        <w:t>年</w:t>
      </w:r>
      <w:r>
        <w:rPr>
          <w:sz w:val="24"/>
          <w:szCs w:val="24"/>
        </w:rPr>
        <w:t>1</w:t>
      </w:r>
      <w:r>
        <w:rPr>
          <w:rFonts w:hAnsi="宋体"/>
          <w:sz w:val="24"/>
          <w:szCs w:val="24"/>
        </w:rPr>
        <w:t>月</w:t>
      </w:r>
      <w:r>
        <w:rPr>
          <w:sz w:val="24"/>
          <w:szCs w:val="24"/>
        </w:rPr>
        <w:t>15</w:t>
      </w:r>
      <w:r>
        <w:rPr>
          <w:rFonts w:hAnsi="宋体"/>
          <w:sz w:val="24"/>
          <w:szCs w:val="24"/>
        </w:rPr>
        <w:t>日</w:t>
      </w:r>
    </w:p>
    <w:p w:rsidR="00783788" w:rsidRDefault="002C6E18">
      <w:pPr>
        <w:adjustRightInd w:val="0"/>
        <w:snapToGrid w:val="0"/>
        <w:spacing w:line="360" w:lineRule="auto"/>
        <w:ind w:firstLineChars="200" w:firstLine="480"/>
        <w:rPr>
          <w:sz w:val="24"/>
          <w:szCs w:val="24"/>
        </w:rPr>
      </w:pPr>
      <w:r>
        <w:rPr>
          <w:rFonts w:hAnsi="宋体"/>
          <w:sz w:val="24"/>
          <w:szCs w:val="24"/>
        </w:rPr>
        <w:t>基金托管资格批准文号：中国证监会证监基字</w:t>
      </w:r>
      <w:r>
        <w:rPr>
          <w:sz w:val="24"/>
          <w:szCs w:val="24"/>
        </w:rPr>
        <w:t>[1998]23</w:t>
      </w:r>
      <w:r>
        <w:rPr>
          <w:rFonts w:hAnsi="宋体"/>
          <w:sz w:val="24"/>
          <w:szCs w:val="24"/>
        </w:rPr>
        <w:t>号</w:t>
      </w:r>
    </w:p>
    <w:p w:rsidR="00783788" w:rsidRDefault="002C6E18">
      <w:pPr>
        <w:adjustRightInd w:val="0"/>
        <w:snapToGrid w:val="0"/>
        <w:spacing w:line="360" w:lineRule="auto"/>
        <w:ind w:firstLineChars="200" w:firstLine="480"/>
        <w:rPr>
          <w:sz w:val="24"/>
          <w:szCs w:val="24"/>
        </w:rPr>
      </w:pPr>
      <w:r>
        <w:rPr>
          <w:rFonts w:hAnsi="宋体"/>
          <w:sz w:val="24"/>
          <w:szCs w:val="24"/>
        </w:rPr>
        <w:t>注册资本：</w:t>
      </w:r>
      <w:r>
        <w:rPr>
          <w:sz w:val="24"/>
          <w:szCs w:val="24"/>
        </w:rPr>
        <w:t>32,479,411.7</w:t>
      </w:r>
      <w:r>
        <w:rPr>
          <w:rFonts w:hAnsi="宋体"/>
          <w:sz w:val="24"/>
          <w:szCs w:val="24"/>
        </w:rPr>
        <w:t>万元人民币</w:t>
      </w:r>
    </w:p>
    <w:p w:rsidR="00783788" w:rsidRDefault="002C6E18">
      <w:pPr>
        <w:adjustRightInd w:val="0"/>
        <w:snapToGrid w:val="0"/>
        <w:spacing w:line="360" w:lineRule="auto"/>
        <w:ind w:firstLineChars="200" w:firstLine="480"/>
        <w:rPr>
          <w:sz w:val="24"/>
          <w:szCs w:val="24"/>
        </w:rPr>
      </w:pPr>
      <w:r>
        <w:rPr>
          <w:rFonts w:hAnsi="宋体"/>
          <w:sz w:val="24"/>
          <w:szCs w:val="24"/>
        </w:rPr>
        <w:t>存续期间：持续经营</w:t>
      </w:r>
    </w:p>
    <w:p w:rsidR="00783788" w:rsidRDefault="002C6E18">
      <w:pPr>
        <w:adjustRightInd w:val="0"/>
        <w:snapToGrid w:val="0"/>
        <w:spacing w:line="360" w:lineRule="auto"/>
        <w:ind w:firstLineChars="200" w:firstLine="480"/>
        <w:rPr>
          <w:rFonts w:hAnsi="宋体"/>
          <w:sz w:val="24"/>
          <w:szCs w:val="24"/>
        </w:rPr>
      </w:pPr>
      <w:r>
        <w:rPr>
          <w:rFonts w:hAnsi="宋体" w:hint="eastAsia"/>
          <w:sz w:val="24"/>
          <w:szCs w:val="24"/>
        </w:rPr>
        <w:t>经营范围：吸收公众存款；发放短期、中期、长期贷款；办理国内外结</w:t>
      </w:r>
      <w:r>
        <w:rPr>
          <w:rFonts w:hAnsi="宋体" w:hint="eastAsia"/>
          <w:sz w:val="24"/>
          <w:szCs w:val="24"/>
        </w:rPr>
        <w:t xml:space="preserve"> </w:t>
      </w:r>
      <w:r>
        <w:rPr>
          <w:rFonts w:hAnsi="宋体" w:hint="eastAsia"/>
          <w:sz w:val="24"/>
          <w:szCs w:val="24"/>
        </w:rPr>
        <w:t>算；办理票据承兑与贴现；发行金融债券；代理发行、代理兑付、承销政府债券；买卖政府债券、金融债券；从事同业拆借；买卖、代理买卖外汇；结汇、售汇；从事银行卡业务；提供信用证服务及担保；代理收付款项及代理保险业务；提供保管箱服务；代理资金清算；各类汇兑业务；代理政策性银行、外国政府和国际金融机构贷款业务；贷款承诺；组织或参加银团贷款；外汇存款；外汇贷款；外汇汇款；外汇借款；发行、代理发行、买卖或代理买卖股票以外的外币有价证券；外汇票据承兑和贴现；自营、代客外汇买卖；外币兑换；外汇担保；资信调查、咨询、见证业务；企业、个人财务顾问服务；证券公司客户交易结算资金存管业务；证券投资基金托管业务；企业年金托管业务；产业投资基金托管业务；合格境外机构投资者境内证</w:t>
      </w:r>
      <w:r>
        <w:rPr>
          <w:rFonts w:hAnsi="宋体" w:hint="eastAsia"/>
          <w:sz w:val="24"/>
          <w:szCs w:val="24"/>
        </w:rPr>
        <w:t xml:space="preserve"> </w:t>
      </w:r>
      <w:r>
        <w:rPr>
          <w:rFonts w:hAnsi="宋体" w:hint="eastAsia"/>
          <w:sz w:val="24"/>
          <w:szCs w:val="24"/>
        </w:rPr>
        <w:t>券投资托管业务；代理开放式基金业务；电话银行、手机银行、网上银行业务；金融衍生产品交易业务；经国务院银行业监督管理机构等监管部门批准的其他业务。</w:t>
      </w:r>
    </w:p>
    <w:p w:rsidR="00783788" w:rsidRDefault="002C6E18">
      <w:pPr>
        <w:widowControl/>
        <w:adjustRightInd w:val="0"/>
        <w:snapToGrid w:val="0"/>
        <w:spacing w:line="360" w:lineRule="auto"/>
        <w:ind w:firstLineChars="200" w:firstLine="482"/>
        <w:outlineLvl w:val="1"/>
        <w:rPr>
          <w:b/>
          <w:kern w:val="0"/>
          <w:sz w:val="24"/>
        </w:rPr>
      </w:pPr>
      <w:r>
        <w:rPr>
          <w:rFonts w:hAnsi="宋体"/>
          <w:b/>
          <w:kern w:val="0"/>
          <w:sz w:val="24"/>
        </w:rPr>
        <w:t>（二）基金托管人对基金管理人的业务监督和核查</w:t>
      </w:r>
    </w:p>
    <w:p w:rsidR="00783788" w:rsidRDefault="002C6E18">
      <w:pPr>
        <w:adjustRightInd w:val="0"/>
        <w:snapToGrid w:val="0"/>
        <w:spacing w:line="360" w:lineRule="auto"/>
        <w:ind w:firstLineChars="200" w:firstLine="480"/>
        <w:rPr>
          <w:sz w:val="24"/>
          <w:szCs w:val="24"/>
        </w:rPr>
      </w:pPr>
      <w:r>
        <w:rPr>
          <w:sz w:val="24"/>
          <w:szCs w:val="24"/>
        </w:rPr>
        <w:t>1</w:t>
      </w:r>
      <w:r>
        <w:rPr>
          <w:rFonts w:hAnsi="宋体"/>
          <w:sz w:val="24"/>
          <w:szCs w:val="24"/>
        </w:rPr>
        <w:t>、基金托管人根据有关法律法规的规定及基金合同的约定，对基金投资范围、投资对象进行监督。基金合同明确约定基金投资风格或证券选择标准的，基金管理人应按照基金托管人要求的格式提供投资品种池和交易对手库，以便基金托管人运用相关技术系统，对基金实际投资是否符合基金合同关于证券选择标准的约定进行监督，对存在疑义的事项进行核查。</w:t>
      </w:r>
    </w:p>
    <w:p w:rsidR="00783788" w:rsidRDefault="002C6E18">
      <w:pPr>
        <w:adjustRightInd w:val="0"/>
        <w:snapToGrid w:val="0"/>
        <w:spacing w:line="360" w:lineRule="auto"/>
        <w:ind w:firstLineChars="200" w:firstLine="480"/>
        <w:rPr>
          <w:bCs/>
          <w:sz w:val="24"/>
        </w:rPr>
      </w:pPr>
      <w:r>
        <w:rPr>
          <w:rFonts w:hAnsi="宋体"/>
          <w:bCs/>
          <w:sz w:val="24"/>
        </w:rPr>
        <w:t>本基金的投资范围为具有良好流动性的金融工具，包括国内依法上市的股票（含中小板、创业板及其他中国证监会允许基金投资的股票）、债券、货币市场工具、权证以及法律法规或中国证监会允许基金投资的其它金融工具（但须符合中国证监会的相关规定）。</w:t>
      </w:r>
    </w:p>
    <w:p w:rsidR="00783788" w:rsidRDefault="002C6E18">
      <w:pPr>
        <w:adjustRightInd w:val="0"/>
        <w:snapToGrid w:val="0"/>
        <w:spacing w:line="360" w:lineRule="auto"/>
        <w:ind w:firstLineChars="200" w:firstLine="480"/>
        <w:rPr>
          <w:bCs/>
          <w:sz w:val="24"/>
        </w:rPr>
      </w:pPr>
      <w:r>
        <w:rPr>
          <w:rFonts w:hAnsi="宋体"/>
          <w:bCs/>
          <w:sz w:val="24"/>
        </w:rPr>
        <w:t>本基金的投资组合比例为：股票、权证等权益类资产占基金资产净值的</w:t>
      </w:r>
      <w:r>
        <w:rPr>
          <w:bCs/>
          <w:sz w:val="24"/>
        </w:rPr>
        <w:t>30%-70%</w:t>
      </w:r>
      <w:r>
        <w:rPr>
          <w:rFonts w:hAnsi="宋体"/>
          <w:bCs/>
          <w:sz w:val="24"/>
        </w:rPr>
        <w:t>，其中权证的投资比例不超过基金资产净值的</w:t>
      </w:r>
      <w:r>
        <w:rPr>
          <w:bCs/>
          <w:sz w:val="24"/>
        </w:rPr>
        <w:t>3%</w:t>
      </w:r>
      <w:r>
        <w:rPr>
          <w:rFonts w:hAnsi="宋体"/>
          <w:bCs/>
          <w:sz w:val="24"/>
        </w:rPr>
        <w:t>；</w:t>
      </w:r>
      <w:r>
        <w:rPr>
          <w:rFonts w:hAnsi="宋体"/>
          <w:sz w:val="24"/>
        </w:rPr>
        <w:t>债券、资产支持证券、货币市场工具、银行存款等</w:t>
      </w:r>
      <w:r>
        <w:rPr>
          <w:rFonts w:hAnsi="宋体"/>
          <w:bCs/>
          <w:sz w:val="24"/>
        </w:rPr>
        <w:t>固定收益类资产和现金不低于基金资产净值的</w:t>
      </w:r>
      <w:r>
        <w:rPr>
          <w:bCs/>
          <w:sz w:val="24"/>
        </w:rPr>
        <w:t>30%</w:t>
      </w:r>
      <w:r>
        <w:rPr>
          <w:rFonts w:hAnsi="宋体"/>
          <w:bCs/>
          <w:sz w:val="24"/>
        </w:rPr>
        <w:t>，其中现金或到期日在一年以内的政府债券投资比例不低于基金资产净值的</w:t>
      </w:r>
      <w:r>
        <w:rPr>
          <w:bCs/>
          <w:sz w:val="24"/>
        </w:rPr>
        <w:t>5%</w:t>
      </w:r>
      <w:r>
        <w:rPr>
          <w:rFonts w:hAnsi="宋体"/>
          <w:bCs/>
          <w:sz w:val="24"/>
        </w:rPr>
        <w:t>。</w:t>
      </w:r>
    </w:p>
    <w:p w:rsidR="00783788" w:rsidRDefault="002C6E18">
      <w:pPr>
        <w:widowControl/>
        <w:adjustRightInd w:val="0"/>
        <w:snapToGrid w:val="0"/>
        <w:spacing w:line="360" w:lineRule="auto"/>
        <w:ind w:firstLineChars="200" w:firstLine="480"/>
        <w:outlineLvl w:val="1"/>
        <w:rPr>
          <w:sz w:val="24"/>
          <w:szCs w:val="24"/>
        </w:rPr>
      </w:pPr>
      <w:r>
        <w:rPr>
          <w:rFonts w:hAnsi="宋体"/>
          <w:bCs/>
          <w:sz w:val="24"/>
        </w:rPr>
        <w:t>如法律法规或监管机构以后允许基金投资其他品种，基金管理人在履行适当程序后，可以将其纳入投资范围，并可依据届时有效的法律法规适时合理地调整投资范围。</w:t>
      </w:r>
    </w:p>
    <w:p w:rsidR="00783788" w:rsidRDefault="002C6E18">
      <w:pPr>
        <w:adjustRightInd w:val="0"/>
        <w:snapToGrid w:val="0"/>
        <w:spacing w:line="360" w:lineRule="auto"/>
        <w:ind w:firstLineChars="200" w:firstLine="480"/>
        <w:rPr>
          <w:sz w:val="24"/>
          <w:szCs w:val="24"/>
        </w:rPr>
      </w:pPr>
      <w:r>
        <w:rPr>
          <w:sz w:val="24"/>
          <w:szCs w:val="24"/>
        </w:rPr>
        <w:t>2</w:t>
      </w:r>
      <w:r>
        <w:rPr>
          <w:rFonts w:hAnsi="宋体"/>
          <w:sz w:val="24"/>
          <w:szCs w:val="24"/>
        </w:rPr>
        <w:t>、基金托管人根据有关法律法规的规定及基金合同的约定，对基金投资、融资、融券比例进行监督。基金托管人按下述比例和调整期限进行监督：</w:t>
      </w:r>
    </w:p>
    <w:p w:rsidR="00783788" w:rsidRDefault="002C6E18">
      <w:pPr>
        <w:adjustRightInd w:val="0"/>
        <w:snapToGrid w:val="0"/>
        <w:spacing w:line="360" w:lineRule="auto"/>
        <w:ind w:firstLineChars="200" w:firstLine="480"/>
        <w:rPr>
          <w:sz w:val="24"/>
          <w:szCs w:val="24"/>
        </w:rPr>
      </w:pPr>
      <w:r>
        <w:rPr>
          <w:rFonts w:hint="eastAsia"/>
          <w:sz w:val="24"/>
          <w:szCs w:val="24"/>
        </w:rPr>
        <w:t>（</w:t>
      </w:r>
      <w:r>
        <w:rPr>
          <w:sz w:val="24"/>
          <w:szCs w:val="24"/>
        </w:rPr>
        <w:t>1</w:t>
      </w:r>
      <w:r>
        <w:rPr>
          <w:rFonts w:hAnsi="宋体" w:hint="eastAsia"/>
          <w:sz w:val="24"/>
          <w:szCs w:val="24"/>
        </w:rPr>
        <w:t>）</w:t>
      </w:r>
      <w:r>
        <w:rPr>
          <w:rFonts w:hAnsi="宋体"/>
          <w:sz w:val="24"/>
          <w:szCs w:val="24"/>
        </w:rPr>
        <w:t>本基金持有一家上市公司的股票，其市值不超过基金资产净值的</w:t>
      </w:r>
      <w:r>
        <w:rPr>
          <w:sz w:val="24"/>
          <w:szCs w:val="24"/>
        </w:rPr>
        <w:t>10%</w:t>
      </w:r>
      <w:r>
        <w:rPr>
          <w:rFonts w:hAnsi="宋体"/>
          <w:sz w:val="24"/>
          <w:szCs w:val="24"/>
        </w:rPr>
        <w:t>；</w:t>
      </w:r>
    </w:p>
    <w:p w:rsidR="00783788" w:rsidRDefault="002C6E18">
      <w:pPr>
        <w:adjustRightInd w:val="0"/>
        <w:snapToGrid w:val="0"/>
        <w:spacing w:line="360" w:lineRule="auto"/>
        <w:ind w:firstLineChars="200" w:firstLine="480"/>
        <w:rPr>
          <w:sz w:val="24"/>
          <w:szCs w:val="24"/>
        </w:rPr>
      </w:pPr>
      <w:r>
        <w:rPr>
          <w:rFonts w:hint="eastAsia"/>
          <w:sz w:val="24"/>
          <w:szCs w:val="24"/>
        </w:rPr>
        <w:t>（</w:t>
      </w:r>
      <w:r>
        <w:rPr>
          <w:sz w:val="24"/>
          <w:szCs w:val="24"/>
        </w:rPr>
        <w:t>2</w:t>
      </w:r>
      <w:r>
        <w:rPr>
          <w:rFonts w:hAnsi="宋体" w:hint="eastAsia"/>
          <w:sz w:val="24"/>
          <w:szCs w:val="24"/>
        </w:rPr>
        <w:t>）</w:t>
      </w:r>
      <w:r>
        <w:rPr>
          <w:rFonts w:hAnsi="宋体"/>
          <w:sz w:val="24"/>
          <w:szCs w:val="24"/>
        </w:rPr>
        <w:t>本基金与本基金管理人管理的且由本托管人托管的其他基金持有一家公司发行的证券，其市值不超过该证券的</w:t>
      </w:r>
      <w:r>
        <w:rPr>
          <w:sz w:val="24"/>
          <w:szCs w:val="24"/>
        </w:rPr>
        <w:t>10%</w:t>
      </w:r>
      <w:r>
        <w:rPr>
          <w:rFonts w:hAnsi="宋体"/>
          <w:sz w:val="24"/>
          <w:szCs w:val="24"/>
        </w:rPr>
        <w:t>；</w:t>
      </w:r>
    </w:p>
    <w:p w:rsidR="00783788" w:rsidRDefault="002C6E18">
      <w:pPr>
        <w:adjustRightInd w:val="0"/>
        <w:snapToGrid w:val="0"/>
        <w:spacing w:line="360" w:lineRule="auto"/>
        <w:ind w:firstLineChars="200" w:firstLine="480"/>
        <w:rPr>
          <w:sz w:val="24"/>
          <w:szCs w:val="24"/>
        </w:rPr>
      </w:pPr>
      <w:r>
        <w:rPr>
          <w:rFonts w:hint="eastAsia"/>
          <w:sz w:val="24"/>
          <w:szCs w:val="24"/>
        </w:rPr>
        <w:t>（</w:t>
      </w:r>
      <w:r>
        <w:rPr>
          <w:sz w:val="24"/>
          <w:szCs w:val="24"/>
        </w:rPr>
        <w:t>3</w:t>
      </w:r>
      <w:r>
        <w:rPr>
          <w:rFonts w:hAnsi="宋体" w:hint="eastAsia"/>
          <w:sz w:val="24"/>
          <w:szCs w:val="24"/>
        </w:rPr>
        <w:t>）</w:t>
      </w:r>
      <w:r>
        <w:rPr>
          <w:rFonts w:hAnsi="宋体"/>
          <w:sz w:val="24"/>
          <w:szCs w:val="24"/>
        </w:rPr>
        <w:t>进入全国银行间同业市场进行债券回购的资金余额不超过基金资产净值的</w:t>
      </w:r>
      <w:r>
        <w:rPr>
          <w:sz w:val="24"/>
          <w:szCs w:val="24"/>
        </w:rPr>
        <w:t>40%</w:t>
      </w:r>
      <w:r>
        <w:rPr>
          <w:rFonts w:hAnsi="宋体"/>
          <w:kern w:val="0"/>
          <w:sz w:val="24"/>
          <w:szCs w:val="24"/>
        </w:rPr>
        <w:t>。债券回购最长期限为</w:t>
      </w:r>
      <w:r>
        <w:rPr>
          <w:kern w:val="0"/>
          <w:sz w:val="24"/>
          <w:szCs w:val="24"/>
        </w:rPr>
        <w:t>1</w:t>
      </w:r>
      <w:r>
        <w:rPr>
          <w:rFonts w:hAnsi="宋体"/>
          <w:kern w:val="0"/>
          <w:sz w:val="24"/>
          <w:szCs w:val="24"/>
        </w:rPr>
        <w:t>年，债券回购到期后不得展期；</w:t>
      </w:r>
    </w:p>
    <w:p w:rsidR="00783788" w:rsidRDefault="002C6E18">
      <w:pPr>
        <w:adjustRightInd w:val="0"/>
        <w:snapToGrid w:val="0"/>
        <w:spacing w:line="360" w:lineRule="auto"/>
        <w:ind w:firstLineChars="200" w:firstLine="480"/>
        <w:rPr>
          <w:sz w:val="24"/>
          <w:szCs w:val="24"/>
        </w:rPr>
      </w:pPr>
      <w:r>
        <w:rPr>
          <w:rFonts w:hint="eastAsia"/>
          <w:sz w:val="24"/>
          <w:szCs w:val="24"/>
        </w:rPr>
        <w:t>（</w:t>
      </w:r>
      <w:r>
        <w:rPr>
          <w:sz w:val="24"/>
          <w:szCs w:val="24"/>
        </w:rPr>
        <w:t>4</w:t>
      </w:r>
      <w:r>
        <w:rPr>
          <w:rFonts w:hAnsi="宋体" w:hint="eastAsia"/>
          <w:sz w:val="24"/>
          <w:szCs w:val="24"/>
        </w:rPr>
        <w:t>）</w:t>
      </w:r>
      <w:r>
        <w:rPr>
          <w:rFonts w:hAnsi="宋体"/>
          <w:sz w:val="24"/>
          <w:szCs w:val="24"/>
        </w:rPr>
        <w:t>本基金参与股票发行申购，本基金所申报的金额不超过本基金的总资产，本基金所申报的股票数量不超过拟发行股票公司本次发行股票的总量；</w:t>
      </w:r>
    </w:p>
    <w:p w:rsidR="00783788" w:rsidRDefault="002C6E18">
      <w:pPr>
        <w:adjustRightInd w:val="0"/>
        <w:snapToGrid w:val="0"/>
        <w:spacing w:line="360" w:lineRule="auto"/>
        <w:ind w:firstLineChars="200" w:firstLine="480"/>
        <w:rPr>
          <w:sz w:val="24"/>
          <w:szCs w:val="24"/>
        </w:rPr>
      </w:pPr>
      <w:r>
        <w:rPr>
          <w:rFonts w:hint="eastAsia"/>
          <w:sz w:val="24"/>
          <w:szCs w:val="24"/>
        </w:rPr>
        <w:t>（</w:t>
      </w:r>
      <w:r>
        <w:rPr>
          <w:sz w:val="24"/>
          <w:szCs w:val="24"/>
        </w:rPr>
        <w:t>5</w:t>
      </w:r>
      <w:r>
        <w:rPr>
          <w:rFonts w:hAnsi="宋体" w:hint="eastAsia"/>
          <w:sz w:val="24"/>
          <w:szCs w:val="24"/>
        </w:rPr>
        <w:t>）</w:t>
      </w:r>
      <w:r>
        <w:rPr>
          <w:rFonts w:hAnsi="宋体"/>
          <w:sz w:val="24"/>
          <w:szCs w:val="24"/>
        </w:rPr>
        <w:t>本基金在任何交易日买入权证的总金额，不得超过上一交易日基金资产净值的</w:t>
      </w:r>
      <w:r>
        <w:rPr>
          <w:sz w:val="24"/>
          <w:szCs w:val="24"/>
        </w:rPr>
        <w:t>5‰</w:t>
      </w:r>
      <w:r>
        <w:rPr>
          <w:rFonts w:hAnsi="宋体"/>
          <w:sz w:val="24"/>
          <w:szCs w:val="24"/>
        </w:rPr>
        <w:t>；本基金持有的全部权证，其市值不得超过基金资产净值的</w:t>
      </w:r>
      <w:r>
        <w:rPr>
          <w:sz w:val="24"/>
          <w:szCs w:val="24"/>
        </w:rPr>
        <w:t>3%</w:t>
      </w:r>
      <w:r>
        <w:rPr>
          <w:rFonts w:hAnsi="宋体"/>
          <w:sz w:val="24"/>
          <w:szCs w:val="24"/>
        </w:rPr>
        <w:t>；本基金与本基金管理人管理的其他基金持有的同一权证，不得超过该权证的</w:t>
      </w:r>
      <w:r>
        <w:rPr>
          <w:sz w:val="24"/>
          <w:szCs w:val="24"/>
        </w:rPr>
        <w:t>10%</w:t>
      </w:r>
      <w:r>
        <w:rPr>
          <w:rFonts w:hAnsi="宋体"/>
          <w:sz w:val="24"/>
          <w:szCs w:val="24"/>
        </w:rPr>
        <w:t>；</w:t>
      </w:r>
    </w:p>
    <w:p w:rsidR="00783788" w:rsidRDefault="002C6E18">
      <w:pPr>
        <w:adjustRightInd w:val="0"/>
        <w:snapToGrid w:val="0"/>
        <w:spacing w:line="360" w:lineRule="auto"/>
        <w:ind w:firstLineChars="200" w:firstLine="480"/>
        <w:rPr>
          <w:bCs/>
          <w:sz w:val="24"/>
        </w:rPr>
      </w:pPr>
      <w:r>
        <w:rPr>
          <w:rFonts w:hint="eastAsia"/>
          <w:sz w:val="24"/>
          <w:szCs w:val="24"/>
        </w:rPr>
        <w:t>（</w:t>
      </w:r>
      <w:r>
        <w:rPr>
          <w:sz w:val="24"/>
          <w:szCs w:val="24"/>
        </w:rPr>
        <w:t>6</w:t>
      </w:r>
      <w:r>
        <w:rPr>
          <w:rFonts w:hAnsi="宋体" w:hint="eastAsia"/>
          <w:sz w:val="24"/>
          <w:szCs w:val="24"/>
        </w:rPr>
        <w:t>）</w:t>
      </w:r>
      <w:r>
        <w:rPr>
          <w:rFonts w:hAnsi="宋体"/>
          <w:bCs/>
          <w:sz w:val="24"/>
        </w:rPr>
        <w:t>本基金应投资于信用级别评级为</w:t>
      </w:r>
      <w:r>
        <w:rPr>
          <w:bCs/>
          <w:sz w:val="24"/>
        </w:rPr>
        <w:t>BBB</w:t>
      </w:r>
      <w:r>
        <w:rPr>
          <w:rFonts w:hAnsi="宋体"/>
          <w:bCs/>
          <w:sz w:val="24"/>
        </w:rPr>
        <w:t>以上</w:t>
      </w:r>
      <w:r>
        <w:rPr>
          <w:bCs/>
          <w:sz w:val="24"/>
        </w:rPr>
        <w:t>(</w:t>
      </w:r>
      <w:r>
        <w:rPr>
          <w:rFonts w:hAnsi="宋体"/>
          <w:bCs/>
          <w:sz w:val="24"/>
        </w:rPr>
        <w:t>含</w:t>
      </w:r>
      <w:r>
        <w:rPr>
          <w:bCs/>
          <w:sz w:val="24"/>
        </w:rPr>
        <w:t>BBB)</w:t>
      </w:r>
      <w:r>
        <w:rPr>
          <w:rFonts w:hAnsi="宋体"/>
          <w:bCs/>
          <w:sz w:val="24"/>
        </w:rPr>
        <w:t>的资产支持证券。基金持有资产支持证券期间，如果其信用等级下降、不再符合投资标准，应在评级报告发布之日起</w:t>
      </w:r>
      <w:r>
        <w:rPr>
          <w:bCs/>
          <w:sz w:val="24"/>
        </w:rPr>
        <w:t>3</w:t>
      </w:r>
      <w:r>
        <w:rPr>
          <w:rFonts w:hAnsi="宋体"/>
          <w:bCs/>
          <w:sz w:val="24"/>
        </w:rPr>
        <w:t>个月内予以全部卖出；</w:t>
      </w:r>
    </w:p>
    <w:p w:rsidR="00783788" w:rsidRDefault="002C6E18">
      <w:pPr>
        <w:adjustRightInd w:val="0"/>
        <w:snapToGrid w:val="0"/>
        <w:spacing w:line="360" w:lineRule="auto"/>
        <w:ind w:firstLineChars="200" w:firstLine="480"/>
        <w:rPr>
          <w:sz w:val="24"/>
          <w:szCs w:val="24"/>
        </w:rPr>
      </w:pPr>
      <w:r>
        <w:rPr>
          <w:rFonts w:hint="eastAsia"/>
          <w:bCs/>
          <w:sz w:val="24"/>
        </w:rPr>
        <w:t>（</w:t>
      </w:r>
      <w:r>
        <w:rPr>
          <w:bCs/>
          <w:sz w:val="24"/>
        </w:rPr>
        <w:t>7</w:t>
      </w:r>
      <w:r>
        <w:rPr>
          <w:rFonts w:hAnsi="宋体" w:hint="eastAsia"/>
          <w:bCs/>
          <w:sz w:val="24"/>
        </w:rPr>
        <w:t>）</w:t>
      </w:r>
      <w:r>
        <w:rPr>
          <w:rFonts w:hAnsi="宋体"/>
          <w:sz w:val="24"/>
          <w:szCs w:val="24"/>
        </w:rPr>
        <w:t>本基金持有的同一（指同一信用级别）资产支持证券的比例，不得超过该资产支持证券规模的</w:t>
      </w:r>
      <w:r>
        <w:rPr>
          <w:sz w:val="24"/>
          <w:szCs w:val="24"/>
        </w:rPr>
        <w:t>10%</w:t>
      </w:r>
      <w:r>
        <w:rPr>
          <w:rFonts w:hAnsi="宋体"/>
          <w:sz w:val="24"/>
          <w:szCs w:val="24"/>
        </w:rPr>
        <w:t>；本基金投资于同一原始权益人的各类资产支持证券的比例，不得超过基金资产净值的</w:t>
      </w:r>
      <w:r>
        <w:rPr>
          <w:sz w:val="24"/>
          <w:szCs w:val="24"/>
        </w:rPr>
        <w:t>10%</w:t>
      </w:r>
      <w:r>
        <w:rPr>
          <w:rFonts w:hAnsi="宋体"/>
          <w:sz w:val="24"/>
          <w:szCs w:val="24"/>
        </w:rPr>
        <w:t>；本基金管理人管理的全部证券投资基金投资于同一原始权益人的各类资产支持证券，不得超过其各类资产支持证券合计规模的</w:t>
      </w:r>
      <w:r>
        <w:rPr>
          <w:sz w:val="24"/>
          <w:szCs w:val="24"/>
        </w:rPr>
        <w:t>10%</w:t>
      </w:r>
      <w:r>
        <w:rPr>
          <w:rFonts w:hAnsi="宋体"/>
          <w:sz w:val="24"/>
          <w:szCs w:val="24"/>
        </w:rPr>
        <w:t>；本基金持有的全部资产支持证券，其市值不得超过基金资产净值的</w:t>
      </w:r>
      <w:r>
        <w:rPr>
          <w:sz w:val="24"/>
          <w:szCs w:val="24"/>
        </w:rPr>
        <w:t>20%</w:t>
      </w:r>
      <w:r>
        <w:rPr>
          <w:rFonts w:hAnsi="宋体"/>
          <w:sz w:val="24"/>
          <w:szCs w:val="24"/>
        </w:rPr>
        <w:t>；</w:t>
      </w:r>
    </w:p>
    <w:p w:rsidR="00783788" w:rsidRDefault="002C6E18">
      <w:pPr>
        <w:adjustRightInd w:val="0"/>
        <w:snapToGrid w:val="0"/>
        <w:spacing w:line="360" w:lineRule="auto"/>
        <w:ind w:firstLineChars="200" w:firstLine="480"/>
        <w:rPr>
          <w:sz w:val="24"/>
          <w:szCs w:val="24"/>
        </w:rPr>
      </w:pPr>
      <w:r>
        <w:rPr>
          <w:rFonts w:hint="eastAsia"/>
          <w:sz w:val="24"/>
          <w:szCs w:val="24"/>
        </w:rPr>
        <w:t>（</w:t>
      </w:r>
      <w:r>
        <w:rPr>
          <w:sz w:val="24"/>
          <w:szCs w:val="24"/>
        </w:rPr>
        <w:t>8</w:t>
      </w:r>
      <w:r>
        <w:rPr>
          <w:rFonts w:hAnsi="宋体" w:hint="eastAsia"/>
          <w:sz w:val="24"/>
          <w:szCs w:val="24"/>
        </w:rPr>
        <w:t>）</w:t>
      </w:r>
      <w:r>
        <w:rPr>
          <w:rFonts w:hAnsi="宋体"/>
          <w:sz w:val="24"/>
          <w:szCs w:val="24"/>
        </w:rPr>
        <w:t>保持不低于基金资产净值</w:t>
      </w:r>
      <w:r>
        <w:rPr>
          <w:sz w:val="24"/>
          <w:szCs w:val="24"/>
        </w:rPr>
        <w:t>5%</w:t>
      </w:r>
      <w:r>
        <w:rPr>
          <w:rFonts w:hAnsi="宋体"/>
          <w:sz w:val="24"/>
          <w:szCs w:val="24"/>
        </w:rPr>
        <w:t>的现金或者到期日在一年以内的政府债券；</w:t>
      </w:r>
    </w:p>
    <w:p w:rsidR="00783788" w:rsidRDefault="002C6E18">
      <w:pPr>
        <w:adjustRightInd w:val="0"/>
        <w:snapToGrid w:val="0"/>
        <w:spacing w:line="360" w:lineRule="auto"/>
        <w:ind w:firstLineChars="200" w:firstLine="480"/>
        <w:rPr>
          <w:sz w:val="24"/>
          <w:szCs w:val="24"/>
        </w:rPr>
      </w:pPr>
      <w:r>
        <w:rPr>
          <w:rFonts w:hint="eastAsia"/>
          <w:sz w:val="24"/>
          <w:szCs w:val="24"/>
        </w:rPr>
        <w:t>（</w:t>
      </w:r>
      <w:r>
        <w:rPr>
          <w:sz w:val="24"/>
          <w:szCs w:val="24"/>
        </w:rPr>
        <w:t>9</w:t>
      </w:r>
      <w:r>
        <w:rPr>
          <w:rFonts w:hAnsi="宋体" w:hint="eastAsia"/>
          <w:sz w:val="24"/>
          <w:szCs w:val="24"/>
        </w:rPr>
        <w:t>）</w:t>
      </w:r>
      <w:r>
        <w:rPr>
          <w:rFonts w:hAnsi="宋体"/>
          <w:sz w:val="24"/>
          <w:szCs w:val="24"/>
        </w:rPr>
        <w:t>本基金不得违反基金合同中有关投资范围、投资策略、投资比例的规定；</w:t>
      </w:r>
    </w:p>
    <w:p w:rsidR="00783788" w:rsidRDefault="002C6E18">
      <w:pPr>
        <w:adjustRightInd w:val="0"/>
        <w:snapToGrid w:val="0"/>
        <w:spacing w:line="360" w:lineRule="auto"/>
        <w:ind w:firstLineChars="200" w:firstLine="480"/>
        <w:rPr>
          <w:sz w:val="24"/>
          <w:szCs w:val="24"/>
        </w:rPr>
      </w:pPr>
      <w:r>
        <w:rPr>
          <w:rFonts w:hint="eastAsia"/>
          <w:sz w:val="24"/>
          <w:szCs w:val="24"/>
        </w:rPr>
        <w:t>（</w:t>
      </w:r>
      <w:r>
        <w:rPr>
          <w:sz w:val="24"/>
          <w:szCs w:val="24"/>
        </w:rPr>
        <w:t>10</w:t>
      </w:r>
      <w:r>
        <w:rPr>
          <w:rFonts w:hAnsi="宋体" w:hint="eastAsia"/>
          <w:sz w:val="24"/>
          <w:szCs w:val="24"/>
        </w:rPr>
        <w:t>）</w:t>
      </w:r>
      <w:r>
        <w:rPr>
          <w:rFonts w:hAnsi="宋体"/>
          <w:kern w:val="0"/>
          <w:sz w:val="24"/>
          <w:szCs w:val="24"/>
        </w:rPr>
        <w:t>法律法规或监管部门对上述比例限制另有规定的，从其规定。</w:t>
      </w:r>
    </w:p>
    <w:p w:rsidR="00783788" w:rsidRDefault="002C6E18">
      <w:pPr>
        <w:adjustRightInd w:val="0"/>
        <w:snapToGrid w:val="0"/>
        <w:spacing w:line="360" w:lineRule="auto"/>
        <w:ind w:firstLineChars="200" w:firstLine="480"/>
        <w:rPr>
          <w:sz w:val="24"/>
          <w:szCs w:val="24"/>
        </w:rPr>
      </w:pPr>
      <w:r>
        <w:rPr>
          <w:rFonts w:hAnsi="宋体"/>
          <w:sz w:val="24"/>
          <w:szCs w:val="24"/>
        </w:rPr>
        <w:t>基金管理人应当自基金合同生效之日起</w:t>
      </w:r>
      <w:r>
        <w:rPr>
          <w:sz w:val="24"/>
          <w:szCs w:val="24"/>
        </w:rPr>
        <w:t>6</w:t>
      </w:r>
      <w:r>
        <w:rPr>
          <w:rFonts w:hAnsi="宋体"/>
          <w:sz w:val="24"/>
          <w:szCs w:val="24"/>
        </w:rPr>
        <w:t>个月内使基金的投资组合比例符合基金合同的有关约定。因证券市场波动、上市公司合并、基金规模变动等基金管理人之外的因素致使基金投资比例不符合上述</w:t>
      </w:r>
      <w:r>
        <w:rPr>
          <w:rFonts w:hAnsi="宋体" w:hint="eastAsia"/>
          <w:sz w:val="24"/>
          <w:szCs w:val="24"/>
        </w:rPr>
        <w:t>（</w:t>
      </w:r>
      <w:r>
        <w:rPr>
          <w:sz w:val="24"/>
          <w:szCs w:val="24"/>
        </w:rPr>
        <w:t>1</w:t>
      </w:r>
      <w:r>
        <w:rPr>
          <w:rFonts w:hint="eastAsia"/>
          <w:sz w:val="24"/>
          <w:szCs w:val="24"/>
        </w:rPr>
        <w:t>）</w:t>
      </w:r>
      <w:r>
        <w:rPr>
          <w:kern w:val="0"/>
          <w:sz w:val="24"/>
          <w:szCs w:val="24"/>
        </w:rPr>
        <w:t>-</w:t>
      </w:r>
      <w:r>
        <w:rPr>
          <w:rFonts w:hint="eastAsia"/>
          <w:kern w:val="0"/>
          <w:sz w:val="24"/>
          <w:szCs w:val="24"/>
        </w:rPr>
        <w:t>（</w:t>
      </w:r>
      <w:r>
        <w:rPr>
          <w:sz w:val="24"/>
          <w:szCs w:val="24"/>
        </w:rPr>
        <w:t>3</w:t>
      </w:r>
      <w:r>
        <w:rPr>
          <w:rFonts w:hint="eastAsia"/>
          <w:sz w:val="24"/>
          <w:szCs w:val="24"/>
        </w:rPr>
        <w:t>）</w:t>
      </w:r>
      <w:r>
        <w:rPr>
          <w:rFonts w:hAnsi="宋体"/>
          <w:sz w:val="24"/>
          <w:szCs w:val="24"/>
        </w:rPr>
        <w:t>项</w:t>
      </w:r>
      <w:r>
        <w:rPr>
          <w:rFonts w:hAnsi="宋体"/>
          <w:kern w:val="0"/>
          <w:sz w:val="24"/>
          <w:szCs w:val="24"/>
        </w:rPr>
        <w:t>以及</w:t>
      </w:r>
      <w:r>
        <w:rPr>
          <w:rFonts w:hAnsi="宋体" w:hint="eastAsia"/>
          <w:kern w:val="0"/>
          <w:sz w:val="24"/>
          <w:szCs w:val="24"/>
        </w:rPr>
        <w:t>（</w:t>
      </w:r>
      <w:r>
        <w:rPr>
          <w:kern w:val="0"/>
          <w:sz w:val="24"/>
          <w:szCs w:val="24"/>
        </w:rPr>
        <w:t>5</w:t>
      </w:r>
      <w:r>
        <w:rPr>
          <w:rFonts w:hint="eastAsia"/>
          <w:kern w:val="0"/>
          <w:sz w:val="24"/>
          <w:szCs w:val="24"/>
        </w:rPr>
        <w:t>）</w:t>
      </w:r>
      <w:r>
        <w:rPr>
          <w:kern w:val="0"/>
          <w:sz w:val="24"/>
          <w:szCs w:val="24"/>
        </w:rPr>
        <w:t>-</w:t>
      </w:r>
      <w:r>
        <w:rPr>
          <w:rFonts w:hint="eastAsia"/>
          <w:kern w:val="0"/>
          <w:sz w:val="24"/>
          <w:szCs w:val="24"/>
        </w:rPr>
        <w:t>（</w:t>
      </w:r>
      <w:r>
        <w:rPr>
          <w:kern w:val="0"/>
          <w:sz w:val="24"/>
          <w:szCs w:val="24"/>
        </w:rPr>
        <w:t>10</w:t>
      </w:r>
      <w:r>
        <w:rPr>
          <w:rFonts w:hint="eastAsia"/>
          <w:kern w:val="0"/>
          <w:sz w:val="24"/>
          <w:szCs w:val="24"/>
        </w:rPr>
        <w:t>）</w:t>
      </w:r>
      <w:r>
        <w:rPr>
          <w:rFonts w:hAnsi="宋体"/>
          <w:kern w:val="0"/>
          <w:sz w:val="24"/>
          <w:szCs w:val="24"/>
        </w:rPr>
        <w:t>项</w:t>
      </w:r>
      <w:r>
        <w:rPr>
          <w:rFonts w:hAnsi="宋体"/>
          <w:sz w:val="24"/>
          <w:szCs w:val="24"/>
        </w:rPr>
        <w:t>规定的投资比例的，基金管理人应当在</w:t>
      </w:r>
      <w:r>
        <w:rPr>
          <w:sz w:val="24"/>
          <w:szCs w:val="24"/>
        </w:rPr>
        <w:t>10</w:t>
      </w:r>
      <w:r>
        <w:rPr>
          <w:rFonts w:hAnsi="宋体"/>
          <w:sz w:val="24"/>
          <w:szCs w:val="24"/>
        </w:rPr>
        <w:t>个交易日内进行调整。</w:t>
      </w:r>
      <w:r>
        <w:rPr>
          <w:rFonts w:hAnsi="宋体"/>
          <w:kern w:val="0"/>
          <w:sz w:val="24"/>
          <w:szCs w:val="24"/>
        </w:rPr>
        <w:t>法律法规或监管部门另有规定的，从其规定。</w:t>
      </w:r>
    </w:p>
    <w:p w:rsidR="00783788" w:rsidRDefault="002C6E18">
      <w:pPr>
        <w:adjustRightInd w:val="0"/>
        <w:snapToGrid w:val="0"/>
        <w:spacing w:line="360" w:lineRule="auto"/>
        <w:ind w:firstLineChars="200" w:firstLine="480"/>
        <w:rPr>
          <w:sz w:val="24"/>
          <w:szCs w:val="24"/>
        </w:rPr>
      </w:pPr>
      <w:r>
        <w:rPr>
          <w:rFonts w:hAnsi="宋体"/>
          <w:sz w:val="24"/>
          <w:szCs w:val="24"/>
        </w:rPr>
        <w:t>上述投资组合限制条款中，若属法律法规</w:t>
      </w:r>
      <w:r>
        <w:rPr>
          <w:rFonts w:hAnsi="宋体"/>
          <w:bCs/>
          <w:sz w:val="24"/>
        </w:rPr>
        <w:t>或监管部门</w:t>
      </w:r>
      <w:r>
        <w:rPr>
          <w:rFonts w:hAnsi="宋体"/>
          <w:sz w:val="24"/>
          <w:szCs w:val="24"/>
        </w:rPr>
        <w:t>的强制性规定，则当法律法规或监管部门取消</w:t>
      </w:r>
      <w:r>
        <w:rPr>
          <w:rFonts w:hAnsi="宋体"/>
          <w:bCs/>
          <w:sz w:val="24"/>
        </w:rPr>
        <w:t>或修改</w:t>
      </w:r>
      <w:r>
        <w:rPr>
          <w:rFonts w:hAnsi="宋体"/>
          <w:sz w:val="24"/>
          <w:szCs w:val="24"/>
        </w:rPr>
        <w:t>上述限制，</w:t>
      </w:r>
      <w:r>
        <w:rPr>
          <w:rFonts w:hAnsi="宋体"/>
          <w:bCs/>
          <w:sz w:val="24"/>
        </w:rPr>
        <w:t>如适用于本基金，基金管理人</w:t>
      </w:r>
      <w:r>
        <w:rPr>
          <w:rFonts w:hAnsi="宋体"/>
          <w:sz w:val="24"/>
          <w:szCs w:val="24"/>
        </w:rPr>
        <w:t>在履行适当程序后，本基金投资</w:t>
      </w:r>
      <w:r>
        <w:rPr>
          <w:rFonts w:hAnsi="宋体"/>
          <w:bCs/>
          <w:sz w:val="24"/>
        </w:rPr>
        <w:t>所受限制相应调整</w:t>
      </w:r>
      <w:r>
        <w:rPr>
          <w:rFonts w:hAnsi="宋体"/>
          <w:sz w:val="24"/>
          <w:szCs w:val="24"/>
        </w:rPr>
        <w:t>。</w:t>
      </w:r>
    </w:p>
    <w:p w:rsidR="00783788" w:rsidRDefault="002C6E18">
      <w:pPr>
        <w:widowControl/>
        <w:adjustRightInd w:val="0"/>
        <w:snapToGrid w:val="0"/>
        <w:spacing w:line="360" w:lineRule="auto"/>
        <w:ind w:firstLineChars="200" w:firstLine="480"/>
        <w:outlineLvl w:val="1"/>
        <w:rPr>
          <w:sz w:val="24"/>
          <w:szCs w:val="24"/>
        </w:rPr>
      </w:pPr>
      <w:r>
        <w:rPr>
          <w:rFonts w:hAnsi="宋体"/>
          <w:sz w:val="24"/>
          <w:szCs w:val="24"/>
        </w:rPr>
        <w:t>基金托管人对基金投资的监督和检查自基金合同生效之日起开始。</w:t>
      </w:r>
    </w:p>
    <w:p w:rsidR="00783788" w:rsidRDefault="002C6E18">
      <w:pPr>
        <w:adjustRightInd w:val="0"/>
        <w:snapToGrid w:val="0"/>
        <w:spacing w:line="360" w:lineRule="auto"/>
        <w:ind w:firstLineChars="200" w:firstLine="480"/>
        <w:rPr>
          <w:sz w:val="24"/>
          <w:szCs w:val="24"/>
        </w:rPr>
      </w:pPr>
      <w:r>
        <w:rPr>
          <w:sz w:val="24"/>
          <w:szCs w:val="24"/>
        </w:rPr>
        <w:t>3</w:t>
      </w:r>
      <w:r>
        <w:rPr>
          <w:rFonts w:hAnsi="宋体"/>
          <w:sz w:val="24"/>
          <w:szCs w:val="24"/>
        </w:rPr>
        <w:t>、基金托管人根据有关法律法规的规定及基金合同的约定，对本协议第十五条第九项基金投资禁止行为进行监督。基金托管人通过事后监督方式对基金管理人基金投资禁止行为和关联交易进行监督。根据法律法规有关基金禁止从事关联交易的规定，基金管理人和基金托管人相互提供与本机构有控股关系的股东、与本机构有其他重大利害关系的公司名单及有关关联方交易证券名单。基金管理人和基金托管人有责任确保关联交易名单的真实性、准确性、完整性，并负责及时将更新后的名单发送给对方。</w:t>
      </w:r>
    </w:p>
    <w:p w:rsidR="00783788" w:rsidRDefault="002C6E18">
      <w:pPr>
        <w:widowControl/>
        <w:adjustRightInd w:val="0"/>
        <w:snapToGrid w:val="0"/>
        <w:spacing w:line="360" w:lineRule="auto"/>
        <w:ind w:firstLineChars="200" w:firstLine="480"/>
        <w:outlineLvl w:val="1"/>
        <w:rPr>
          <w:rFonts w:hAnsi="宋体"/>
          <w:sz w:val="24"/>
          <w:szCs w:val="24"/>
        </w:rPr>
      </w:pPr>
      <w:r>
        <w:rPr>
          <w:rFonts w:hAnsi="宋体"/>
          <w:sz w:val="24"/>
          <w:szCs w:val="24"/>
        </w:rPr>
        <w:t>若基金托管人发现基金管理人与关联交易名单中列示的关联方进行法律法规禁止基金从事的关联交易时，基金托管人应及时提醒并协助基金管理人采取必要措施阻止该关联交易的发生，如基金托管人采取必要措施后仍无法阻止关联交易发生时，基金托管人有权向中国证监会报告。对于基金管理人已成交的关联交易，如基金托管人事前已严格遵循了监督流程仍无法阻止该关联交易的发生，而只能按相关法律法规和交易所规则进行事后结算，则基金托管人不承担由此造成的损失，并应向中国证监会报告。</w:t>
      </w:r>
    </w:p>
    <w:p w:rsidR="00783788" w:rsidRDefault="002C6E18">
      <w:pPr>
        <w:widowControl/>
        <w:adjustRightInd w:val="0"/>
        <w:snapToGrid w:val="0"/>
        <w:spacing w:line="360" w:lineRule="auto"/>
        <w:ind w:firstLineChars="200" w:firstLine="480"/>
        <w:outlineLvl w:val="1"/>
        <w:rPr>
          <w:sz w:val="24"/>
          <w:szCs w:val="24"/>
        </w:rPr>
      </w:pPr>
      <w:r>
        <w:rPr>
          <w:sz w:val="24"/>
          <w:szCs w:val="24"/>
        </w:rPr>
        <w:t>4</w:t>
      </w:r>
      <w:r>
        <w:rPr>
          <w:rFonts w:hAnsi="宋体"/>
          <w:sz w:val="24"/>
          <w:szCs w:val="24"/>
        </w:rPr>
        <w:t>、基金托管人根据有关法律法规的规定及基金合同的约定，对基金管理人参与银行间债券市场进行监督。基金管理人应在基金投资运作之前向基金托管人提供经慎重选择的、本基金适用的银行间债券市场交易对手名单。基金托管人监督基金管理人是否按事前提供的银行间债券市场交易对手名单进行交易。基金管理人可以每半年对银行间债券市场交易对手名单进行更新，如基金管理人根据市场情况需要临时调整银行间债券市场交易对手名单，应向基金托管人说明理由，在与交易对手发生交易前</w:t>
      </w:r>
      <w:r>
        <w:rPr>
          <w:sz w:val="24"/>
          <w:szCs w:val="24"/>
        </w:rPr>
        <w:t>1</w:t>
      </w:r>
      <w:r>
        <w:rPr>
          <w:rFonts w:hAnsi="宋体"/>
          <w:sz w:val="24"/>
          <w:szCs w:val="24"/>
        </w:rPr>
        <w:t>个工作日内与基金托管人协商解决。基金管理人与基金托管人完成确认后，被确认调整的名单开始生效，新名单生效前已与本次剔除的交易对手所进行但尚未结算的交易，仍应按照协议进行结算。基金管理人负责对交易对手的资信控制，按银行间债券市场的交易规则进行交易，基金托管人则根据银行间债券市场成交单对合同履行情况进行监督，但不承担交易对手不履行合同造成的损失。如基金托管人事后发现基金管理人没有按照事先约定的交易对手进行交易时，基金托管人应及时提醒基金管理人，基金托管人不承担由此造成的任何损失和责任。</w:t>
      </w:r>
    </w:p>
    <w:p w:rsidR="00783788" w:rsidRDefault="002C6E18">
      <w:pPr>
        <w:adjustRightInd w:val="0"/>
        <w:snapToGrid w:val="0"/>
        <w:spacing w:line="360" w:lineRule="auto"/>
        <w:ind w:firstLineChars="200" w:firstLine="480"/>
        <w:rPr>
          <w:sz w:val="24"/>
          <w:szCs w:val="24"/>
        </w:rPr>
      </w:pPr>
      <w:r>
        <w:rPr>
          <w:sz w:val="24"/>
          <w:szCs w:val="24"/>
        </w:rPr>
        <w:t>5</w:t>
      </w:r>
      <w:r>
        <w:rPr>
          <w:rFonts w:hAnsi="宋体"/>
          <w:sz w:val="24"/>
          <w:szCs w:val="24"/>
        </w:rPr>
        <w:t>、基金托管人根据有关法律法规的规定及基金合同的约定，对基金管理人选择存款银行进行监督。</w:t>
      </w:r>
    </w:p>
    <w:p w:rsidR="00783788" w:rsidRDefault="002C6E18">
      <w:pPr>
        <w:adjustRightInd w:val="0"/>
        <w:snapToGrid w:val="0"/>
        <w:spacing w:line="360" w:lineRule="auto"/>
        <w:ind w:firstLineChars="200" w:firstLine="480"/>
        <w:rPr>
          <w:sz w:val="24"/>
          <w:szCs w:val="24"/>
        </w:rPr>
      </w:pPr>
      <w:r>
        <w:rPr>
          <w:rFonts w:hAnsi="宋体"/>
          <w:sz w:val="24"/>
          <w:szCs w:val="24"/>
        </w:rPr>
        <w:t>基金投资银行定期存款的，基金管理人应根据法律法规的规定及基金合同的约定，确定符合条件的所有存款银行的名单，并及时提供给基金托管人，基金托管人应据以对基金投资银行存款的交易对手是否符合有关规定进行监督。</w:t>
      </w:r>
    </w:p>
    <w:p w:rsidR="00783788" w:rsidRDefault="002C6E18">
      <w:pPr>
        <w:adjustRightInd w:val="0"/>
        <w:snapToGrid w:val="0"/>
        <w:spacing w:line="360" w:lineRule="auto"/>
        <w:ind w:firstLineChars="200" w:firstLine="480"/>
        <w:rPr>
          <w:sz w:val="24"/>
          <w:szCs w:val="24"/>
        </w:rPr>
      </w:pPr>
      <w:r>
        <w:rPr>
          <w:rFonts w:hAnsi="宋体"/>
          <w:sz w:val="24"/>
          <w:szCs w:val="24"/>
        </w:rPr>
        <w:t>本基金投资银行存款应符合如下规定：</w:t>
      </w:r>
    </w:p>
    <w:p w:rsidR="00783788" w:rsidRDefault="002C6E18">
      <w:pPr>
        <w:adjustRightInd w:val="0"/>
        <w:snapToGrid w:val="0"/>
        <w:spacing w:line="360" w:lineRule="auto"/>
        <w:ind w:firstLineChars="200" w:firstLine="480"/>
        <w:rPr>
          <w:sz w:val="24"/>
          <w:szCs w:val="24"/>
        </w:rPr>
      </w:pPr>
      <w:r>
        <w:rPr>
          <w:rFonts w:hint="eastAsia"/>
          <w:sz w:val="24"/>
          <w:szCs w:val="24"/>
        </w:rPr>
        <w:t>（</w:t>
      </w:r>
      <w:r>
        <w:rPr>
          <w:sz w:val="24"/>
          <w:szCs w:val="24"/>
        </w:rPr>
        <w:t>1</w:t>
      </w:r>
      <w:r>
        <w:rPr>
          <w:rFonts w:hAnsi="宋体" w:hint="eastAsia"/>
          <w:sz w:val="24"/>
          <w:szCs w:val="24"/>
        </w:rPr>
        <w:t>）</w:t>
      </w:r>
      <w:r>
        <w:rPr>
          <w:rFonts w:hAnsi="宋体"/>
          <w:sz w:val="24"/>
          <w:szCs w:val="24"/>
        </w:rPr>
        <w:t>基金管理人、基金托管人应当与存款银行建立定期对账机制，确保基金银行存款业务账目及核算的真实、准确。</w:t>
      </w:r>
    </w:p>
    <w:p w:rsidR="00783788" w:rsidRDefault="002C6E18">
      <w:pPr>
        <w:adjustRightInd w:val="0"/>
        <w:snapToGrid w:val="0"/>
        <w:spacing w:line="360" w:lineRule="auto"/>
        <w:ind w:firstLineChars="200" w:firstLine="480"/>
        <w:rPr>
          <w:sz w:val="24"/>
          <w:szCs w:val="24"/>
        </w:rPr>
      </w:pPr>
      <w:r>
        <w:rPr>
          <w:rFonts w:hint="eastAsia"/>
          <w:sz w:val="24"/>
          <w:szCs w:val="24"/>
        </w:rPr>
        <w:t>（</w:t>
      </w:r>
      <w:r>
        <w:rPr>
          <w:sz w:val="24"/>
          <w:szCs w:val="24"/>
        </w:rPr>
        <w:t>2</w:t>
      </w:r>
      <w:r>
        <w:rPr>
          <w:rFonts w:hAnsi="宋体" w:hint="eastAsia"/>
          <w:sz w:val="24"/>
          <w:szCs w:val="24"/>
        </w:rPr>
        <w:t>）</w:t>
      </w:r>
      <w:r>
        <w:rPr>
          <w:rFonts w:hAnsi="宋体"/>
          <w:sz w:val="24"/>
          <w:szCs w:val="24"/>
        </w:rPr>
        <w:t>基金托管人应加强对基金银行存款业务的监督与核查，严格审查、复核相关协议、账户资料、投资指令、存款证实书等有关文件，切实履行托管职责。</w:t>
      </w:r>
    </w:p>
    <w:p w:rsidR="00783788" w:rsidRDefault="002C6E18">
      <w:pPr>
        <w:adjustRightInd w:val="0"/>
        <w:snapToGrid w:val="0"/>
        <w:spacing w:line="360" w:lineRule="auto"/>
        <w:ind w:firstLineChars="200" w:firstLine="480"/>
        <w:rPr>
          <w:sz w:val="24"/>
          <w:szCs w:val="24"/>
        </w:rPr>
      </w:pPr>
      <w:r>
        <w:rPr>
          <w:rFonts w:hint="eastAsia"/>
          <w:sz w:val="24"/>
          <w:szCs w:val="24"/>
        </w:rPr>
        <w:t>（</w:t>
      </w:r>
      <w:r>
        <w:rPr>
          <w:sz w:val="24"/>
          <w:szCs w:val="24"/>
        </w:rPr>
        <w:t>3</w:t>
      </w:r>
      <w:r>
        <w:rPr>
          <w:rFonts w:hAnsi="宋体" w:hint="eastAsia"/>
          <w:sz w:val="24"/>
          <w:szCs w:val="24"/>
        </w:rPr>
        <w:t>）</w:t>
      </w:r>
      <w:r>
        <w:rPr>
          <w:rFonts w:hAnsi="宋体"/>
          <w:sz w:val="24"/>
          <w:szCs w:val="24"/>
        </w:rPr>
        <w:t>基金管理人与基金托管人在开展基金存款业务时，应严格遵守《基金法》、《运作办法》等有关法律法规，以及国家有关账户管理、利率管理、支付结算等的各项规定。</w:t>
      </w:r>
    </w:p>
    <w:p w:rsidR="00783788" w:rsidRDefault="002C6E18">
      <w:pPr>
        <w:widowControl/>
        <w:adjustRightInd w:val="0"/>
        <w:snapToGrid w:val="0"/>
        <w:spacing w:line="360" w:lineRule="auto"/>
        <w:ind w:firstLineChars="200" w:firstLine="480"/>
        <w:outlineLvl w:val="1"/>
        <w:rPr>
          <w:sz w:val="24"/>
          <w:szCs w:val="24"/>
        </w:rPr>
      </w:pPr>
      <w:r>
        <w:rPr>
          <w:rFonts w:hAnsi="宋体"/>
          <w:sz w:val="24"/>
          <w:szCs w:val="24"/>
        </w:rPr>
        <w:t>基金托管人发现基金管理人在选择存款银行时有违反有关法律法规的规定及基金合同的约定的行为，应及时以书面形式通知基金管理人在</w:t>
      </w:r>
      <w:r>
        <w:rPr>
          <w:sz w:val="24"/>
          <w:szCs w:val="24"/>
        </w:rPr>
        <w:t>10</w:t>
      </w:r>
      <w:r>
        <w:rPr>
          <w:rFonts w:hAnsi="宋体"/>
          <w:sz w:val="24"/>
          <w:szCs w:val="24"/>
        </w:rPr>
        <w:t>个工作日内纠正。基金管理人对基金托管人通知的违规事项未能在</w:t>
      </w:r>
      <w:r>
        <w:rPr>
          <w:sz w:val="24"/>
          <w:szCs w:val="24"/>
        </w:rPr>
        <w:t>10</w:t>
      </w:r>
      <w:r>
        <w:rPr>
          <w:rFonts w:hAnsi="宋体"/>
          <w:sz w:val="24"/>
          <w:szCs w:val="24"/>
        </w:rPr>
        <w:t>个工作日内纠正的，基金托管人应报告中国证监会。基金托管人发现基金管理人有重大违规行为，应立即报告中国证监会，同时通知基金管理人在</w:t>
      </w:r>
      <w:r>
        <w:rPr>
          <w:sz w:val="24"/>
          <w:szCs w:val="24"/>
        </w:rPr>
        <w:t>10</w:t>
      </w:r>
      <w:r>
        <w:rPr>
          <w:rFonts w:hAnsi="宋体"/>
          <w:sz w:val="24"/>
          <w:szCs w:val="24"/>
        </w:rPr>
        <w:t>个工作日内纠正或拒绝结算。</w:t>
      </w:r>
    </w:p>
    <w:p w:rsidR="00783788" w:rsidRDefault="002C6E18">
      <w:pPr>
        <w:adjustRightInd w:val="0"/>
        <w:snapToGrid w:val="0"/>
        <w:spacing w:line="360" w:lineRule="auto"/>
        <w:ind w:firstLineChars="200" w:firstLine="480"/>
        <w:rPr>
          <w:sz w:val="24"/>
          <w:szCs w:val="24"/>
        </w:rPr>
      </w:pPr>
      <w:r>
        <w:rPr>
          <w:sz w:val="24"/>
          <w:szCs w:val="24"/>
        </w:rPr>
        <w:t>6</w:t>
      </w:r>
      <w:r>
        <w:rPr>
          <w:rFonts w:hAnsi="宋体"/>
          <w:sz w:val="24"/>
          <w:szCs w:val="24"/>
        </w:rPr>
        <w:t>、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783788" w:rsidRDefault="002C6E18">
      <w:pPr>
        <w:widowControl/>
        <w:adjustRightInd w:val="0"/>
        <w:snapToGrid w:val="0"/>
        <w:spacing w:line="360" w:lineRule="auto"/>
        <w:ind w:firstLineChars="200" w:firstLine="480"/>
        <w:outlineLvl w:val="1"/>
        <w:rPr>
          <w:sz w:val="24"/>
          <w:szCs w:val="24"/>
        </w:rPr>
      </w:pPr>
      <w:r>
        <w:rPr>
          <w:rFonts w:hAnsi="宋体"/>
          <w:sz w:val="24"/>
          <w:szCs w:val="24"/>
        </w:rPr>
        <w:t>如果基金管理人未经基金托管人的审核擅自将不实的业绩表现数据印制在宣传推介材料上，则基金托管人对此不承担任何责任，并将在发现后立即报告中国证监会。</w:t>
      </w:r>
    </w:p>
    <w:p w:rsidR="00783788" w:rsidRDefault="002C6E18">
      <w:pPr>
        <w:pStyle w:val="CharCharChar1"/>
        <w:adjustRightInd w:val="0"/>
        <w:snapToGrid w:val="0"/>
        <w:spacing w:line="360" w:lineRule="auto"/>
        <w:ind w:firstLineChars="200" w:firstLine="480"/>
        <w:rPr>
          <w:sz w:val="24"/>
          <w:szCs w:val="24"/>
        </w:rPr>
      </w:pPr>
      <w:r>
        <w:rPr>
          <w:sz w:val="24"/>
          <w:szCs w:val="24"/>
        </w:rPr>
        <w:t>7</w:t>
      </w:r>
      <w:r>
        <w:rPr>
          <w:rFonts w:hAnsi="宋体"/>
          <w:sz w:val="24"/>
          <w:szCs w:val="24"/>
        </w:rPr>
        <w:t>、基金托管人根据有关法律法规的规定及基金合同的约定，对基金投资流通受限证券进行监督。</w:t>
      </w:r>
    </w:p>
    <w:p w:rsidR="00783788" w:rsidRDefault="002C6E18">
      <w:pPr>
        <w:pStyle w:val="CharCharChar1"/>
        <w:adjustRightInd w:val="0"/>
        <w:snapToGrid w:val="0"/>
        <w:spacing w:line="360" w:lineRule="auto"/>
        <w:ind w:firstLineChars="200" w:firstLine="480"/>
        <w:rPr>
          <w:sz w:val="24"/>
          <w:szCs w:val="24"/>
        </w:rPr>
      </w:pPr>
      <w:r>
        <w:rPr>
          <w:rFonts w:hint="eastAsia"/>
          <w:sz w:val="24"/>
          <w:szCs w:val="24"/>
        </w:rPr>
        <w:t>（</w:t>
      </w:r>
      <w:r>
        <w:rPr>
          <w:sz w:val="24"/>
          <w:szCs w:val="24"/>
        </w:rPr>
        <w:t>1</w:t>
      </w:r>
      <w:r>
        <w:rPr>
          <w:rFonts w:hAnsi="宋体" w:hint="eastAsia"/>
          <w:sz w:val="24"/>
          <w:szCs w:val="24"/>
        </w:rPr>
        <w:t>）</w:t>
      </w:r>
      <w:r>
        <w:rPr>
          <w:rFonts w:hAnsi="宋体"/>
          <w:sz w:val="24"/>
          <w:szCs w:val="24"/>
        </w:rPr>
        <w:t>基金投资流通受限证券，应遵守《关于规范基金投资非公开发行证券行为的紧急通知》、《关于基金投资非公开发行股票等流通受限证券有关问题的通知》等有关法律法规规定。</w:t>
      </w:r>
    </w:p>
    <w:p w:rsidR="00783788" w:rsidRDefault="002C6E18">
      <w:pPr>
        <w:pStyle w:val="CharCharChar1"/>
        <w:adjustRightInd w:val="0"/>
        <w:snapToGrid w:val="0"/>
        <w:spacing w:line="360" w:lineRule="auto"/>
        <w:ind w:firstLineChars="200" w:firstLine="480"/>
        <w:rPr>
          <w:sz w:val="24"/>
          <w:szCs w:val="24"/>
        </w:rPr>
      </w:pPr>
      <w:r>
        <w:rPr>
          <w:rFonts w:hint="eastAsia"/>
          <w:sz w:val="24"/>
          <w:szCs w:val="24"/>
        </w:rPr>
        <w:t>（</w:t>
      </w:r>
      <w:r>
        <w:rPr>
          <w:sz w:val="24"/>
          <w:szCs w:val="24"/>
        </w:rPr>
        <w:t>2</w:t>
      </w:r>
      <w:r>
        <w:rPr>
          <w:rFonts w:hAnsi="宋体" w:hint="eastAsia"/>
          <w:sz w:val="24"/>
          <w:szCs w:val="24"/>
        </w:rPr>
        <w:t>）</w:t>
      </w:r>
      <w:r>
        <w:rPr>
          <w:rFonts w:hAnsi="宋体"/>
          <w:sz w:val="24"/>
          <w:szCs w:val="24"/>
        </w:rPr>
        <w:t>流通受限证券，包括由《上市公司证券发行管理办法》规范的非公开发行股票、公开发行股票网下配售部分等在发行时明确一定期限锁定期的可交易证券，不包括由于发布重大消息或其他原因而临时停牌的证券、已发行未上市证券、回购交易中的质押券等流通受限证券。</w:t>
      </w:r>
      <w:r>
        <w:rPr>
          <w:sz w:val="24"/>
          <w:szCs w:val="24"/>
        </w:rPr>
        <w:t xml:space="preserve">                                                    </w:t>
      </w:r>
    </w:p>
    <w:p w:rsidR="00783788" w:rsidRDefault="002C6E18">
      <w:pPr>
        <w:pStyle w:val="CharCharChar1"/>
        <w:adjustRightInd w:val="0"/>
        <w:snapToGrid w:val="0"/>
        <w:spacing w:line="360" w:lineRule="auto"/>
        <w:ind w:firstLineChars="200" w:firstLine="480"/>
        <w:rPr>
          <w:sz w:val="24"/>
          <w:szCs w:val="24"/>
        </w:rPr>
      </w:pPr>
      <w:r>
        <w:rPr>
          <w:rFonts w:hint="eastAsia"/>
          <w:sz w:val="24"/>
          <w:szCs w:val="24"/>
        </w:rPr>
        <w:t>（</w:t>
      </w:r>
      <w:r>
        <w:rPr>
          <w:sz w:val="24"/>
          <w:szCs w:val="24"/>
        </w:rPr>
        <w:t>3</w:t>
      </w:r>
      <w:r>
        <w:rPr>
          <w:rFonts w:hAnsi="宋体" w:hint="eastAsia"/>
          <w:sz w:val="24"/>
          <w:szCs w:val="24"/>
        </w:rPr>
        <w:t>）</w:t>
      </w:r>
      <w:r>
        <w:rPr>
          <w:rFonts w:hAnsi="宋体"/>
          <w:sz w:val="24"/>
          <w:szCs w:val="24"/>
        </w:rPr>
        <w:t>在首次投资流通受限证券之前，基金管理人应当制定相关投资决策流程、风险控制制度、流动性风险控制预案等规章制度。基金管理人应当根据基金流动性的需要合理安排流通受限证券的投资比例，并在风险控制制度中明确具体比例，避免基金出现流动性风险。上述规章制度须经基金管理人董事会批准。上述规章制度经董事会通过之后，基金管理人应当将上述规章制度以及董事会批准上述规章制度的决议提交给基金托管人。</w:t>
      </w:r>
      <w:r>
        <w:rPr>
          <w:rFonts w:hAnsi="宋体"/>
          <w:sz w:val="24"/>
        </w:rPr>
        <w:t>基金托管人据此监督基金管理人的流通受限证券投资行为。</w:t>
      </w:r>
    </w:p>
    <w:p w:rsidR="00783788" w:rsidRDefault="002C6E18">
      <w:pPr>
        <w:pStyle w:val="CharCharChar1"/>
        <w:adjustRightInd w:val="0"/>
        <w:snapToGrid w:val="0"/>
        <w:spacing w:line="360" w:lineRule="auto"/>
        <w:ind w:firstLineChars="200" w:firstLine="480"/>
        <w:rPr>
          <w:sz w:val="24"/>
          <w:szCs w:val="24"/>
        </w:rPr>
      </w:pPr>
      <w:r>
        <w:rPr>
          <w:rFonts w:hint="eastAsia"/>
          <w:sz w:val="24"/>
          <w:szCs w:val="24"/>
        </w:rPr>
        <w:t>（</w:t>
      </w:r>
      <w:r>
        <w:rPr>
          <w:sz w:val="24"/>
          <w:szCs w:val="24"/>
        </w:rPr>
        <w:t>4</w:t>
      </w:r>
      <w:r>
        <w:rPr>
          <w:rFonts w:hAnsi="宋体" w:hint="eastAsia"/>
          <w:sz w:val="24"/>
          <w:szCs w:val="24"/>
        </w:rPr>
        <w:t>）</w:t>
      </w:r>
      <w:r>
        <w:rPr>
          <w:rFonts w:hAnsi="宋体"/>
          <w:sz w:val="24"/>
          <w:szCs w:val="24"/>
        </w:rPr>
        <w:t>在投资流通受限证券之前，基金管理人应至少提前一个交易日向基金托管人提供有关非公开定向增发流通受限证券的相关信息，具体应当包括但不限于如下文件（如有）：</w:t>
      </w:r>
    </w:p>
    <w:p w:rsidR="00783788" w:rsidRDefault="002C6E18">
      <w:pPr>
        <w:pStyle w:val="CharCharChar1"/>
        <w:adjustRightInd w:val="0"/>
        <w:snapToGrid w:val="0"/>
        <w:spacing w:line="360" w:lineRule="auto"/>
        <w:ind w:firstLineChars="200" w:firstLine="480"/>
        <w:rPr>
          <w:sz w:val="24"/>
          <w:szCs w:val="24"/>
        </w:rPr>
      </w:pPr>
      <w:r>
        <w:rPr>
          <w:rFonts w:hAnsi="宋体"/>
          <w:sz w:val="24"/>
          <w:szCs w:val="24"/>
        </w:rPr>
        <w:t>拟发行数量、定价依据、监管机构的批准证明文件复印件、基金管理人与承销商签订的销售协议复印件、缴款通知书、基金拟认购的数量、价格、总成本、划款账号、划款金额、划款时间文件等。基金管理人应保证上述信息的真实、完整。</w:t>
      </w:r>
    </w:p>
    <w:p w:rsidR="00783788" w:rsidRDefault="002C6E18">
      <w:pPr>
        <w:adjustRightInd w:val="0"/>
        <w:snapToGrid w:val="0"/>
        <w:spacing w:line="360" w:lineRule="auto"/>
        <w:ind w:firstLineChars="200" w:firstLine="480"/>
        <w:rPr>
          <w:sz w:val="24"/>
          <w:szCs w:val="24"/>
        </w:rPr>
      </w:pPr>
      <w:r>
        <w:rPr>
          <w:rFonts w:hint="eastAsia"/>
          <w:sz w:val="24"/>
          <w:szCs w:val="24"/>
        </w:rPr>
        <w:t>（</w:t>
      </w:r>
      <w:r>
        <w:rPr>
          <w:sz w:val="24"/>
          <w:szCs w:val="24"/>
        </w:rPr>
        <w:t>5</w:t>
      </w:r>
      <w:r>
        <w:rPr>
          <w:rFonts w:hAnsi="宋体" w:hint="eastAsia"/>
          <w:sz w:val="24"/>
          <w:szCs w:val="24"/>
        </w:rPr>
        <w:t>）</w:t>
      </w:r>
      <w:r>
        <w:rPr>
          <w:rFonts w:hAnsi="宋体"/>
          <w:sz w:val="24"/>
          <w:szCs w:val="24"/>
        </w:rPr>
        <w:t>基金托管人在监督基金管理人投资流通受限证券的过程中，如认为因市场出现剧烈变化导致基金管理人的具体投资行为可能对基金财产造成较大风险，基金托管人有权要求基金管理人对该风险的消除或防范措施进行补充和整改，并做出书面说明。否则，基金托管人经事先书面告知基金管理人，有权拒绝执行其有关指令。因拒绝执行该指令造成基金财产损失的，基金托管人不承担任何责任，并有权报告中国证监会。</w:t>
      </w:r>
    </w:p>
    <w:p w:rsidR="00783788" w:rsidRDefault="002C6E18">
      <w:pPr>
        <w:pStyle w:val="CharCharChar1"/>
        <w:adjustRightInd w:val="0"/>
        <w:snapToGrid w:val="0"/>
        <w:spacing w:line="360" w:lineRule="auto"/>
        <w:ind w:firstLineChars="200" w:firstLine="480"/>
        <w:rPr>
          <w:sz w:val="24"/>
          <w:szCs w:val="24"/>
        </w:rPr>
      </w:pPr>
      <w:r>
        <w:rPr>
          <w:rFonts w:hint="eastAsia"/>
          <w:sz w:val="24"/>
          <w:szCs w:val="24"/>
        </w:rPr>
        <w:t>（</w:t>
      </w:r>
      <w:r>
        <w:rPr>
          <w:sz w:val="24"/>
          <w:szCs w:val="24"/>
        </w:rPr>
        <w:t>6</w:t>
      </w:r>
      <w:r>
        <w:rPr>
          <w:rFonts w:hAnsi="宋体" w:hint="eastAsia"/>
          <w:sz w:val="24"/>
          <w:szCs w:val="24"/>
        </w:rPr>
        <w:t>）</w:t>
      </w:r>
      <w:r>
        <w:rPr>
          <w:rFonts w:hAnsi="宋体"/>
          <w:sz w:val="24"/>
          <w:szCs w:val="24"/>
        </w:rPr>
        <w:t>基金管理人应保证基金投资的流通受限证券登记存管在本基金名下，并保证基金托管人能够正常查询。因基金管理人原因产生的流通受限证券登记存管问题，造成基金财产的损失或基金托管人无法安全保管基金财产的责任与损失，由基金管理人承担。</w:t>
      </w:r>
    </w:p>
    <w:p w:rsidR="00783788" w:rsidRDefault="002C6E18">
      <w:pPr>
        <w:widowControl/>
        <w:adjustRightInd w:val="0"/>
        <w:snapToGrid w:val="0"/>
        <w:spacing w:line="360" w:lineRule="auto"/>
        <w:ind w:firstLineChars="200" w:firstLine="480"/>
        <w:outlineLvl w:val="1"/>
        <w:rPr>
          <w:sz w:val="24"/>
          <w:szCs w:val="24"/>
        </w:rPr>
      </w:pPr>
      <w:r>
        <w:rPr>
          <w:rFonts w:hint="eastAsia"/>
          <w:sz w:val="24"/>
          <w:szCs w:val="24"/>
        </w:rPr>
        <w:t>（</w:t>
      </w:r>
      <w:r>
        <w:rPr>
          <w:sz w:val="24"/>
          <w:szCs w:val="24"/>
        </w:rPr>
        <w:t>7</w:t>
      </w:r>
      <w:r>
        <w:rPr>
          <w:rFonts w:hAnsi="宋体" w:hint="eastAsia"/>
          <w:sz w:val="24"/>
          <w:szCs w:val="24"/>
        </w:rPr>
        <w:t>）</w:t>
      </w:r>
      <w:r>
        <w:rPr>
          <w:rFonts w:hAnsi="宋体"/>
          <w:sz w:val="24"/>
          <w:szCs w:val="24"/>
        </w:rPr>
        <w:t>如果基金管理人未按照本协议的约定向基金托管人报送相关数据或者报送了虚假的数据，导致基金托管人不能履行托管人职责的，基金管理人应依法承担相应法律后果。除基金托管人未能依据</w:t>
      </w:r>
      <w:r>
        <w:rPr>
          <w:rFonts w:hAnsi="宋体"/>
          <w:sz w:val="24"/>
        </w:rPr>
        <w:t>法律法规、</w:t>
      </w:r>
      <w:r>
        <w:rPr>
          <w:rFonts w:hAnsi="宋体"/>
          <w:sz w:val="24"/>
          <w:szCs w:val="24"/>
        </w:rPr>
        <w:t>基金合同及本协议履行职责外，因投资流通受限证券产生的损失，基金托管人按照本协议履行监督职责后不承担上述损失。</w:t>
      </w:r>
    </w:p>
    <w:p w:rsidR="00783788" w:rsidRDefault="002C6E18">
      <w:pPr>
        <w:widowControl/>
        <w:adjustRightInd w:val="0"/>
        <w:snapToGrid w:val="0"/>
        <w:spacing w:line="360" w:lineRule="auto"/>
        <w:ind w:firstLineChars="200" w:firstLine="480"/>
        <w:outlineLvl w:val="1"/>
        <w:rPr>
          <w:sz w:val="24"/>
          <w:szCs w:val="24"/>
        </w:rPr>
      </w:pPr>
      <w:r>
        <w:rPr>
          <w:sz w:val="24"/>
          <w:szCs w:val="24"/>
        </w:rPr>
        <w:t>8</w:t>
      </w:r>
      <w:r>
        <w:rPr>
          <w:rFonts w:hAnsi="宋体"/>
          <w:sz w:val="24"/>
          <w:szCs w:val="24"/>
        </w:rPr>
        <w:t>、基金托管人发现基金管理人的上述事项及投资指令或实际投资运作中违反法律法规和基金合同的规定，应及时以书面形式通知基金管理人限期纠正。基金管理人应积极配合和协助基金托管人的监督和核查。基金管理人收到通知后应在下一工作日及时核对并以书面形式给基金托管人发出回函，就基金托管人的疑义进行解释或举证，说明违规原因及纠正期限，并保证在规定期限内及时改正。在上述规定期限内</w:t>
      </w:r>
      <w:r>
        <w:rPr>
          <w:rFonts w:hint="eastAsia"/>
          <w:sz w:val="24"/>
          <w:szCs w:val="24"/>
        </w:rPr>
        <w:t>，</w:t>
      </w:r>
      <w:r>
        <w:rPr>
          <w:rFonts w:hAnsi="宋体"/>
          <w:sz w:val="24"/>
          <w:szCs w:val="24"/>
        </w:rPr>
        <w:t>基金托管人有权随时对通知事项进行复查</w:t>
      </w:r>
      <w:r>
        <w:rPr>
          <w:rFonts w:hint="eastAsia"/>
          <w:sz w:val="24"/>
          <w:szCs w:val="24"/>
        </w:rPr>
        <w:t>，</w:t>
      </w:r>
      <w:r>
        <w:rPr>
          <w:rFonts w:hAnsi="宋体"/>
          <w:sz w:val="24"/>
          <w:szCs w:val="24"/>
        </w:rPr>
        <w:t>督促基金管理人改正。基金管理人对基金托管人通知的违规事项未能在限期内纠正的，基金托管人应报告中国证监会。基金托管人发现基金管理人依据交易程序已经生效的投资指令违反法律、行政法规和其他有关规定，或者违反基金合同约定的，应当立即通知基金管理人，并报告中国证监会。</w:t>
      </w:r>
    </w:p>
    <w:p w:rsidR="00783788" w:rsidRDefault="002C6E18">
      <w:pPr>
        <w:widowControl/>
        <w:adjustRightInd w:val="0"/>
        <w:snapToGrid w:val="0"/>
        <w:spacing w:line="360" w:lineRule="auto"/>
        <w:ind w:firstLineChars="200" w:firstLine="480"/>
        <w:outlineLvl w:val="1"/>
        <w:rPr>
          <w:sz w:val="24"/>
          <w:szCs w:val="24"/>
        </w:rPr>
      </w:pPr>
      <w:r>
        <w:rPr>
          <w:sz w:val="24"/>
          <w:szCs w:val="24"/>
        </w:rPr>
        <w:t>9</w:t>
      </w:r>
      <w:r>
        <w:rPr>
          <w:rFonts w:hAnsi="宋体"/>
          <w:sz w:val="24"/>
          <w:szCs w:val="24"/>
        </w:rPr>
        <w:t>、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规要求需向中国证监会报送基金监督报告的事项，基金管理人应积极配合提供相关数据资料和制度等。</w:t>
      </w:r>
    </w:p>
    <w:p w:rsidR="00783788" w:rsidRDefault="002C6E18">
      <w:pPr>
        <w:widowControl/>
        <w:adjustRightInd w:val="0"/>
        <w:snapToGrid w:val="0"/>
        <w:spacing w:line="360" w:lineRule="auto"/>
        <w:ind w:firstLineChars="200" w:firstLine="480"/>
        <w:rPr>
          <w:kern w:val="0"/>
          <w:sz w:val="24"/>
        </w:rPr>
      </w:pPr>
      <w:r>
        <w:rPr>
          <w:sz w:val="24"/>
          <w:szCs w:val="24"/>
        </w:rPr>
        <w:t>10</w:t>
      </w:r>
      <w:r>
        <w:rPr>
          <w:rFonts w:hAnsi="宋体"/>
          <w:sz w:val="24"/>
          <w:szCs w:val="24"/>
        </w:rPr>
        <w:t>、基金托管人发现基金管理人有重大违规行为，应及时报告中国证监会，同时通知基金管理人限期纠正，并将纠正结果报告中国证监会。基金管理人无正当理由，拒绝、阻挠对方根据本协议规定行使监督权，或采取拖延、欺诈等手段妨碍对方进行有效监督，情节严重或经基金托管人提出警告仍不改正的，基金托管人应报告中国证监会。</w:t>
      </w:r>
    </w:p>
    <w:p w:rsidR="00783788" w:rsidRDefault="002C6E18">
      <w:pPr>
        <w:widowControl/>
        <w:adjustRightInd w:val="0"/>
        <w:snapToGrid w:val="0"/>
        <w:spacing w:line="360" w:lineRule="auto"/>
        <w:ind w:firstLineChars="200" w:firstLine="482"/>
        <w:outlineLvl w:val="1"/>
        <w:rPr>
          <w:b/>
          <w:kern w:val="0"/>
          <w:sz w:val="24"/>
        </w:rPr>
      </w:pPr>
      <w:r>
        <w:rPr>
          <w:rFonts w:hAnsi="宋体"/>
          <w:b/>
          <w:kern w:val="0"/>
          <w:sz w:val="24"/>
        </w:rPr>
        <w:t>（三）基金管理人对基金托管人的业务核查</w:t>
      </w:r>
    </w:p>
    <w:p w:rsidR="00783788" w:rsidRDefault="002C6E18">
      <w:pPr>
        <w:widowControl/>
        <w:adjustRightInd w:val="0"/>
        <w:snapToGrid w:val="0"/>
        <w:spacing w:line="360" w:lineRule="auto"/>
        <w:ind w:firstLineChars="200" w:firstLine="480"/>
        <w:outlineLvl w:val="1"/>
        <w:rPr>
          <w:sz w:val="24"/>
          <w:szCs w:val="24"/>
        </w:rPr>
      </w:pPr>
      <w:r>
        <w:rPr>
          <w:sz w:val="24"/>
          <w:szCs w:val="24"/>
        </w:rPr>
        <w:t>1</w:t>
      </w:r>
      <w:r>
        <w:rPr>
          <w:rFonts w:hAnsi="宋体"/>
          <w:sz w:val="24"/>
          <w:szCs w:val="24"/>
        </w:rPr>
        <w:t>、基金管理人对基金托管人履行托管职责情况进行核查，核查事项包括基金托管人安全保管基金财产、开设基金财产的资金账户和证券账户、复核基金管理人计算的基金资产净值和基金份额净值、根据基金管理人指令办理清算交收、相关信息披露和监督基金投资运作等行为。</w:t>
      </w:r>
    </w:p>
    <w:p w:rsidR="00783788" w:rsidRDefault="002C6E18">
      <w:pPr>
        <w:widowControl/>
        <w:adjustRightInd w:val="0"/>
        <w:snapToGrid w:val="0"/>
        <w:spacing w:line="360" w:lineRule="auto"/>
        <w:ind w:firstLineChars="200" w:firstLine="480"/>
        <w:outlineLvl w:val="1"/>
        <w:rPr>
          <w:sz w:val="24"/>
          <w:szCs w:val="24"/>
        </w:rPr>
      </w:pPr>
      <w:r>
        <w:rPr>
          <w:sz w:val="24"/>
          <w:szCs w:val="24"/>
        </w:rPr>
        <w:t>2</w:t>
      </w:r>
      <w:r>
        <w:rPr>
          <w:rFonts w:hAnsi="宋体"/>
          <w:sz w:val="24"/>
          <w:szCs w:val="24"/>
        </w:rPr>
        <w:t>、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在下一工作日及时核对并以书面形式给基金管理人发出回函，说明违规原因及纠正期限，并保证在规定期限内及时改正。在上述规定期限内，基金管理人有权随时对通知事项进行复查</w:t>
      </w:r>
      <w:r>
        <w:rPr>
          <w:rFonts w:hint="eastAsia"/>
          <w:sz w:val="24"/>
          <w:szCs w:val="24"/>
        </w:rPr>
        <w:t>，</w:t>
      </w:r>
      <w:r>
        <w:rPr>
          <w:rFonts w:hAnsi="宋体"/>
          <w:sz w:val="24"/>
          <w:szCs w:val="24"/>
        </w:rPr>
        <w:t>督促基金托管人改正。基金托管人应积极配合基金管理人的核查行为，包括但不限于：提交相关资料以供基金管理人核查托管财产的完整性和真实性，在规定时间内答复基金管理人并改正。</w:t>
      </w:r>
    </w:p>
    <w:p w:rsidR="00783788" w:rsidRDefault="002C6E18">
      <w:pPr>
        <w:adjustRightInd w:val="0"/>
        <w:snapToGrid w:val="0"/>
        <w:spacing w:line="360" w:lineRule="auto"/>
        <w:ind w:firstLineChars="200" w:firstLine="480"/>
        <w:rPr>
          <w:sz w:val="24"/>
        </w:rPr>
      </w:pPr>
      <w:r>
        <w:rPr>
          <w:sz w:val="24"/>
          <w:szCs w:val="24"/>
        </w:rPr>
        <w:t>3</w:t>
      </w:r>
      <w:r>
        <w:rPr>
          <w:rFonts w:hAnsi="宋体"/>
          <w:sz w:val="24"/>
          <w:szCs w:val="24"/>
        </w:rPr>
        <w:t>、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rsidR="00783788" w:rsidRDefault="002C6E18">
      <w:pPr>
        <w:widowControl/>
        <w:adjustRightInd w:val="0"/>
        <w:snapToGrid w:val="0"/>
        <w:spacing w:line="360" w:lineRule="auto"/>
        <w:ind w:firstLineChars="200" w:firstLine="482"/>
        <w:rPr>
          <w:b/>
          <w:kern w:val="0"/>
          <w:sz w:val="24"/>
        </w:rPr>
      </w:pPr>
      <w:r>
        <w:rPr>
          <w:rFonts w:hAnsi="宋体"/>
          <w:b/>
          <w:kern w:val="0"/>
          <w:sz w:val="24"/>
        </w:rPr>
        <w:t>（四）基金财产</w:t>
      </w:r>
      <w:r>
        <w:rPr>
          <w:rFonts w:hAnsi="宋体" w:hint="eastAsia"/>
          <w:b/>
          <w:kern w:val="0"/>
          <w:sz w:val="24"/>
        </w:rPr>
        <w:t>的</w:t>
      </w:r>
      <w:r>
        <w:rPr>
          <w:rFonts w:hAnsi="宋体"/>
          <w:b/>
          <w:kern w:val="0"/>
          <w:sz w:val="24"/>
        </w:rPr>
        <w:t>保管</w:t>
      </w:r>
      <w:r>
        <w:rPr>
          <w:b/>
          <w:kern w:val="0"/>
          <w:sz w:val="24"/>
        </w:rPr>
        <w:t xml:space="preserve"> </w:t>
      </w:r>
    </w:p>
    <w:p w:rsidR="00783788" w:rsidRDefault="002C6E18">
      <w:pPr>
        <w:adjustRightInd w:val="0"/>
        <w:snapToGrid w:val="0"/>
        <w:spacing w:line="360" w:lineRule="auto"/>
        <w:ind w:firstLineChars="200" w:firstLine="480"/>
        <w:rPr>
          <w:sz w:val="24"/>
        </w:rPr>
      </w:pPr>
      <w:r>
        <w:rPr>
          <w:sz w:val="24"/>
        </w:rPr>
        <w:t>1</w:t>
      </w:r>
      <w:r>
        <w:rPr>
          <w:rFonts w:hAnsi="宋体"/>
          <w:sz w:val="24"/>
        </w:rPr>
        <w:t>、基金财产保管的原则</w:t>
      </w:r>
    </w:p>
    <w:p w:rsidR="00783788" w:rsidRDefault="002C6E18">
      <w:pPr>
        <w:adjustRightInd w:val="0"/>
        <w:snapToGrid w:val="0"/>
        <w:spacing w:line="360" w:lineRule="auto"/>
        <w:ind w:firstLineChars="200" w:firstLine="480"/>
        <w:rPr>
          <w:sz w:val="24"/>
          <w:szCs w:val="24"/>
        </w:rPr>
      </w:pPr>
      <w:r>
        <w:rPr>
          <w:rFonts w:hint="eastAsia"/>
          <w:sz w:val="24"/>
          <w:szCs w:val="24"/>
        </w:rPr>
        <w:t>（</w:t>
      </w:r>
      <w:r>
        <w:rPr>
          <w:sz w:val="24"/>
          <w:szCs w:val="24"/>
        </w:rPr>
        <w:t>1</w:t>
      </w:r>
      <w:r>
        <w:rPr>
          <w:rFonts w:hAnsi="宋体" w:hint="eastAsia"/>
          <w:sz w:val="24"/>
          <w:szCs w:val="24"/>
        </w:rPr>
        <w:t>）</w:t>
      </w:r>
      <w:r>
        <w:rPr>
          <w:rFonts w:hAnsi="宋体"/>
          <w:sz w:val="24"/>
          <w:szCs w:val="24"/>
        </w:rPr>
        <w:t>基金财产应独立于基金管理人、基金托管人的固有财产。</w:t>
      </w:r>
    </w:p>
    <w:p w:rsidR="00783788" w:rsidRDefault="002C6E18">
      <w:pPr>
        <w:adjustRightInd w:val="0"/>
        <w:snapToGrid w:val="0"/>
        <w:spacing w:line="360" w:lineRule="auto"/>
        <w:ind w:firstLineChars="200" w:firstLine="480"/>
        <w:rPr>
          <w:sz w:val="24"/>
          <w:szCs w:val="24"/>
        </w:rPr>
      </w:pPr>
      <w:r>
        <w:rPr>
          <w:rFonts w:hint="eastAsia"/>
          <w:sz w:val="24"/>
          <w:szCs w:val="24"/>
        </w:rPr>
        <w:t>（</w:t>
      </w:r>
      <w:r>
        <w:rPr>
          <w:sz w:val="24"/>
          <w:szCs w:val="24"/>
        </w:rPr>
        <w:t>2</w:t>
      </w:r>
      <w:r>
        <w:rPr>
          <w:rFonts w:hAnsi="宋体" w:hint="eastAsia"/>
          <w:sz w:val="24"/>
          <w:szCs w:val="24"/>
        </w:rPr>
        <w:t>）</w:t>
      </w:r>
      <w:r>
        <w:rPr>
          <w:rFonts w:hAnsi="宋体"/>
          <w:sz w:val="24"/>
          <w:szCs w:val="24"/>
        </w:rPr>
        <w:t>基金托管人应安全保管基金财产。未经基金管理人依据合法程序作出的合法合规指令，基金托管人不得自行运用、处分、分配基金的任何财产。</w:t>
      </w:r>
    </w:p>
    <w:p w:rsidR="00783788" w:rsidRDefault="002C6E18">
      <w:pPr>
        <w:adjustRightInd w:val="0"/>
        <w:snapToGrid w:val="0"/>
        <w:spacing w:line="360" w:lineRule="auto"/>
        <w:ind w:firstLineChars="200" w:firstLine="480"/>
        <w:rPr>
          <w:sz w:val="24"/>
          <w:szCs w:val="24"/>
        </w:rPr>
      </w:pPr>
      <w:r>
        <w:rPr>
          <w:rFonts w:hint="eastAsia"/>
          <w:sz w:val="24"/>
          <w:szCs w:val="24"/>
        </w:rPr>
        <w:t>（</w:t>
      </w:r>
      <w:r>
        <w:rPr>
          <w:sz w:val="24"/>
          <w:szCs w:val="24"/>
        </w:rPr>
        <w:t>3</w:t>
      </w:r>
      <w:r>
        <w:rPr>
          <w:rFonts w:hAnsi="宋体" w:hint="eastAsia"/>
          <w:sz w:val="24"/>
          <w:szCs w:val="24"/>
        </w:rPr>
        <w:t>）</w:t>
      </w:r>
      <w:r>
        <w:rPr>
          <w:rFonts w:hAnsi="宋体"/>
          <w:sz w:val="24"/>
          <w:szCs w:val="24"/>
        </w:rPr>
        <w:t>基金托管人按照规定开设基金财产的资金账户和证券账户。</w:t>
      </w:r>
    </w:p>
    <w:p w:rsidR="00783788" w:rsidRDefault="002C6E18">
      <w:pPr>
        <w:adjustRightInd w:val="0"/>
        <w:snapToGrid w:val="0"/>
        <w:spacing w:line="360" w:lineRule="auto"/>
        <w:ind w:firstLineChars="200" w:firstLine="480"/>
        <w:rPr>
          <w:sz w:val="24"/>
          <w:szCs w:val="24"/>
        </w:rPr>
      </w:pPr>
      <w:r>
        <w:rPr>
          <w:rFonts w:hint="eastAsia"/>
          <w:sz w:val="24"/>
          <w:szCs w:val="24"/>
        </w:rPr>
        <w:t>（</w:t>
      </w:r>
      <w:r>
        <w:rPr>
          <w:sz w:val="24"/>
          <w:szCs w:val="24"/>
        </w:rPr>
        <w:t>4</w:t>
      </w:r>
      <w:r>
        <w:rPr>
          <w:rFonts w:hAnsi="宋体" w:hint="eastAsia"/>
          <w:sz w:val="24"/>
          <w:szCs w:val="24"/>
        </w:rPr>
        <w:t>）</w:t>
      </w:r>
      <w:r>
        <w:rPr>
          <w:rFonts w:hAnsi="宋体"/>
          <w:sz w:val="24"/>
          <w:szCs w:val="24"/>
        </w:rPr>
        <w:t>基金托管人对所托管的不同基金财产分别设置账户，与基金托管人的其他业务和其他基金的托管业务实行严格的分</w:t>
      </w:r>
      <w:r>
        <w:rPr>
          <w:rFonts w:hAnsi="宋体"/>
          <w:sz w:val="24"/>
          <w:szCs w:val="28"/>
        </w:rPr>
        <w:t>账</w:t>
      </w:r>
      <w:r>
        <w:rPr>
          <w:rFonts w:hAnsi="宋体"/>
          <w:sz w:val="24"/>
          <w:szCs w:val="24"/>
        </w:rPr>
        <w:t>管理，确保基金财产的完整与独立。</w:t>
      </w:r>
    </w:p>
    <w:p w:rsidR="00783788" w:rsidRDefault="002C6E18">
      <w:pPr>
        <w:adjustRightInd w:val="0"/>
        <w:snapToGrid w:val="0"/>
        <w:spacing w:line="360" w:lineRule="auto"/>
        <w:ind w:firstLineChars="200" w:firstLine="480"/>
        <w:rPr>
          <w:sz w:val="24"/>
          <w:szCs w:val="24"/>
        </w:rPr>
      </w:pPr>
      <w:r>
        <w:rPr>
          <w:rFonts w:hint="eastAsia"/>
          <w:sz w:val="24"/>
          <w:szCs w:val="24"/>
        </w:rPr>
        <w:t>（</w:t>
      </w:r>
      <w:r>
        <w:rPr>
          <w:sz w:val="24"/>
          <w:szCs w:val="24"/>
        </w:rPr>
        <w:t>5</w:t>
      </w:r>
      <w:r>
        <w:rPr>
          <w:rFonts w:hAnsi="宋体" w:hint="eastAsia"/>
          <w:sz w:val="24"/>
          <w:szCs w:val="24"/>
        </w:rPr>
        <w:t>）</w:t>
      </w:r>
      <w:r>
        <w:rPr>
          <w:rFonts w:hAnsi="宋体"/>
          <w:sz w:val="24"/>
          <w:szCs w:val="24"/>
        </w:rPr>
        <w:t>基金托管人根据基金管理人的指令，按照基金合同和本协议的约定保管基金财产，如有特殊情况双方可另行协商解决。</w:t>
      </w:r>
    </w:p>
    <w:p w:rsidR="00783788" w:rsidRDefault="002C6E18">
      <w:pPr>
        <w:adjustRightInd w:val="0"/>
        <w:snapToGrid w:val="0"/>
        <w:spacing w:line="360" w:lineRule="auto"/>
        <w:ind w:firstLineChars="200" w:firstLine="480"/>
        <w:rPr>
          <w:sz w:val="24"/>
          <w:szCs w:val="24"/>
        </w:rPr>
      </w:pPr>
      <w:r>
        <w:rPr>
          <w:rFonts w:hint="eastAsia"/>
          <w:sz w:val="24"/>
          <w:szCs w:val="24"/>
        </w:rPr>
        <w:t>（</w:t>
      </w:r>
      <w:r>
        <w:rPr>
          <w:sz w:val="24"/>
          <w:szCs w:val="24"/>
        </w:rPr>
        <w:t>6</w:t>
      </w:r>
      <w:r>
        <w:rPr>
          <w:rFonts w:hAnsi="宋体" w:hint="eastAsia"/>
          <w:sz w:val="24"/>
          <w:szCs w:val="24"/>
        </w:rPr>
        <w:t>）</w:t>
      </w:r>
      <w:r>
        <w:rPr>
          <w:rFonts w:hAnsi="宋体"/>
          <w:sz w:val="24"/>
          <w:szCs w:val="24"/>
        </w:rPr>
        <w:t>对于因为基金申购、投资产生的应收资产，应由基金管理人负责与有关当事人确定到账日期并通知基金托管人，到账日基金财产没有到达基金账户的，基金托管人应及时通知基金管理人采取措施进行催收。由此给基金财产造成损失的，基金托管人对此不承担任何责任。</w:t>
      </w:r>
    </w:p>
    <w:p w:rsidR="00783788" w:rsidRDefault="002C6E18">
      <w:pPr>
        <w:adjustRightInd w:val="0"/>
        <w:snapToGrid w:val="0"/>
        <w:spacing w:line="360" w:lineRule="auto"/>
        <w:ind w:firstLineChars="200" w:firstLine="480"/>
        <w:rPr>
          <w:sz w:val="24"/>
        </w:rPr>
      </w:pPr>
      <w:r>
        <w:rPr>
          <w:rFonts w:hint="eastAsia"/>
          <w:sz w:val="24"/>
          <w:szCs w:val="24"/>
        </w:rPr>
        <w:t>（</w:t>
      </w:r>
      <w:r>
        <w:rPr>
          <w:sz w:val="24"/>
          <w:szCs w:val="24"/>
        </w:rPr>
        <w:t>7</w:t>
      </w:r>
      <w:r>
        <w:rPr>
          <w:rFonts w:hAnsi="宋体" w:hint="eastAsia"/>
          <w:sz w:val="24"/>
          <w:szCs w:val="24"/>
        </w:rPr>
        <w:t>）</w:t>
      </w:r>
      <w:r>
        <w:rPr>
          <w:rFonts w:hAnsi="宋体"/>
          <w:sz w:val="24"/>
          <w:szCs w:val="24"/>
        </w:rPr>
        <w:t>除依据法律法规和基金合同的规定外，基金托管人不得委托第三人托管基金财产。</w:t>
      </w:r>
    </w:p>
    <w:p w:rsidR="00783788" w:rsidRDefault="002C6E18">
      <w:pPr>
        <w:adjustRightInd w:val="0"/>
        <w:snapToGrid w:val="0"/>
        <w:spacing w:line="360" w:lineRule="auto"/>
        <w:ind w:firstLineChars="200" w:firstLine="480"/>
        <w:rPr>
          <w:sz w:val="24"/>
        </w:rPr>
      </w:pPr>
      <w:r>
        <w:rPr>
          <w:sz w:val="24"/>
        </w:rPr>
        <w:t>2</w:t>
      </w:r>
      <w:r>
        <w:rPr>
          <w:rFonts w:hAnsi="宋体"/>
          <w:sz w:val="24"/>
        </w:rPr>
        <w:t>、</w:t>
      </w:r>
      <w:r>
        <w:rPr>
          <w:rFonts w:hAnsi="宋体" w:hint="eastAsia"/>
          <w:sz w:val="24"/>
        </w:rPr>
        <w:t>基金</w:t>
      </w:r>
      <w:r>
        <w:rPr>
          <w:rFonts w:hAnsi="宋体"/>
          <w:sz w:val="24"/>
        </w:rPr>
        <w:t>募集期间及募集资金的验资</w:t>
      </w:r>
    </w:p>
    <w:p w:rsidR="00783788" w:rsidRDefault="002C6E18">
      <w:pPr>
        <w:adjustRightInd w:val="0"/>
        <w:snapToGrid w:val="0"/>
        <w:spacing w:line="360" w:lineRule="auto"/>
        <w:ind w:firstLineChars="200" w:firstLine="480"/>
        <w:rPr>
          <w:sz w:val="24"/>
          <w:szCs w:val="24"/>
        </w:rPr>
      </w:pPr>
      <w:r>
        <w:rPr>
          <w:rFonts w:hint="eastAsia"/>
          <w:sz w:val="24"/>
          <w:szCs w:val="24"/>
        </w:rPr>
        <w:t>（</w:t>
      </w:r>
      <w:r>
        <w:rPr>
          <w:sz w:val="24"/>
          <w:szCs w:val="24"/>
        </w:rPr>
        <w:t>1</w:t>
      </w:r>
      <w:r>
        <w:rPr>
          <w:rFonts w:hAnsi="宋体" w:hint="eastAsia"/>
          <w:sz w:val="24"/>
          <w:szCs w:val="24"/>
        </w:rPr>
        <w:t>）</w:t>
      </w:r>
      <w:r>
        <w:rPr>
          <w:rFonts w:hAnsi="宋体"/>
          <w:sz w:val="24"/>
          <w:szCs w:val="24"/>
        </w:rPr>
        <w:t>基金募集期间的认购款项应存于专用</w:t>
      </w:r>
      <w:r>
        <w:rPr>
          <w:rFonts w:hAnsi="宋体"/>
          <w:sz w:val="24"/>
        </w:rPr>
        <w:t>账</w:t>
      </w:r>
      <w:r>
        <w:rPr>
          <w:rFonts w:hAnsi="宋体"/>
          <w:sz w:val="24"/>
          <w:szCs w:val="24"/>
        </w:rPr>
        <w:t>户。该账户由基金管理人或基金管理人委托的登记机构开立并管理。</w:t>
      </w:r>
    </w:p>
    <w:p w:rsidR="00783788" w:rsidRDefault="002C6E18">
      <w:pPr>
        <w:adjustRightInd w:val="0"/>
        <w:snapToGrid w:val="0"/>
        <w:spacing w:line="360" w:lineRule="auto"/>
        <w:ind w:firstLineChars="200" w:firstLine="480"/>
        <w:rPr>
          <w:sz w:val="24"/>
          <w:szCs w:val="24"/>
        </w:rPr>
      </w:pPr>
      <w:r>
        <w:rPr>
          <w:rFonts w:hint="eastAsia"/>
          <w:sz w:val="24"/>
          <w:szCs w:val="24"/>
        </w:rPr>
        <w:t>（</w:t>
      </w:r>
      <w:r>
        <w:rPr>
          <w:sz w:val="24"/>
          <w:szCs w:val="24"/>
        </w:rPr>
        <w:t>2</w:t>
      </w:r>
      <w:r>
        <w:rPr>
          <w:rFonts w:hAnsi="宋体" w:hint="eastAsia"/>
          <w:sz w:val="24"/>
          <w:szCs w:val="24"/>
        </w:rPr>
        <w:t>）</w:t>
      </w:r>
      <w:r>
        <w:rPr>
          <w:rFonts w:hAnsi="宋体"/>
          <w:sz w:val="24"/>
          <w:szCs w:val="24"/>
        </w:rPr>
        <w:t>基金募集期满或基金停止募集时，募集的基金份额总额、基金募集金额、基金份额持有人人数符合《基金法》、《运作办法》等有关规定后，基金管理人应将募集到的属于基金财产的全部资金划入基金托管人开立的基金托管资金账户，同时在规定时间内，聘请具有从事证券相关业务资格的会计师事务所进行验资，出具验资报告。出具的验资报告由参加验资的</w:t>
      </w:r>
      <w:r>
        <w:rPr>
          <w:sz w:val="24"/>
          <w:szCs w:val="24"/>
        </w:rPr>
        <w:t>2</w:t>
      </w:r>
      <w:r>
        <w:rPr>
          <w:rFonts w:hAnsi="宋体"/>
          <w:sz w:val="24"/>
          <w:szCs w:val="24"/>
        </w:rPr>
        <w:t>名或</w:t>
      </w:r>
      <w:r>
        <w:rPr>
          <w:sz w:val="24"/>
          <w:szCs w:val="24"/>
        </w:rPr>
        <w:t>2</w:t>
      </w:r>
      <w:r>
        <w:rPr>
          <w:rFonts w:hAnsi="宋体"/>
          <w:sz w:val="24"/>
          <w:szCs w:val="24"/>
        </w:rPr>
        <w:t>名以上中国注册会计师签字方为有效。</w:t>
      </w:r>
    </w:p>
    <w:p w:rsidR="00783788" w:rsidRDefault="002C6E18">
      <w:pPr>
        <w:adjustRightInd w:val="0"/>
        <w:snapToGrid w:val="0"/>
        <w:spacing w:line="360" w:lineRule="auto"/>
        <w:ind w:firstLineChars="200" w:firstLine="480"/>
        <w:rPr>
          <w:sz w:val="24"/>
        </w:rPr>
      </w:pPr>
      <w:r>
        <w:rPr>
          <w:rFonts w:hint="eastAsia"/>
          <w:sz w:val="24"/>
          <w:szCs w:val="24"/>
        </w:rPr>
        <w:t>（</w:t>
      </w:r>
      <w:r>
        <w:rPr>
          <w:sz w:val="24"/>
          <w:szCs w:val="24"/>
        </w:rPr>
        <w:t>3</w:t>
      </w:r>
      <w:r>
        <w:rPr>
          <w:rFonts w:hAnsi="宋体" w:hint="eastAsia"/>
          <w:sz w:val="24"/>
          <w:szCs w:val="24"/>
        </w:rPr>
        <w:t>）</w:t>
      </w:r>
      <w:r>
        <w:rPr>
          <w:rFonts w:hAnsi="宋体"/>
          <w:sz w:val="24"/>
          <w:szCs w:val="24"/>
        </w:rPr>
        <w:t>若基金募集期限届满，未能达到基金备案的条件，由基金管理人按规定办理退款等事宜，基金托管人应提供充分协助。</w:t>
      </w:r>
    </w:p>
    <w:p w:rsidR="00783788" w:rsidRDefault="002C6E18">
      <w:pPr>
        <w:adjustRightInd w:val="0"/>
        <w:snapToGrid w:val="0"/>
        <w:spacing w:line="360" w:lineRule="auto"/>
        <w:ind w:firstLineChars="200" w:firstLine="480"/>
        <w:rPr>
          <w:sz w:val="24"/>
        </w:rPr>
      </w:pPr>
      <w:r>
        <w:rPr>
          <w:sz w:val="24"/>
        </w:rPr>
        <w:t>3</w:t>
      </w:r>
      <w:r>
        <w:rPr>
          <w:rFonts w:hAnsi="宋体"/>
          <w:sz w:val="24"/>
        </w:rPr>
        <w:t>、基金</w:t>
      </w:r>
      <w:r>
        <w:rPr>
          <w:rFonts w:hAnsi="宋体" w:hint="eastAsia"/>
          <w:sz w:val="24"/>
        </w:rPr>
        <w:t>托管资金</w:t>
      </w:r>
      <w:r>
        <w:rPr>
          <w:rFonts w:hAnsi="宋体"/>
          <w:sz w:val="24"/>
        </w:rPr>
        <w:t>账户的开立和管理</w:t>
      </w:r>
    </w:p>
    <w:p w:rsidR="00783788" w:rsidRDefault="002C6E18">
      <w:pPr>
        <w:adjustRightInd w:val="0"/>
        <w:snapToGrid w:val="0"/>
        <w:spacing w:line="360" w:lineRule="auto"/>
        <w:ind w:firstLineChars="200" w:firstLine="480"/>
        <w:rPr>
          <w:sz w:val="24"/>
          <w:szCs w:val="24"/>
        </w:rPr>
      </w:pPr>
      <w:r>
        <w:rPr>
          <w:rFonts w:hint="eastAsia"/>
          <w:sz w:val="24"/>
          <w:szCs w:val="24"/>
        </w:rPr>
        <w:t>（</w:t>
      </w:r>
      <w:r>
        <w:rPr>
          <w:sz w:val="24"/>
          <w:szCs w:val="24"/>
        </w:rPr>
        <w:t>1</w:t>
      </w:r>
      <w:r>
        <w:rPr>
          <w:rFonts w:hAnsi="宋体" w:hint="eastAsia"/>
          <w:sz w:val="24"/>
          <w:szCs w:val="24"/>
        </w:rPr>
        <w:t>）</w:t>
      </w:r>
      <w:r>
        <w:rPr>
          <w:rFonts w:hAnsi="宋体"/>
          <w:sz w:val="24"/>
          <w:szCs w:val="24"/>
        </w:rPr>
        <w:t>基金托管人应负责本基金的资金账户的开设和管理。</w:t>
      </w:r>
    </w:p>
    <w:p w:rsidR="00783788" w:rsidRDefault="002C6E18">
      <w:pPr>
        <w:adjustRightInd w:val="0"/>
        <w:snapToGrid w:val="0"/>
        <w:spacing w:line="360" w:lineRule="auto"/>
        <w:ind w:firstLineChars="200" w:firstLine="480"/>
        <w:rPr>
          <w:sz w:val="24"/>
          <w:szCs w:val="24"/>
        </w:rPr>
      </w:pPr>
      <w:r>
        <w:rPr>
          <w:rFonts w:hint="eastAsia"/>
          <w:sz w:val="24"/>
          <w:szCs w:val="24"/>
        </w:rPr>
        <w:t>（</w:t>
      </w:r>
      <w:r>
        <w:rPr>
          <w:sz w:val="24"/>
          <w:szCs w:val="24"/>
        </w:rPr>
        <w:t>2</w:t>
      </w:r>
      <w:r>
        <w:rPr>
          <w:rFonts w:hAnsi="宋体" w:hint="eastAsia"/>
          <w:sz w:val="24"/>
          <w:szCs w:val="24"/>
        </w:rPr>
        <w:t>）</w:t>
      </w:r>
      <w:r>
        <w:rPr>
          <w:rFonts w:hAnsi="宋体"/>
          <w:sz w:val="24"/>
          <w:szCs w:val="24"/>
        </w:rPr>
        <w:t>基金托管人可以本基金的名义在其营业机构开设本基金的资金账户，并根据基金管理人合法合规的指令办理资金收付。本基金的银行预留印鉴由基金托管人保管和使用。本基金的一切货币收支活动，包括但不限于投资、支付赎回金额、支付基金收益、收取申购款，均需通过本基金的资金账户进行。</w:t>
      </w:r>
    </w:p>
    <w:p w:rsidR="00783788" w:rsidRDefault="002C6E18">
      <w:pPr>
        <w:adjustRightInd w:val="0"/>
        <w:snapToGrid w:val="0"/>
        <w:spacing w:line="360" w:lineRule="auto"/>
        <w:ind w:firstLineChars="200" w:firstLine="480"/>
        <w:rPr>
          <w:sz w:val="24"/>
          <w:szCs w:val="24"/>
        </w:rPr>
      </w:pPr>
      <w:r>
        <w:rPr>
          <w:rFonts w:hint="eastAsia"/>
          <w:sz w:val="24"/>
          <w:szCs w:val="24"/>
        </w:rPr>
        <w:t>（</w:t>
      </w:r>
      <w:r>
        <w:rPr>
          <w:sz w:val="24"/>
          <w:szCs w:val="24"/>
        </w:rPr>
        <w:t>3</w:t>
      </w:r>
      <w:r>
        <w:rPr>
          <w:rFonts w:hAnsi="宋体" w:hint="eastAsia"/>
          <w:sz w:val="24"/>
          <w:szCs w:val="24"/>
        </w:rPr>
        <w:t>）</w:t>
      </w:r>
      <w:r>
        <w:rPr>
          <w:rFonts w:hAnsi="宋体"/>
          <w:sz w:val="24"/>
          <w:szCs w:val="24"/>
        </w:rPr>
        <w:t>基金托管资金账户的开立和使用，限于满足开展本基金业务的需要。基金托管人和基金管理人不得假借本基金的名义开立任何其他银行账户；亦不得使用基金的任何账户进行本基金业务以外的活动。</w:t>
      </w:r>
    </w:p>
    <w:p w:rsidR="00783788" w:rsidRDefault="002C6E18">
      <w:pPr>
        <w:adjustRightInd w:val="0"/>
        <w:snapToGrid w:val="0"/>
        <w:spacing w:line="360" w:lineRule="auto"/>
        <w:ind w:firstLineChars="200" w:firstLine="480"/>
        <w:rPr>
          <w:sz w:val="24"/>
          <w:szCs w:val="24"/>
        </w:rPr>
      </w:pPr>
      <w:r>
        <w:rPr>
          <w:rFonts w:hint="eastAsia"/>
          <w:sz w:val="24"/>
          <w:szCs w:val="24"/>
        </w:rPr>
        <w:t>（</w:t>
      </w:r>
      <w:r>
        <w:rPr>
          <w:sz w:val="24"/>
          <w:szCs w:val="24"/>
        </w:rPr>
        <w:t>4</w:t>
      </w:r>
      <w:r>
        <w:rPr>
          <w:rFonts w:hAnsi="宋体" w:hint="eastAsia"/>
          <w:sz w:val="24"/>
          <w:szCs w:val="24"/>
        </w:rPr>
        <w:t>）</w:t>
      </w:r>
      <w:r>
        <w:rPr>
          <w:rFonts w:hAnsi="宋体"/>
          <w:sz w:val="24"/>
          <w:szCs w:val="24"/>
        </w:rPr>
        <w:t>基金托管资金账户的开立和管理应符合相关法律法规的有关规定。</w:t>
      </w:r>
    </w:p>
    <w:p w:rsidR="00783788" w:rsidRDefault="002C6E18">
      <w:pPr>
        <w:adjustRightInd w:val="0"/>
        <w:snapToGrid w:val="0"/>
        <w:spacing w:line="360" w:lineRule="auto"/>
        <w:ind w:firstLineChars="200" w:firstLine="480"/>
        <w:rPr>
          <w:sz w:val="24"/>
        </w:rPr>
      </w:pPr>
      <w:r>
        <w:rPr>
          <w:rFonts w:hint="eastAsia"/>
          <w:sz w:val="24"/>
          <w:szCs w:val="24"/>
        </w:rPr>
        <w:t>（</w:t>
      </w:r>
      <w:r>
        <w:rPr>
          <w:sz w:val="24"/>
          <w:szCs w:val="24"/>
        </w:rPr>
        <w:t>5</w:t>
      </w:r>
      <w:r>
        <w:rPr>
          <w:rFonts w:hAnsi="宋体" w:hint="eastAsia"/>
          <w:sz w:val="24"/>
          <w:szCs w:val="24"/>
        </w:rPr>
        <w:t>）</w:t>
      </w:r>
      <w:r>
        <w:rPr>
          <w:rFonts w:hAnsi="宋体"/>
          <w:sz w:val="24"/>
          <w:szCs w:val="24"/>
        </w:rPr>
        <w:t>在符合法律法规规定的条件下，基金托管人可以通过基金托管人专用账户办理基金资产的支付。</w:t>
      </w:r>
    </w:p>
    <w:p w:rsidR="00783788" w:rsidRDefault="002C6E18">
      <w:pPr>
        <w:adjustRightInd w:val="0"/>
        <w:snapToGrid w:val="0"/>
        <w:spacing w:line="360" w:lineRule="auto"/>
        <w:ind w:firstLineChars="200" w:firstLine="480"/>
        <w:rPr>
          <w:sz w:val="24"/>
        </w:rPr>
      </w:pPr>
      <w:r>
        <w:rPr>
          <w:sz w:val="24"/>
        </w:rPr>
        <w:t>4</w:t>
      </w:r>
      <w:r>
        <w:rPr>
          <w:rFonts w:hAnsi="宋体"/>
          <w:sz w:val="24"/>
        </w:rPr>
        <w:t>、</w:t>
      </w:r>
      <w:r>
        <w:rPr>
          <w:rFonts w:hAnsi="宋体" w:hint="eastAsia"/>
          <w:sz w:val="24"/>
        </w:rPr>
        <w:t>基金证券账户和结算备付金账户的开立和管理</w:t>
      </w:r>
    </w:p>
    <w:p w:rsidR="00783788" w:rsidRDefault="002C6E18">
      <w:pPr>
        <w:adjustRightInd w:val="0"/>
        <w:snapToGrid w:val="0"/>
        <w:spacing w:line="360" w:lineRule="auto"/>
        <w:ind w:firstLineChars="200" w:firstLine="480"/>
        <w:rPr>
          <w:sz w:val="24"/>
          <w:szCs w:val="24"/>
        </w:rPr>
      </w:pPr>
      <w:r>
        <w:rPr>
          <w:rFonts w:hint="eastAsia"/>
          <w:sz w:val="24"/>
          <w:szCs w:val="24"/>
        </w:rPr>
        <w:t>（</w:t>
      </w:r>
      <w:r>
        <w:rPr>
          <w:sz w:val="24"/>
          <w:szCs w:val="24"/>
        </w:rPr>
        <w:t>1</w:t>
      </w:r>
      <w:r>
        <w:rPr>
          <w:rFonts w:hAnsi="宋体" w:hint="eastAsia"/>
          <w:sz w:val="24"/>
          <w:szCs w:val="24"/>
        </w:rPr>
        <w:t>）</w:t>
      </w:r>
      <w:r>
        <w:rPr>
          <w:rFonts w:hAnsi="宋体"/>
          <w:sz w:val="24"/>
          <w:szCs w:val="24"/>
        </w:rPr>
        <w:t>基金托管人在中国证券登记结算有限责任公司上海分公司、深圳分公司为本基金开立基金托管人与基金联名的证券账户。</w:t>
      </w:r>
    </w:p>
    <w:p w:rsidR="00783788" w:rsidRDefault="002C6E18">
      <w:pPr>
        <w:adjustRightInd w:val="0"/>
        <w:snapToGrid w:val="0"/>
        <w:spacing w:line="360" w:lineRule="auto"/>
        <w:ind w:firstLineChars="200" w:firstLine="480"/>
        <w:rPr>
          <w:sz w:val="24"/>
          <w:szCs w:val="24"/>
        </w:rPr>
      </w:pPr>
      <w:r>
        <w:rPr>
          <w:rFonts w:hint="eastAsia"/>
          <w:sz w:val="24"/>
          <w:szCs w:val="24"/>
        </w:rPr>
        <w:t>（</w:t>
      </w:r>
      <w:r>
        <w:rPr>
          <w:sz w:val="24"/>
          <w:szCs w:val="24"/>
        </w:rPr>
        <w:t>2</w:t>
      </w:r>
      <w:r>
        <w:rPr>
          <w:rFonts w:hAnsi="宋体" w:hint="eastAsia"/>
          <w:sz w:val="24"/>
          <w:szCs w:val="24"/>
        </w:rPr>
        <w:t>）</w:t>
      </w:r>
      <w:r>
        <w:rPr>
          <w:rFonts w:hAnsi="宋体"/>
          <w:sz w:val="24"/>
          <w:szCs w:val="24"/>
        </w:rPr>
        <w:t>基金证券账户的开立和使用，限于满足开展本基金业务的需要。基金托管人和基金管理人不得出借或未经对方同意擅自转让基金的任何证券账户，亦不得使用基金的任何账户进行本基金业务以外的活动。</w:t>
      </w:r>
    </w:p>
    <w:p w:rsidR="00783788" w:rsidRDefault="002C6E18">
      <w:pPr>
        <w:adjustRightInd w:val="0"/>
        <w:snapToGrid w:val="0"/>
        <w:spacing w:line="360" w:lineRule="auto"/>
        <w:ind w:firstLineChars="200" w:firstLine="480"/>
        <w:rPr>
          <w:sz w:val="24"/>
          <w:szCs w:val="24"/>
        </w:rPr>
      </w:pPr>
      <w:r>
        <w:rPr>
          <w:rFonts w:hint="eastAsia"/>
          <w:sz w:val="24"/>
          <w:szCs w:val="24"/>
        </w:rPr>
        <w:t>（</w:t>
      </w:r>
      <w:r>
        <w:rPr>
          <w:sz w:val="24"/>
          <w:szCs w:val="24"/>
        </w:rPr>
        <w:t>3</w:t>
      </w:r>
      <w:r>
        <w:rPr>
          <w:rFonts w:hAnsi="宋体" w:hint="eastAsia"/>
          <w:sz w:val="24"/>
          <w:szCs w:val="24"/>
        </w:rPr>
        <w:t>）</w:t>
      </w:r>
      <w:r>
        <w:rPr>
          <w:rFonts w:hAnsi="宋体"/>
          <w:sz w:val="24"/>
          <w:szCs w:val="24"/>
        </w:rPr>
        <w:t>基金托管人以自身法人名义在中国证券登记结算有限责任公司开立结算备付金账户，并代表所托管的基金完成与中国证券登记结算有限责任公司的一级法人清算工作，基金管理人应予以积极协助。结算备付金的收取按照中国证券登记结算有限责任公司的规定执行。</w:t>
      </w:r>
    </w:p>
    <w:p w:rsidR="00783788" w:rsidRDefault="002C6E18">
      <w:pPr>
        <w:adjustRightInd w:val="0"/>
        <w:snapToGrid w:val="0"/>
        <w:spacing w:line="360" w:lineRule="auto"/>
        <w:ind w:firstLineChars="200" w:firstLine="480"/>
        <w:rPr>
          <w:sz w:val="24"/>
          <w:szCs w:val="24"/>
        </w:rPr>
      </w:pPr>
      <w:r>
        <w:rPr>
          <w:rFonts w:hint="eastAsia"/>
          <w:sz w:val="24"/>
          <w:szCs w:val="24"/>
        </w:rPr>
        <w:t>（</w:t>
      </w:r>
      <w:r>
        <w:rPr>
          <w:sz w:val="24"/>
          <w:szCs w:val="24"/>
        </w:rPr>
        <w:t>4</w:t>
      </w:r>
      <w:r>
        <w:rPr>
          <w:rFonts w:hAnsi="宋体" w:hint="eastAsia"/>
          <w:sz w:val="24"/>
          <w:szCs w:val="24"/>
        </w:rPr>
        <w:t>）</w:t>
      </w:r>
      <w:r>
        <w:rPr>
          <w:rFonts w:hAnsi="宋体"/>
          <w:sz w:val="24"/>
          <w:szCs w:val="24"/>
        </w:rPr>
        <w:t>基金证券账户的开立和证券账户卡的保管由基金托管人负责，账户资产的管理和运用由基金管理人负责。</w:t>
      </w:r>
    </w:p>
    <w:p w:rsidR="00783788" w:rsidRDefault="002C6E18">
      <w:pPr>
        <w:adjustRightInd w:val="0"/>
        <w:snapToGrid w:val="0"/>
        <w:spacing w:line="360" w:lineRule="auto"/>
        <w:ind w:firstLineChars="200" w:firstLine="480"/>
        <w:rPr>
          <w:sz w:val="24"/>
        </w:rPr>
      </w:pPr>
      <w:r>
        <w:rPr>
          <w:rFonts w:hint="eastAsia"/>
          <w:sz w:val="24"/>
          <w:szCs w:val="24"/>
        </w:rPr>
        <w:t>（</w:t>
      </w:r>
      <w:r>
        <w:rPr>
          <w:sz w:val="24"/>
          <w:szCs w:val="24"/>
        </w:rPr>
        <w:t>5</w:t>
      </w:r>
      <w:r>
        <w:rPr>
          <w:rFonts w:hAnsi="宋体" w:hint="eastAsia"/>
          <w:sz w:val="24"/>
          <w:szCs w:val="24"/>
        </w:rPr>
        <w:t>）</w:t>
      </w:r>
      <w:r>
        <w:rPr>
          <w:rFonts w:hAnsi="宋体"/>
          <w:sz w:val="24"/>
          <w:szCs w:val="24"/>
        </w:rPr>
        <w:t>在本托管协议生效日之后，本基金被允许从事其他投资品种的投资业务，涉及相关账户的开设、使用的，按有关规定开设、使用并管理；若无相关规定，则基金托管人应当比照并遵守上述关于账户开设、使用的规定。</w:t>
      </w:r>
    </w:p>
    <w:p w:rsidR="00783788" w:rsidRDefault="002C6E18">
      <w:pPr>
        <w:adjustRightInd w:val="0"/>
        <w:snapToGrid w:val="0"/>
        <w:spacing w:line="360" w:lineRule="auto"/>
        <w:ind w:firstLineChars="200" w:firstLine="480"/>
        <w:rPr>
          <w:sz w:val="24"/>
        </w:rPr>
      </w:pPr>
      <w:r>
        <w:rPr>
          <w:sz w:val="24"/>
        </w:rPr>
        <w:t>5</w:t>
      </w:r>
      <w:r>
        <w:rPr>
          <w:rFonts w:hAnsi="宋体"/>
          <w:sz w:val="24"/>
        </w:rPr>
        <w:t>、债券托管专户的开设和管理</w:t>
      </w:r>
    </w:p>
    <w:p w:rsidR="00783788" w:rsidRDefault="002C6E18">
      <w:pPr>
        <w:adjustRightInd w:val="0"/>
        <w:snapToGrid w:val="0"/>
        <w:spacing w:line="360" w:lineRule="auto"/>
        <w:ind w:firstLineChars="200" w:firstLine="480"/>
        <w:rPr>
          <w:sz w:val="24"/>
        </w:rPr>
      </w:pPr>
      <w:r>
        <w:rPr>
          <w:rFonts w:hAnsi="宋体"/>
          <w:sz w:val="24"/>
          <w:szCs w:val="24"/>
        </w:rPr>
        <w:t>基金合同生效后，基金托管人根据中国人民银行、中央国债登记结算有限责任公司的有关规定，以本基金的名义在中央国债登记结算有限责任公司开立债券托管与结算账户，并代表基金进行银行间市场债券的结算。基金管理人和基金托管人同时代表基金签订全国银行间债券市场债券回购主协议。</w:t>
      </w:r>
    </w:p>
    <w:p w:rsidR="00783788" w:rsidRDefault="002C6E18">
      <w:pPr>
        <w:adjustRightInd w:val="0"/>
        <w:snapToGrid w:val="0"/>
        <w:spacing w:line="360" w:lineRule="auto"/>
        <w:ind w:firstLineChars="200" w:firstLine="480"/>
        <w:rPr>
          <w:sz w:val="24"/>
        </w:rPr>
      </w:pPr>
      <w:r>
        <w:rPr>
          <w:sz w:val="24"/>
        </w:rPr>
        <w:t>6</w:t>
      </w:r>
      <w:r>
        <w:rPr>
          <w:rFonts w:hAnsi="宋体"/>
          <w:sz w:val="24"/>
        </w:rPr>
        <w:t>、其他账户的开立和管理</w:t>
      </w:r>
    </w:p>
    <w:p w:rsidR="00783788" w:rsidRDefault="002C6E18">
      <w:pPr>
        <w:adjustRightInd w:val="0"/>
        <w:snapToGrid w:val="0"/>
        <w:spacing w:line="360" w:lineRule="auto"/>
        <w:ind w:firstLineChars="200" w:firstLine="480"/>
        <w:rPr>
          <w:sz w:val="24"/>
          <w:szCs w:val="24"/>
        </w:rPr>
      </w:pPr>
      <w:r>
        <w:rPr>
          <w:rFonts w:hint="eastAsia"/>
          <w:sz w:val="24"/>
          <w:szCs w:val="24"/>
        </w:rPr>
        <w:t>（</w:t>
      </w:r>
      <w:r>
        <w:rPr>
          <w:sz w:val="24"/>
          <w:szCs w:val="24"/>
        </w:rPr>
        <w:t>1</w:t>
      </w:r>
      <w:r>
        <w:rPr>
          <w:rFonts w:hAnsi="宋体" w:hint="eastAsia"/>
          <w:sz w:val="24"/>
          <w:szCs w:val="24"/>
        </w:rPr>
        <w:t>）</w:t>
      </w:r>
      <w:r>
        <w:rPr>
          <w:rFonts w:hAnsi="宋体"/>
          <w:sz w:val="24"/>
          <w:szCs w:val="24"/>
        </w:rPr>
        <w:t>因业务发展需要而开立的其他账户，可以根据法律法规和基金合同的规定，在基金管理人和基金托管人商议后开立。新账户按有关规则使用并管理。</w:t>
      </w:r>
    </w:p>
    <w:p w:rsidR="00783788" w:rsidRDefault="002C6E18">
      <w:pPr>
        <w:adjustRightInd w:val="0"/>
        <w:snapToGrid w:val="0"/>
        <w:spacing w:line="360" w:lineRule="auto"/>
        <w:ind w:firstLineChars="200" w:firstLine="480"/>
        <w:rPr>
          <w:sz w:val="24"/>
        </w:rPr>
      </w:pPr>
      <w:r>
        <w:rPr>
          <w:rFonts w:hint="eastAsia"/>
          <w:sz w:val="24"/>
          <w:szCs w:val="24"/>
        </w:rPr>
        <w:t>（</w:t>
      </w:r>
      <w:r>
        <w:rPr>
          <w:sz w:val="24"/>
          <w:szCs w:val="24"/>
        </w:rPr>
        <w:t>2</w:t>
      </w:r>
      <w:r>
        <w:rPr>
          <w:rFonts w:hAnsi="宋体" w:hint="eastAsia"/>
          <w:sz w:val="24"/>
          <w:szCs w:val="24"/>
        </w:rPr>
        <w:t>）</w:t>
      </w:r>
      <w:r>
        <w:rPr>
          <w:rFonts w:hAnsi="宋体"/>
          <w:sz w:val="24"/>
          <w:szCs w:val="24"/>
        </w:rPr>
        <w:t>法律法规等有关规定对相关账户的开立和管理另有规定的，从其规定办理。</w:t>
      </w:r>
    </w:p>
    <w:p w:rsidR="00783788" w:rsidRDefault="002C6E18">
      <w:pPr>
        <w:adjustRightInd w:val="0"/>
        <w:snapToGrid w:val="0"/>
        <w:spacing w:line="360" w:lineRule="auto"/>
        <w:ind w:firstLineChars="200" w:firstLine="480"/>
        <w:rPr>
          <w:sz w:val="24"/>
        </w:rPr>
      </w:pPr>
      <w:r>
        <w:rPr>
          <w:sz w:val="24"/>
        </w:rPr>
        <w:t>7</w:t>
      </w:r>
      <w:r>
        <w:rPr>
          <w:rFonts w:hAnsi="宋体"/>
          <w:sz w:val="24"/>
        </w:rPr>
        <w:t>、基金财产投资的有关有价凭证等的保管</w:t>
      </w:r>
    </w:p>
    <w:p w:rsidR="00783788" w:rsidRDefault="002C6E18">
      <w:pPr>
        <w:adjustRightInd w:val="0"/>
        <w:snapToGrid w:val="0"/>
        <w:spacing w:line="360" w:lineRule="auto"/>
        <w:ind w:firstLineChars="200" w:firstLine="480"/>
        <w:rPr>
          <w:sz w:val="24"/>
        </w:rPr>
      </w:pPr>
      <w:r>
        <w:rPr>
          <w:rFonts w:hAnsi="宋体"/>
          <w:sz w:val="24"/>
          <w:szCs w:val="24"/>
        </w:rPr>
        <w:t>基金财产投资的有关实物证券、银行定期存款存单等有价凭证由基金托管人负责妥善保管，保管凭证由基金托管人持有。实物证券的购买和转让，由基金托管人根据基金管理人的指令办理。属于基金托管人实际有效控制下的实物证券在基金托管人保管期间的损坏、灭失，由此产生的责任应由基金托管人承担。基金托管人对基金托管人以外机构实际有效控制的证券不承担保管责任。</w:t>
      </w:r>
    </w:p>
    <w:p w:rsidR="00783788" w:rsidRDefault="002C6E18">
      <w:pPr>
        <w:adjustRightInd w:val="0"/>
        <w:snapToGrid w:val="0"/>
        <w:spacing w:line="360" w:lineRule="auto"/>
        <w:ind w:firstLineChars="200" w:firstLine="480"/>
        <w:rPr>
          <w:sz w:val="24"/>
        </w:rPr>
      </w:pPr>
      <w:r>
        <w:rPr>
          <w:sz w:val="24"/>
        </w:rPr>
        <w:t>8</w:t>
      </w:r>
      <w:r>
        <w:rPr>
          <w:rFonts w:hAnsi="宋体"/>
          <w:sz w:val="24"/>
        </w:rPr>
        <w:t>、与基金财产有关的重大合同的保管</w:t>
      </w:r>
    </w:p>
    <w:p w:rsidR="00783788" w:rsidRDefault="002C6E18">
      <w:pPr>
        <w:adjustRightInd w:val="0"/>
        <w:snapToGrid w:val="0"/>
        <w:spacing w:line="360" w:lineRule="auto"/>
        <w:ind w:firstLineChars="200" w:firstLine="480"/>
        <w:rPr>
          <w:kern w:val="0"/>
          <w:sz w:val="24"/>
        </w:rPr>
      </w:pPr>
      <w:r>
        <w:rPr>
          <w:rFonts w:hAnsi="宋体"/>
          <w:sz w:val="24"/>
          <w:szCs w:val="24"/>
        </w:rPr>
        <w:t>由基金管理人代表基金签署的、与基金有关的重大合同的原件分别由基金管理人、基金托管人保管。除协议另有规定外，基金管理人在代表基金签署与基金有关的重大合同时应保证基金一方持有两份以上的正本，以便基金管理人和基金托管人至少各持有一份正本的原件。重大合同的保管期限为基金合同终止后</w:t>
      </w:r>
      <w:r>
        <w:rPr>
          <w:sz w:val="24"/>
          <w:szCs w:val="24"/>
        </w:rPr>
        <w:t>15</w:t>
      </w:r>
      <w:r>
        <w:rPr>
          <w:rFonts w:hAnsi="宋体"/>
          <w:sz w:val="24"/>
          <w:szCs w:val="24"/>
        </w:rPr>
        <w:t>年。</w:t>
      </w:r>
    </w:p>
    <w:p w:rsidR="00783788" w:rsidRDefault="002C6E18">
      <w:pPr>
        <w:widowControl/>
        <w:adjustRightInd w:val="0"/>
        <w:snapToGrid w:val="0"/>
        <w:spacing w:line="360" w:lineRule="auto"/>
        <w:ind w:firstLineChars="200" w:firstLine="482"/>
        <w:outlineLvl w:val="1"/>
        <w:rPr>
          <w:b/>
          <w:kern w:val="0"/>
          <w:sz w:val="24"/>
        </w:rPr>
      </w:pPr>
      <w:r>
        <w:rPr>
          <w:rFonts w:hAnsi="宋体"/>
          <w:b/>
          <w:kern w:val="0"/>
          <w:sz w:val="24"/>
        </w:rPr>
        <w:t>（五）基金资产净值计算和会计核算</w:t>
      </w:r>
      <w:r>
        <w:rPr>
          <w:b/>
          <w:kern w:val="0"/>
          <w:sz w:val="24"/>
        </w:rPr>
        <w:t xml:space="preserve"> </w:t>
      </w:r>
    </w:p>
    <w:p w:rsidR="00783788" w:rsidRDefault="002C6E18">
      <w:pPr>
        <w:widowControl/>
        <w:adjustRightInd w:val="0"/>
        <w:snapToGrid w:val="0"/>
        <w:spacing w:line="360" w:lineRule="auto"/>
        <w:ind w:firstLineChars="200" w:firstLine="480"/>
        <w:rPr>
          <w:kern w:val="0"/>
          <w:sz w:val="24"/>
        </w:rPr>
      </w:pPr>
      <w:r>
        <w:rPr>
          <w:kern w:val="0"/>
          <w:sz w:val="24"/>
        </w:rPr>
        <w:t>1</w:t>
      </w:r>
      <w:r>
        <w:rPr>
          <w:kern w:val="0"/>
          <w:sz w:val="24"/>
        </w:rPr>
        <w:t>、基金资产净值的计算及复核程序</w:t>
      </w:r>
    </w:p>
    <w:p w:rsidR="00783788" w:rsidRDefault="002C6E18">
      <w:pPr>
        <w:adjustRightInd w:val="0"/>
        <w:snapToGrid w:val="0"/>
        <w:spacing w:line="360" w:lineRule="auto"/>
        <w:ind w:firstLineChars="200" w:firstLine="480"/>
        <w:rPr>
          <w:sz w:val="24"/>
          <w:szCs w:val="24"/>
        </w:rPr>
      </w:pPr>
      <w:r>
        <w:rPr>
          <w:rFonts w:hAnsi="宋体"/>
          <w:sz w:val="24"/>
          <w:szCs w:val="24"/>
        </w:rPr>
        <w:t>（</w:t>
      </w:r>
      <w:r>
        <w:rPr>
          <w:sz w:val="24"/>
          <w:szCs w:val="24"/>
        </w:rPr>
        <w:t>1</w:t>
      </w:r>
      <w:r>
        <w:rPr>
          <w:rFonts w:hAnsi="宋体"/>
          <w:sz w:val="24"/>
          <w:szCs w:val="24"/>
        </w:rPr>
        <w:t>）基金资产净值</w:t>
      </w:r>
    </w:p>
    <w:p w:rsidR="00783788" w:rsidRDefault="002C6E18">
      <w:pPr>
        <w:adjustRightInd w:val="0"/>
        <w:snapToGrid w:val="0"/>
        <w:spacing w:line="360" w:lineRule="auto"/>
        <w:ind w:firstLineChars="200" w:firstLine="480"/>
        <w:rPr>
          <w:sz w:val="24"/>
          <w:szCs w:val="24"/>
        </w:rPr>
      </w:pPr>
      <w:r>
        <w:rPr>
          <w:rFonts w:hAnsi="宋体"/>
          <w:sz w:val="24"/>
          <w:szCs w:val="24"/>
        </w:rPr>
        <w:t>基金资产净值是指基金资产总值减去基金负债后的价值。</w:t>
      </w:r>
    </w:p>
    <w:p w:rsidR="00783788" w:rsidRDefault="002C6E18">
      <w:pPr>
        <w:adjustRightInd w:val="0"/>
        <w:snapToGrid w:val="0"/>
        <w:spacing w:line="360" w:lineRule="auto"/>
        <w:ind w:firstLineChars="200" w:firstLine="480"/>
        <w:rPr>
          <w:sz w:val="24"/>
          <w:szCs w:val="24"/>
        </w:rPr>
      </w:pPr>
      <w:r>
        <w:rPr>
          <w:rFonts w:hAnsi="宋体"/>
          <w:sz w:val="24"/>
          <w:szCs w:val="24"/>
        </w:rPr>
        <w:t>基金份额净值是指计算日基金资产净值除以计算日基金份额总数后得到的数值。基金份额净值的计算，精确到</w:t>
      </w:r>
      <w:r>
        <w:rPr>
          <w:sz w:val="24"/>
          <w:szCs w:val="24"/>
        </w:rPr>
        <w:t>0.001</w:t>
      </w:r>
      <w:r>
        <w:rPr>
          <w:rFonts w:hAnsi="宋体"/>
          <w:sz w:val="24"/>
          <w:szCs w:val="24"/>
        </w:rPr>
        <w:t>元，小数点后第四位四舍五入，由此产生的误差计入基金财产。国家另有规定的，从其规定。</w:t>
      </w:r>
    </w:p>
    <w:p w:rsidR="00783788" w:rsidRDefault="002C6E18">
      <w:pPr>
        <w:adjustRightInd w:val="0"/>
        <w:snapToGrid w:val="0"/>
        <w:spacing w:line="360" w:lineRule="auto"/>
        <w:ind w:firstLineChars="200" w:firstLine="480"/>
        <w:rPr>
          <w:sz w:val="24"/>
          <w:szCs w:val="24"/>
        </w:rPr>
      </w:pPr>
      <w:r>
        <w:rPr>
          <w:rFonts w:hAnsi="宋体"/>
          <w:sz w:val="24"/>
          <w:szCs w:val="24"/>
        </w:rPr>
        <w:t>每工作日计算基金资产净值及基金份额净值，并按规定公告，</w:t>
      </w:r>
      <w:r>
        <w:rPr>
          <w:rFonts w:hAnsi="宋体"/>
          <w:bCs/>
          <w:sz w:val="24"/>
          <w:szCs w:val="24"/>
        </w:rPr>
        <w:t>但根据法律法规或基金合同的规定暂停估值时除外</w:t>
      </w:r>
      <w:r>
        <w:rPr>
          <w:rFonts w:hAnsi="宋体"/>
          <w:sz w:val="24"/>
          <w:szCs w:val="24"/>
        </w:rPr>
        <w:t>。</w:t>
      </w:r>
    </w:p>
    <w:p w:rsidR="00783788" w:rsidRDefault="002C6E18">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sz w:val="24"/>
          <w:szCs w:val="24"/>
        </w:rPr>
        <w:t>2</w:t>
      </w:r>
      <w:r>
        <w:rPr>
          <w:rFonts w:ascii="宋体" w:hAnsi="宋体" w:hint="eastAsia"/>
          <w:sz w:val="24"/>
          <w:szCs w:val="24"/>
        </w:rPr>
        <w:t>）</w:t>
      </w:r>
      <w:r>
        <w:rPr>
          <w:rFonts w:ascii="宋体" w:hAnsi="宋体"/>
          <w:sz w:val="24"/>
          <w:szCs w:val="24"/>
        </w:rPr>
        <w:t>复核程序</w:t>
      </w:r>
    </w:p>
    <w:p w:rsidR="00783788" w:rsidRDefault="002C6E18">
      <w:pPr>
        <w:widowControl/>
        <w:adjustRightInd w:val="0"/>
        <w:snapToGrid w:val="0"/>
        <w:spacing w:line="360" w:lineRule="auto"/>
        <w:ind w:firstLineChars="200" w:firstLine="480"/>
        <w:rPr>
          <w:kern w:val="0"/>
          <w:sz w:val="24"/>
        </w:rPr>
      </w:pPr>
      <w:r>
        <w:rPr>
          <w:rFonts w:ascii="宋体" w:hAnsi="宋体"/>
          <w:sz w:val="24"/>
          <w:szCs w:val="24"/>
        </w:rPr>
        <w:t>基金管理人每</w:t>
      </w:r>
      <w:r>
        <w:rPr>
          <w:rFonts w:ascii="宋体" w:hAnsi="宋体" w:hint="eastAsia"/>
          <w:sz w:val="24"/>
          <w:szCs w:val="24"/>
        </w:rPr>
        <w:t>工作</w:t>
      </w:r>
      <w:r>
        <w:rPr>
          <w:rFonts w:ascii="宋体" w:hAnsi="宋体"/>
          <w:sz w:val="24"/>
          <w:szCs w:val="24"/>
        </w:rPr>
        <w:t>日对基金资产进行估值后，将基金份额净值结果发送基金托管人，经基金托管人复核无误后，由基金管理人</w:t>
      </w:r>
      <w:r>
        <w:rPr>
          <w:rFonts w:ascii="宋体" w:hAnsi="宋体" w:hint="eastAsia"/>
          <w:sz w:val="24"/>
          <w:szCs w:val="24"/>
        </w:rPr>
        <w:t>依据基金合同和相关法律法规的规定</w:t>
      </w:r>
      <w:r>
        <w:rPr>
          <w:rFonts w:ascii="宋体" w:hAnsi="宋体"/>
          <w:sz w:val="24"/>
          <w:szCs w:val="24"/>
        </w:rPr>
        <w:t>对外公布。</w:t>
      </w:r>
      <w:r>
        <w:rPr>
          <w:rFonts w:ascii="宋体" w:hAnsi="宋体" w:hint="eastAsia"/>
          <w:sz w:val="24"/>
          <w:szCs w:val="24"/>
        </w:rPr>
        <w:t>月末、年中和年末估值复核与基金会计账目的核对同时进行。</w:t>
      </w:r>
    </w:p>
    <w:p w:rsidR="00783788" w:rsidRDefault="002C6E18">
      <w:pPr>
        <w:widowControl/>
        <w:adjustRightInd w:val="0"/>
        <w:snapToGrid w:val="0"/>
        <w:spacing w:line="360" w:lineRule="auto"/>
        <w:ind w:firstLineChars="200" w:firstLine="480"/>
        <w:rPr>
          <w:rFonts w:hAnsi="宋体"/>
          <w:kern w:val="0"/>
          <w:sz w:val="24"/>
        </w:rPr>
      </w:pPr>
      <w:r>
        <w:rPr>
          <w:kern w:val="0"/>
          <w:sz w:val="24"/>
        </w:rPr>
        <w:t>2</w:t>
      </w:r>
      <w:r>
        <w:rPr>
          <w:rFonts w:hAnsi="宋体"/>
          <w:kern w:val="0"/>
          <w:sz w:val="24"/>
        </w:rPr>
        <w:t>、基金资产估值方法和特殊情形的处理</w:t>
      </w:r>
    </w:p>
    <w:p w:rsidR="00783788" w:rsidRDefault="002C6E18">
      <w:pPr>
        <w:widowControl/>
        <w:adjustRightInd w:val="0"/>
        <w:snapToGrid w:val="0"/>
        <w:spacing w:line="360" w:lineRule="auto"/>
        <w:ind w:firstLineChars="200" w:firstLine="480"/>
        <w:rPr>
          <w:kern w:val="0"/>
          <w:sz w:val="24"/>
        </w:rPr>
      </w:pPr>
      <w:r>
        <w:rPr>
          <w:rFonts w:hint="eastAsia"/>
          <w:kern w:val="0"/>
          <w:sz w:val="24"/>
        </w:rPr>
        <w:t>（</w:t>
      </w:r>
      <w:r>
        <w:rPr>
          <w:rFonts w:hint="eastAsia"/>
          <w:kern w:val="0"/>
          <w:sz w:val="24"/>
        </w:rPr>
        <w:t>1</w:t>
      </w:r>
      <w:r>
        <w:rPr>
          <w:rFonts w:hint="eastAsia"/>
          <w:kern w:val="0"/>
          <w:sz w:val="24"/>
        </w:rPr>
        <w:t>）估值对象</w:t>
      </w:r>
    </w:p>
    <w:p w:rsidR="00783788" w:rsidRDefault="002C6E18">
      <w:pPr>
        <w:widowControl/>
        <w:adjustRightInd w:val="0"/>
        <w:snapToGrid w:val="0"/>
        <w:spacing w:line="360" w:lineRule="auto"/>
        <w:ind w:firstLineChars="200" w:firstLine="480"/>
        <w:rPr>
          <w:kern w:val="0"/>
          <w:sz w:val="24"/>
        </w:rPr>
      </w:pPr>
      <w:r>
        <w:rPr>
          <w:rFonts w:hint="eastAsia"/>
          <w:kern w:val="0"/>
          <w:sz w:val="24"/>
        </w:rPr>
        <w:t>基金所拥有的股票、权证、债券和银行存款本息、应收款项、其它投资等资产及负债。</w:t>
      </w:r>
    </w:p>
    <w:p w:rsidR="00783788" w:rsidRDefault="002C6E18">
      <w:pPr>
        <w:widowControl/>
        <w:adjustRightInd w:val="0"/>
        <w:snapToGrid w:val="0"/>
        <w:spacing w:line="360" w:lineRule="auto"/>
        <w:ind w:firstLineChars="200" w:firstLine="480"/>
        <w:rPr>
          <w:kern w:val="0"/>
          <w:sz w:val="24"/>
        </w:rPr>
      </w:pPr>
      <w:r>
        <w:rPr>
          <w:rFonts w:hint="eastAsia"/>
          <w:kern w:val="0"/>
          <w:sz w:val="24"/>
        </w:rPr>
        <w:t>（</w:t>
      </w:r>
      <w:r>
        <w:rPr>
          <w:rFonts w:hint="eastAsia"/>
          <w:kern w:val="0"/>
          <w:sz w:val="24"/>
        </w:rPr>
        <w:t>2</w:t>
      </w:r>
      <w:r>
        <w:rPr>
          <w:rFonts w:hint="eastAsia"/>
          <w:kern w:val="0"/>
          <w:sz w:val="24"/>
        </w:rPr>
        <w:t>）估值方法</w:t>
      </w:r>
    </w:p>
    <w:p w:rsidR="00783788" w:rsidRDefault="002C6E18">
      <w:pPr>
        <w:widowControl/>
        <w:adjustRightInd w:val="0"/>
        <w:snapToGrid w:val="0"/>
        <w:spacing w:line="360" w:lineRule="auto"/>
        <w:ind w:firstLineChars="200" w:firstLine="480"/>
        <w:rPr>
          <w:kern w:val="0"/>
          <w:sz w:val="24"/>
        </w:rPr>
      </w:pPr>
      <w:r>
        <w:rPr>
          <w:rFonts w:hint="eastAsia"/>
          <w:kern w:val="0"/>
          <w:sz w:val="24"/>
        </w:rPr>
        <w:t>1</w:t>
      </w:r>
      <w:r>
        <w:rPr>
          <w:rFonts w:hint="eastAsia"/>
          <w:kern w:val="0"/>
          <w:sz w:val="24"/>
        </w:rPr>
        <w:t>）证券交易所上市的有价证券的估值</w:t>
      </w:r>
    </w:p>
    <w:p w:rsidR="00783788" w:rsidRDefault="002C6E18">
      <w:pPr>
        <w:widowControl/>
        <w:adjustRightInd w:val="0"/>
        <w:snapToGrid w:val="0"/>
        <w:spacing w:line="360" w:lineRule="auto"/>
        <w:ind w:firstLineChars="200" w:firstLine="480"/>
        <w:rPr>
          <w:kern w:val="0"/>
          <w:sz w:val="24"/>
        </w:rPr>
      </w:pPr>
      <w:r>
        <w:rPr>
          <w:rFonts w:hint="eastAsia"/>
          <w:kern w:val="0"/>
          <w:sz w:val="24"/>
        </w:rPr>
        <w:t>a</w:t>
      </w:r>
      <w:r>
        <w:rPr>
          <w:rFonts w:hint="eastAsia"/>
          <w:kern w:val="0"/>
          <w:sz w:val="24"/>
        </w:rPr>
        <w:t>、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未发生影响证券价格的重大事件的，可参考类似投资品种的现行市价及重大变化因素，调整最近交易市价，确定公允价格；</w:t>
      </w:r>
    </w:p>
    <w:p w:rsidR="00783788" w:rsidRDefault="002C6E18">
      <w:pPr>
        <w:widowControl/>
        <w:adjustRightInd w:val="0"/>
        <w:snapToGrid w:val="0"/>
        <w:spacing w:line="360" w:lineRule="auto"/>
        <w:ind w:firstLineChars="200" w:firstLine="480"/>
        <w:rPr>
          <w:kern w:val="0"/>
          <w:sz w:val="24"/>
        </w:rPr>
      </w:pPr>
      <w:r>
        <w:rPr>
          <w:rFonts w:hint="eastAsia"/>
          <w:kern w:val="0"/>
          <w:sz w:val="24"/>
        </w:rPr>
        <w:t>b</w:t>
      </w:r>
      <w:r>
        <w:rPr>
          <w:rFonts w:hint="eastAsia"/>
          <w:kern w:val="0"/>
          <w:sz w:val="24"/>
        </w:rPr>
        <w:t>、交易所上市实行净价交易的债券按估值日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w:t>
      </w:r>
    </w:p>
    <w:p w:rsidR="00783788" w:rsidRDefault="002C6E18">
      <w:pPr>
        <w:widowControl/>
        <w:adjustRightInd w:val="0"/>
        <w:snapToGrid w:val="0"/>
        <w:spacing w:line="360" w:lineRule="auto"/>
        <w:ind w:firstLineChars="200" w:firstLine="480"/>
        <w:rPr>
          <w:kern w:val="0"/>
          <w:sz w:val="24"/>
        </w:rPr>
      </w:pPr>
      <w:r>
        <w:rPr>
          <w:rFonts w:hint="eastAsia"/>
          <w:kern w:val="0"/>
          <w:sz w:val="24"/>
        </w:rPr>
        <w:t>c</w:t>
      </w:r>
      <w:r>
        <w:rPr>
          <w:rFonts w:hint="eastAsia"/>
          <w:kern w:val="0"/>
          <w:sz w:val="24"/>
        </w:rPr>
        <w:t>、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rsidR="00783788" w:rsidRDefault="002C6E18">
      <w:pPr>
        <w:widowControl/>
        <w:adjustRightInd w:val="0"/>
        <w:snapToGrid w:val="0"/>
        <w:spacing w:line="360" w:lineRule="auto"/>
        <w:ind w:firstLineChars="200" w:firstLine="480"/>
        <w:rPr>
          <w:kern w:val="0"/>
          <w:sz w:val="24"/>
        </w:rPr>
      </w:pPr>
      <w:r>
        <w:rPr>
          <w:rFonts w:hint="eastAsia"/>
          <w:kern w:val="0"/>
          <w:sz w:val="24"/>
        </w:rPr>
        <w:t>d</w:t>
      </w:r>
      <w:r>
        <w:rPr>
          <w:rFonts w:hint="eastAsia"/>
          <w:kern w:val="0"/>
          <w:sz w:val="24"/>
        </w:rPr>
        <w:t>、交易所上市不存在活跃市场的有价证券，采用估值技术确定公允价值。交易所上市的资产支持证券，采用估值技术确定公允价值，在估值技术难以可靠计量公允价值的情况下，按成本估值。</w:t>
      </w:r>
    </w:p>
    <w:p w:rsidR="00783788" w:rsidRDefault="002C6E18">
      <w:pPr>
        <w:widowControl/>
        <w:adjustRightInd w:val="0"/>
        <w:snapToGrid w:val="0"/>
        <w:spacing w:line="360" w:lineRule="auto"/>
        <w:ind w:firstLineChars="200" w:firstLine="480"/>
        <w:rPr>
          <w:kern w:val="0"/>
          <w:sz w:val="24"/>
        </w:rPr>
      </w:pPr>
      <w:r>
        <w:rPr>
          <w:rFonts w:hint="eastAsia"/>
          <w:kern w:val="0"/>
          <w:sz w:val="24"/>
        </w:rPr>
        <w:t>2</w:t>
      </w:r>
      <w:r>
        <w:rPr>
          <w:rFonts w:hint="eastAsia"/>
          <w:kern w:val="0"/>
          <w:sz w:val="24"/>
        </w:rPr>
        <w:t>）处于未上市期间的有价证券应区分如下情况处理：</w:t>
      </w:r>
    </w:p>
    <w:p w:rsidR="00783788" w:rsidRDefault="002C6E18">
      <w:pPr>
        <w:widowControl/>
        <w:adjustRightInd w:val="0"/>
        <w:snapToGrid w:val="0"/>
        <w:spacing w:line="360" w:lineRule="auto"/>
        <w:ind w:firstLineChars="200" w:firstLine="480"/>
        <w:rPr>
          <w:kern w:val="0"/>
          <w:sz w:val="24"/>
        </w:rPr>
      </w:pPr>
      <w:r>
        <w:rPr>
          <w:rFonts w:hint="eastAsia"/>
          <w:kern w:val="0"/>
          <w:sz w:val="24"/>
        </w:rPr>
        <w:t>a</w:t>
      </w:r>
      <w:r>
        <w:rPr>
          <w:rFonts w:hint="eastAsia"/>
          <w:kern w:val="0"/>
          <w:sz w:val="24"/>
        </w:rPr>
        <w:t>、送股、转增股、配股和公开增发的新股，按估值日在证券交易所挂牌的同一股票的估值方法估值；</w:t>
      </w:r>
      <w:r>
        <w:rPr>
          <w:rFonts w:hint="eastAsia"/>
          <w:kern w:val="0"/>
          <w:sz w:val="24"/>
        </w:rPr>
        <w:t xml:space="preserve"> </w:t>
      </w:r>
    </w:p>
    <w:p w:rsidR="00783788" w:rsidRDefault="002C6E18">
      <w:pPr>
        <w:widowControl/>
        <w:adjustRightInd w:val="0"/>
        <w:snapToGrid w:val="0"/>
        <w:spacing w:line="360" w:lineRule="auto"/>
        <w:ind w:firstLineChars="200" w:firstLine="480"/>
        <w:rPr>
          <w:kern w:val="0"/>
          <w:sz w:val="24"/>
        </w:rPr>
      </w:pPr>
      <w:r>
        <w:rPr>
          <w:rFonts w:hint="eastAsia"/>
          <w:kern w:val="0"/>
          <w:sz w:val="24"/>
        </w:rPr>
        <w:t>b</w:t>
      </w:r>
      <w:r>
        <w:rPr>
          <w:rFonts w:hint="eastAsia"/>
          <w:kern w:val="0"/>
          <w:sz w:val="24"/>
        </w:rPr>
        <w:t>、首次公开发行未上市的股票、债券和权证，采用估值技术确定公允价值，在估值技术难以可靠计量公允价值的情况下，按成本估值；</w:t>
      </w:r>
    </w:p>
    <w:p w:rsidR="00783788" w:rsidRDefault="002C6E18">
      <w:pPr>
        <w:widowControl/>
        <w:adjustRightInd w:val="0"/>
        <w:snapToGrid w:val="0"/>
        <w:spacing w:line="360" w:lineRule="auto"/>
        <w:ind w:firstLineChars="200" w:firstLine="480"/>
        <w:rPr>
          <w:kern w:val="0"/>
          <w:sz w:val="24"/>
        </w:rPr>
      </w:pPr>
      <w:r>
        <w:rPr>
          <w:rFonts w:hint="eastAsia"/>
          <w:kern w:val="0"/>
          <w:sz w:val="24"/>
        </w:rPr>
        <w:t>c</w:t>
      </w:r>
      <w:r>
        <w:rPr>
          <w:rFonts w:hint="eastAsia"/>
          <w:kern w:val="0"/>
          <w:sz w:val="24"/>
        </w:rPr>
        <w:t>、首次公开发行有明确锁定期的股票，同一股票在交易所上市后，按交易所上市的同一股票的估值方法估值；非公开发行有明确锁定期的股票，按监管机构或行业协会有关规定确定公允价值。</w:t>
      </w:r>
    </w:p>
    <w:p w:rsidR="00783788" w:rsidRDefault="002C6E18">
      <w:pPr>
        <w:widowControl/>
        <w:adjustRightInd w:val="0"/>
        <w:snapToGrid w:val="0"/>
        <w:spacing w:line="360" w:lineRule="auto"/>
        <w:ind w:firstLineChars="200" w:firstLine="480"/>
        <w:rPr>
          <w:kern w:val="0"/>
          <w:sz w:val="24"/>
        </w:rPr>
      </w:pPr>
      <w:r>
        <w:rPr>
          <w:rFonts w:hint="eastAsia"/>
          <w:kern w:val="0"/>
          <w:sz w:val="24"/>
        </w:rPr>
        <w:t>3</w:t>
      </w:r>
      <w:r>
        <w:rPr>
          <w:rFonts w:hint="eastAsia"/>
          <w:kern w:val="0"/>
          <w:sz w:val="24"/>
        </w:rPr>
        <w:t>）在全国银行间债券市场交易的债券、资产支持证券等固定收益品种，采用估值技术确定公允价值。</w:t>
      </w:r>
    </w:p>
    <w:p w:rsidR="00783788" w:rsidRDefault="002C6E18">
      <w:pPr>
        <w:widowControl/>
        <w:adjustRightInd w:val="0"/>
        <w:snapToGrid w:val="0"/>
        <w:spacing w:line="360" w:lineRule="auto"/>
        <w:ind w:firstLineChars="200" w:firstLine="480"/>
        <w:rPr>
          <w:kern w:val="0"/>
          <w:sz w:val="24"/>
        </w:rPr>
      </w:pPr>
      <w:r>
        <w:rPr>
          <w:rFonts w:hint="eastAsia"/>
          <w:kern w:val="0"/>
          <w:sz w:val="24"/>
        </w:rPr>
        <w:t>4</w:t>
      </w:r>
      <w:r>
        <w:rPr>
          <w:rFonts w:hint="eastAsia"/>
          <w:kern w:val="0"/>
          <w:sz w:val="24"/>
        </w:rPr>
        <w:t>）同一债券同时在两个或两个以上市场交易的，按债券所处的市场分别估值。</w:t>
      </w:r>
    </w:p>
    <w:p w:rsidR="00783788" w:rsidRDefault="002C6E18">
      <w:pPr>
        <w:widowControl/>
        <w:adjustRightInd w:val="0"/>
        <w:snapToGrid w:val="0"/>
        <w:spacing w:line="360" w:lineRule="auto"/>
        <w:ind w:firstLineChars="200" w:firstLine="480"/>
        <w:rPr>
          <w:kern w:val="0"/>
          <w:sz w:val="24"/>
        </w:rPr>
      </w:pPr>
      <w:r>
        <w:rPr>
          <w:rFonts w:hint="eastAsia"/>
          <w:kern w:val="0"/>
          <w:sz w:val="24"/>
        </w:rPr>
        <w:t>5</w:t>
      </w:r>
      <w:r>
        <w:rPr>
          <w:rFonts w:hint="eastAsia"/>
          <w:kern w:val="0"/>
          <w:sz w:val="24"/>
        </w:rPr>
        <w:t>）如有确凿证据表明按上述方法进行估值不能客观反映其公允价值的，基金管理人可根据具体情况与基金托管人商定后，按最能反映公允价值的价格估值。</w:t>
      </w:r>
    </w:p>
    <w:p w:rsidR="00783788" w:rsidRDefault="002C6E18">
      <w:pPr>
        <w:widowControl/>
        <w:adjustRightInd w:val="0"/>
        <w:snapToGrid w:val="0"/>
        <w:spacing w:line="360" w:lineRule="auto"/>
        <w:ind w:firstLineChars="200" w:firstLine="480"/>
        <w:rPr>
          <w:kern w:val="0"/>
          <w:sz w:val="24"/>
        </w:rPr>
      </w:pPr>
      <w:r>
        <w:rPr>
          <w:rFonts w:hint="eastAsia"/>
          <w:kern w:val="0"/>
          <w:sz w:val="24"/>
        </w:rPr>
        <w:t>6</w:t>
      </w:r>
      <w:r>
        <w:rPr>
          <w:rFonts w:hint="eastAsia"/>
          <w:kern w:val="0"/>
          <w:sz w:val="24"/>
        </w:rPr>
        <w:t>）相关法律法规以及监管部门有强制规定的，从其规定。如有新增事项，按国家最新规定估值。</w:t>
      </w:r>
    </w:p>
    <w:p w:rsidR="00783788" w:rsidRDefault="002C6E18">
      <w:pPr>
        <w:widowControl/>
        <w:adjustRightInd w:val="0"/>
        <w:snapToGrid w:val="0"/>
        <w:spacing w:line="360" w:lineRule="auto"/>
        <w:ind w:firstLineChars="200" w:firstLine="480"/>
        <w:rPr>
          <w:kern w:val="0"/>
          <w:sz w:val="24"/>
        </w:rPr>
      </w:pPr>
      <w:r>
        <w:rPr>
          <w:rFonts w:hint="eastAsia"/>
          <w:kern w:val="0"/>
          <w:sz w:val="24"/>
        </w:rPr>
        <w:t>如基金管理人或基金托管人发现基金估值违反基金合同订明的估值方法、程序及相关法律法规的规定或者未能充分维护基金份额持有人利益时，应立即通知对方，共同查明原因，双方协商解决，以约定的方法、程序和相关法律法规的规定进行估值，以维护基金份额持有人的利益。</w:t>
      </w:r>
    </w:p>
    <w:p w:rsidR="00783788" w:rsidRDefault="002C6E18">
      <w:pPr>
        <w:widowControl/>
        <w:adjustRightInd w:val="0"/>
        <w:snapToGrid w:val="0"/>
        <w:spacing w:line="360" w:lineRule="auto"/>
        <w:ind w:firstLineChars="200" w:firstLine="480"/>
        <w:rPr>
          <w:kern w:val="0"/>
          <w:sz w:val="24"/>
        </w:rPr>
      </w:pPr>
      <w:r>
        <w:rPr>
          <w:rFonts w:hint="eastAsia"/>
          <w:kern w:val="0"/>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783788" w:rsidRDefault="002C6E18">
      <w:pPr>
        <w:widowControl/>
        <w:adjustRightInd w:val="0"/>
        <w:snapToGrid w:val="0"/>
        <w:spacing w:line="360" w:lineRule="auto"/>
        <w:ind w:firstLineChars="200" w:firstLine="480"/>
        <w:rPr>
          <w:kern w:val="0"/>
          <w:sz w:val="24"/>
        </w:rPr>
      </w:pPr>
      <w:r>
        <w:rPr>
          <w:rFonts w:hint="eastAsia"/>
          <w:kern w:val="0"/>
          <w:sz w:val="24"/>
        </w:rPr>
        <w:t>（</w:t>
      </w:r>
      <w:r>
        <w:rPr>
          <w:rFonts w:hint="eastAsia"/>
          <w:kern w:val="0"/>
          <w:sz w:val="24"/>
        </w:rPr>
        <w:t>3</w:t>
      </w:r>
      <w:r>
        <w:rPr>
          <w:rFonts w:hint="eastAsia"/>
          <w:kern w:val="0"/>
          <w:sz w:val="24"/>
        </w:rPr>
        <w:t>）特殊情形的处理</w:t>
      </w:r>
    </w:p>
    <w:p w:rsidR="00783788" w:rsidRDefault="002C6E18">
      <w:pPr>
        <w:widowControl/>
        <w:adjustRightInd w:val="0"/>
        <w:snapToGrid w:val="0"/>
        <w:spacing w:line="360" w:lineRule="auto"/>
        <w:ind w:firstLineChars="200" w:firstLine="480"/>
        <w:rPr>
          <w:kern w:val="0"/>
          <w:sz w:val="24"/>
        </w:rPr>
      </w:pPr>
      <w:r>
        <w:rPr>
          <w:rFonts w:hint="eastAsia"/>
          <w:kern w:val="0"/>
          <w:sz w:val="24"/>
        </w:rPr>
        <w:t>1</w:t>
      </w:r>
      <w:r>
        <w:rPr>
          <w:rFonts w:hint="eastAsia"/>
          <w:kern w:val="0"/>
          <w:sz w:val="24"/>
        </w:rPr>
        <w:t>）基金管理人、基金托管人按估值方法的第</w:t>
      </w:r>
      <w:r>
        <w:rPr>
          <w:rFonts w:hint="eastAsia"/>
          <w:kern w:val="0"/>
          <w:sz w:val="24"/>
        </w:rPr>
        <w:t>5</w:t>
      </w:r>
      <w:r>
        <w:rPr>
          <w:rFonts w:hint="eastAsia"/>
          <w:kern w:val="0"/>
          <w:sz w:val="24"/>
        </w:rPr>
        <w:t>）项进行估值时，所造成的误差不作为基金份额净值错误处理。</w:t>
      </w:r>
    </w:p>
    <w:p w:rsidR="00783788" w:rsidRDefault="002C6E18">
      <w:pPr>
        <w:widowControl/>
        <w:adjustRightInd w:val="0"/>
        <w:snapToGrid w:val="0"/>
        <w:spacing w:line="360" w:lineRule="auto"/>
        <w:ind w:firstLineChars="200" w:firstLine="480"/>
        <w:rPr>
          <w:kern w:val="0"/>
          <w:sz w:val="24"/>
        </w:rPr>
      </w:pPr>
      <w:r>
        <w:rPr>
          <w:rFonts w:hint="eastAsia"/>
          <w:kern w:val="0"/>
          <w:sz w:val="24"/>
        </w:rPr>
        <w:t>2</w:t>
      </w:r>
      <w:r>
        <w:rPr>
          <w:rFonts w:hint="eastAsia"/>
          <w:kern w:val="0"/>
          <w:sz w:val="24"/>
        </w:rPr>
        <w:t>）由于不可抗力原因，或由于证券交易所或登记结算公司发送的数据错误，或国家会计政策变更、市场规则变更等，基金管理人和基金托管人虽然已经采取必要、适当、合理的措施进行检查，但未能发现该错误的，由此造成的基金资产估值错误，基金管理人和基金托管人免除赔偿责任。但基金管理人、基金托管人应积极采取必要的措施消除由此造成的影响。</w:t>
      </w:r>
    </w:p>
    <w:p w:rsidR="00783788" w:rsidRDefault="002C6E18">
      <w:pPr>
        <w:widowControl/>
        <w:adjustRightInd w:val="0"/>
        <w:snapToGrid w:val="0"/>
        <w:spacing w:line="360" w:lineRule="auto"/>
        <w:ind w:firstLineChars="200" w:firstLine="480"/>
        <w:jc w:val="left"/>
        <w:rPr>
          <w:kern w:val="0"/>
          <w:sz w:val="24"/>
        </w:rPr>
      </w:pPr>
      <w:r>
        <w:rPr>
          <w:kern w:val="0"/>
          <w:sz w:val="24"/>
        </w:rPr>
        <w:t>3</w:t>
      </w:r>
      <w:r>
        <w:rPr>
          <w:rFonts w:hAnsi="宋体"/>
          <w:kern w:val="0"/>
          <w:sz w:val="24"/>
        </w:rPr>
        <w:t>、</w:t>
      </w:r>
      <w:r>
        <w:rPr>
          <w:rFonts w:hAnsi="宋体"/>
          <w:sz w:val="24"/>
          <w:szCs w:val="24"/>
        </w:rPr>
        <w:t>基金估值错误的处理方式</w:t>
      </w:r>
    </w:p>
    <w:p w:rsidR="00783788" w:rsidRDefault="002C6E18">
      <w:pPr>
        <w:widowControl/>
        <w:adjustRightInd w:val="0"/>
        <w:snapToGrid w:val="0"/>
        <w:spacing w:line="360" w:lineRule="auto"/>
        <w:ind w:firstLineChars="200" w:firstLine="480"/>
        <w:jc w:val="left"/>
        <w:rPr>
          <w:rFonts w:hAnsi="宋体"/>
          <w:sz w:val="24"/>
          <w:szCs w:val="24"/>
        </w:rPr>
      </w:pPr>
      <w:r>
        <w:rPr>
          <w:rFonts w:hAnsi="宋体" w:hint="eastAsia"/>
          <w:sz w:val="24"/>
          <w:szCs w:val="24"/>
        </w:rPr>
        <w:t>（</w:t>
      </w:r>
      <w:r>
        <w:rPr>
          <w:rFonts w:hAnsi="宋体" w:hint="eastAsia"/>
          <w:sz w:val="24"/>
          <w:szCs w:val="24"/>
        </w:rPr>
        <w:t>1</w:t>
      </w:r>
      <w:r>
        <w:rPr>
          <w:rFonts w:hAnsi="宋体" w:hint="eastAsia"/>
          <w:sz w:val="24"/>
          <w:szCs w:val="24"/>
        </w:rPr>
        <w:t>）当基金份额净值小数点后</w:t>
      </w:r>
      <w:r>
        <w:rPr>
          <w:rFonts w:hAnsi="宋体" w:hint="eastAsia"/>
          <w:sz w:val="24"/>
          <w:szCs w:val="24"/>
        </w:rPr>
        <w:t>3</w:t>
      </w:r>
      <w:r>
        <w:rPr>
          <w:rFonts w:hAnsi="宋体" w:hint="eastAsia"/>
          <w:sz w:val="24"/>
          <w:szCs w:val="24"/>
        </w:rPr>
        <w:t>位以内（含第</w:t>
      </w:r>
      <w:r>
        <w:rPr>
          <w:rFonts w:hAnsi="宋体" w:hint="eastAsia"/>
          <w:sz w:val="24"/>
          <w:szCs w:val="24"/>
        </w:rPr>
        <w:t>3</w:t>
      </w:r>
      <w:r>
        <w:rPr>
          <w:rFonts w:hAnsi="宋体" w:hint="eastAsia"/>
          <w:sz w:val="24"/>
          <w:szCs w:val="24"/>
        </w:rPr>
        <w:t>位）发生估值错误时，视为基金份额净值错误；基金份额净值出现错误时，基金管理人应当立即予以纠正，通报基金托管人，并采取合理的措施防止损失进一步扩大；错误偏差达到或超过基金份额净值的</w:t>
      </w:r>
      <w:r>
        <w:rPr>
          <w:rFonts w:hAnsi="宋体" w:hint="eastAsia"/>
          <w:sz w:val="24"/>
          <w:szCs w:val="24"/>
        </w:rPr>
        <w:t>0.25%</w:t>
      </w:r>
      <w:r>
        <w:rPr>
          <w:rFonts w:hAnsi="宋体" w:hint="eastAsia"/>
          <w:sz w:val="24"/>
          <w:szCs w:val="24"/>
        </w:rPr>
        <w:t>时，基金管理人应当及时通知基金托管人并报中国证监会；错误偏差达到基金份额净值的</w:t>
      </w:r>
      <w:r>
        <w:rPr>
          <w:rFonts w:hAnsi="宋体" w:hint="eastAsia"/>
          <w:sz w:val="24"/>
          <w:szCs w:val="24"/>
        </w:rPr>
        <w:t>0.50%</w:t>
      </w:r>
      <w:r>
        <w:rPr>
          <w:rFonts w:hAnsi="宋体" w:hint="eastAsia"/>
          <w:sz w:val="24"/>
          <w:szCs w:val="24"/>
        </w:rPr>
        <w:t>时，基金管理人应当公告、通报基金托管人并报中国证监会备案；当发生基金份额净值错误时，由基金管理人负责处理，由此给基金份额持有人和基金造成损失的，应由基金管理人先行赔付，基金管理人按差错情形，有权向其他当事人追偿。</w:t>
      </w:r>
    </w:p>
    <w:p w:rsidR="00783788" w:rsidRDefault="002C6E18">
      <w:pPr>
        <w:widowControl/>
        <w:adjustRightInd w:val="0"/>
        <w:snapToGrid w:val="0"/>
        <w:spacing w:line="360" w:lineRule="auto"/>
        <w:ind w:firstLineChars="200" w:firstLine="480"/>
        <w:jc w:val="left"/>
        <w:rPr>
          <w:rFonts w:hAnsi="宋体"/>
          <w:sz w:val="24"/>
          <w:szCs w:val="24"/>
        </w:rPr>
      </w:pPr>
      <w:r>
        <w:rPr>
          <w:rFonts w:hAnsi="宋体" w:hint="eastAsia"/>
          <w:sz w:val="24"/>
          <w:szCs w:val="24"/>
        </w:rPr>
        <w:t>（</w:t>
      </w:r>
      <w:r>
        <w:rPr>
          <w:rFonts w:hAnsi="宋体" w:hint="eastAsia"/>
          <w:sz w:val="24"/>
          <w:szCs w:val="24"/>
        </w:rPr>
        <w:t>2</w:t>
      </w:r>
      <w:r>
        <w:rPr>
          <w:rFonts w:hAnsi="宋体" w:hint="eastAsia"/>
          <w:sz w:val="24"/>
          <w:szCs w:val="24"/>
        </w:rPr>
        <w:t>）当基金份额净值错误给基金和基金份额持有人造成损失需要进行赔偿时，基金管理人和基金托管人应根据实际情况界定双方承担的责任，经确认后按以下条款进行赔偿：</w:t>
      </w:r>
    </w:p>
    <w:p w:rsidR="00783788" w:rsidRDefault="002C6E18">
      <w:pPr>
        <w:widowControl/>
        <w:adjustRightInd w:val="0"/>
        <w:snapToGrid w:val="0"/>
        <w:spacing w:line="360" w:lineRule="auto"/>
        <w:ind w:firstLineChars="200" w:firstLine="480"/>
        <w:jc w:val="left"/>
        <w:rPr>
          <w:rFonts w:hAnsi="宋体"/>
          <w:sz w:val="24"/>
          <w:szCs w:val="24"/>
        </w:rPr>
      </w:pPr>
      <w:r>
        <w:rPr>
          <w:rFonts w:hAnsi="宋体" w:hint="eastAsia"/>
          <w:sz w:val="24"/>
          <w:szCs w:val="24"/>
        </w:rPr>
        <w:t>1</w:t>
      </w:r>
      <w:r>
        <w:rPr>
          <w:rFonts w:hAnsi="宋体" w:hint="eastAsia"/>
          <w:sz w:val="24"/>
          <w:szCs w:val="24"/>
        </w:rPr>
        <w:t>）本基金的基金会计责任方由基金管理人担任。与本基金有关的会计问题，如经双方在平等基础上充分讨论后，尚不能达成一致时，按基金会计责任方的建议执行，由此给基金份额持有人和基金造成的损失，由基金管理人负责赔付。</w:t>
      </w:r>
    </w:p>
    <w:p w:rsidR="00783788" w:rsidRDefault="002C6E18">
      <w:pPr>
        <w:widowControl/>
        <w:adjustRightInd w:val="0"/>
        <w:snapToGrid w:val="0"/>
        <w:spacing w:line="360" w:lineRule="auto"/>
        <w:ind w:firstLineChars="200" w:firstLine="480"/>
        <w:jc w:val="left"/>
        <w:rPr>
          <w:rFonts w:hAnsi="宋体"/>
          <w:sz w:val="24"/>
          <w:szCs w:val="24"/>
        </w:rPr>
      </w:pPr>
      <w:r>
        <w:rPr>
          <w:rFonts w:hAnsi="宋体" w:hint="eastAsia"/>
          <w:sz w:val="24"/>
          <w:szCs w:val="24"/>
        </w:rPr>
        <w:t>2</w:t>
      </w:r>
      <w:r>
        <w:rPr>
          <w:rFonts w:hAnsi="宋体" w:hint="eastAsia"/>
          <w:sz w:val="24"/>
          <w:szCs w:val="24"/>
        </w:rPr>
        <w:t>）若基金管理人计算的基金份额净值已由基金托管人复核确认后公告，而且基金托管人未对计算过程提出疑义或要求基金管理人书面说明，基金份额净值错误且造成基金份额持有人损失的，应根据法律法规的规定对基金份额持有人或基金支付赔偿金，就实际向基金份额持有人或基金支付的赔偿金额，其中基金管理人承担</w:t>
      </w:r>
      <w:r>
        <w:rPr>
          <w:rFonts w:hAnsi="宋体" w:hint="eastAsia"/>
          <w:sz w:val="24"/>
          <w:szCs w:val="24"/>
        </w:rPr>
        <w:t>50%</w:t>
      </w:r>
      <w:r>
        <w:rPr>
          <w:rFonts w:hAnsi="宋体" w:hint="eastAsia"/>
          <w:sz w:val="24"/>
          <w:szCs w:val="24"/>
        </w:rPr>
        <w:t>，基金托管人承担</w:t>
      </w:r>
      <w:r>
        <w:rPr>
          <w:rFonts w:hAnsi="宋体" w:hint="eastAsia"/>
          <w:sz w:val="24"/>
          <w:szCs w:val="24"/>
        </w:rPr>
        <w:t>50%</w:t>
      </w:r>
      <w:r>
        <w:rPr>
          <w:rFonts w:hAnsi="宋体" w:hint="eastAsia"/>
          <w:sz w:val="24"/>
          <w:szCs w:val="24"/>
        </w:rPr>
        <w:t>。</w:t>
      </w:r>
    </w:p>
    <w:p w:rsidR="00783788" w:rsidRDefault="002C6E18">
      <w:pPr>
        <w:widowControl/>
        <w:adjustRightInd w:val="0"/>
        <w:snapToGrid w:val="0"/>
        <w:spacing w:line="360" w:lineRule="auto"/>
        <w:ind w:firstLineChars="200" w:firstLine="480"/>
        <w:jc w:val="left"/>
        <w:rPr>
          <w:rFonts w:hAnsi="宋体"/>
          <w:sz w:val="24"/>
          <w:szCs w:val="24"/>
        </w:rPr>
      </w:pPr>
      <w:r>
        <w:rPr>
          <w:rFonts w:hAnsi="宋体" w:hint="eastAsia"/>
          <w:sz w:val="24"/>
          <w:szCs w:val="24"/>
        </w:rPr>
        <w:t>3</w:t>
      </w:r>
      <w:r>
        <w:rPr>
          <w:rFonts w:hAnsi="宋体" w:hint="eastAsia"/>
          <w:sz w:val="24"/>
          <w:szCs w:val="24"/>
        </w:rPr>
        <w:t>）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rsidR="00783788" w:rsidRDefault="002C6E18">
      <w:pPr>
        <w:widowControl/>
        <w:adjustRightInd w:val="0"/>
        <w:snapToGrid w:val="0"/>
        <w:spacing w:line="360" w:lineRule="auto"/>
        <w:ind w:firstLineChars="200" w:firstLine="480"/>
        <w:jc w:val="left"/>
        <w:rPr>
          <w:rFonts w:hAnsi="宋体"/>
          <w:sz w:val="24"/>
          <w:szCs w:val="24"/>
        </w:rPr>
      </w:pPr>
      <w:r>
        <w:rPr>
          <w:rFonts w:hAnsi="宋体" w:hint="eastAsia"/>
          <w:sz w:val="24"/>
          <w:szCs w:val="24"/>
        </w:rPr>
        <w:t>4</w:t>
      </w:r>
      <w:r>
        <w:rPr>
          <w:rFonts w:hAnsi="宋体" w:hint="eastAsia"/>
          <w:sz w:val="24"/>
          <w:szCs w:val="24"/>
        </w:rPr>
        <w:t>）由于基金管理人提供的信息错误（包括但不限于基金申购或赎回金额等），基金托管人在履行正常的复核程序后仍不能发现该错误，进而导致基金份额净值错误而引起的基金份额持有人和基金财产的损失，由基金管理人负责赔付。</w:t>
      </w:r>
    </w:p>
    <w:p w:rsidR="00783788" w:rsidRDefault="002C6E18">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sz w:val="24"/>
          <w:szCs w:val="24"/>
        </w:rPr>
        <w:t>3</w:t>
      </w:r>
      <w:r>
        <w:rPr>
          <w:rFonts w:ascii="宋体" w:hAnsi="宋体" w:hint="eastAsia"/>
          <w:sz w:val="24"/>
          <w:szCs w:val="24"/>
        </w:rPr>
        <w:t>）</w:t>
      </w:r>
      <w:r>
        <w:rPr>
          <w:rFonts w:ascii="宋体" w:hAnsi="宋体"/>
          <w:sz w:val="24"/>
          <w:szCs w:val="24"/>
        </w:rPr>
        <w:t>基金管理人和基金托管人由于各自技术系统设置而产生的净值计算尾差，以基金管理人计算结果为准。</w:t>
      </w:r>
    </w:p>
    <w:p w:rsidR="00783788" w:rsidRDefault="002C6E18">
      <w:pPr>
        <w:widowControl/>
        <w:adjustRightInd w:val="0"/>
        <w:snapToGrid w:val="0"/>
        <w:spacing w:line="360" w:lineRule="auto"/>
        <w:ind w:firstLineChars="200" w:firstLine="480"/>
        <w:jc w:val="left"/>
        <w:rPr>
          <w:kern w:val="0"/>
          <w:sz w:val="24"/>
        </w:rPr>
      </w:pPr>
      <w:r>
        <w:rPr>
          <w:rFonts w:ascii="宋体" w:hAnsi="宋体" w:hint="eastAsia"/>
          <w:sz w:val="24"/>
          <w:szCs w:val="24"/>
        </w:rPr>
        <w:t>（</w:t>
      </w:r>
      <w:r>
        <w:rPr>
          <w:rFonts w:ascii="宋体" w:hAnsi="宋体"/>
          <w:sz w:val="24"/>
          <w:szCs w:val="24"/>
        </w:rPr>
        <w:t>4</w:t>
      </w:r>
      <w:r>
        <w:rPr>
          <w:rFonts w:ascii="宋体" w:hAnsi="宋体" w:hint="eastAsia"/>
          <w:sz w:val="24"/>
          <w:szCs w:val="24"/>
        </w:rPr>
        <w:t>）</w:t>
      </w:r>
      <w:r>
        <w:rPr>
          <w:rFonts w:ascii="宋体" w:hAnsi="宋体"/>
          <w:sz w:val="24"/>
          <w:szCs w:val="24"/>
        </w:rPr>
        <w:t>前述内容如法律法规或监管机关另有规定的，从其规定处理。如果行业有通行做法，双方当事人应本着平等和保护基金份额持有人利益的原则进行协商。</w:t>
      </w:r>
    </w:p>
    <w:p w:rsidR="00783788" w:rsidRDefault="002C6E18">
      <w:pPr>
        <w:widowControl/>
        <w:adjustRightInd w:val="0"/>
        <w:snapToGrid w:val="0"/>
        <w:spacing w:line="360" w:lineRule="auto"/>
        <w:ind w:firstLineChars="200" w:firstLine="480"/>
        <w:rPr>
          <w:kern w:val="0"/>
          <w:sz w:val="24"/>
        </w:rPr>
      </w:pPr>
      <w:r>
        <w:rPr>
          <w:kern w:val="0"/>
          <w:sz w:val="24"/>
        </w:rPr>
        <w:t>4</w:t>
      </w:r>
      <w:r>
        <w:rPr>
          <w:rFonts w:hAnsi="宋体"/>
          <w:kern w:val="0"/>
          <w:sz w:val="24"/>
        </w:rPr>
        <w:t>、</w:t>
      </w:r>
      <w:r>
        <w:rPr>
          <w:rFonts w:hAnsi="宋体"/>
          <w:sz w:val="24"/>
          <w:szCs w:val="24"/>
        </w:rPr>
        <w:t>暂停估值与公告基金份额净值的情形</w:t>
      </w:r>
    </w:p>
    <w:p w:rsidR="00783788" w:rsidRDefault="002C6E18">
      <w:pPr>
        <w:widowControl/>
        <w:adjustRightInd w:val="0"/>
        <w:snapToGrid w:val="0"/>
        <w:spacing w:line="360" w:lineRule="auto"/>
        <w:ind w:firstLineChars="200" w:firstLine="480"/>
        <w:jc w:val="left"/>
        <w:rPr>
          <w:rFonts w:ascii="宋体" w:hAnsi="宋体"/>
          <w:sz w:val="24"/>
          <w:szCs w:val="24"/>
        </w:rPr>
      </w:pPr>
      <w:r>
        <w:rPr>
          <w:rFonts w:ascii="宋体" w:hAnsi="宋体"/>
          <w:sz w:val="24"/>
          <w:szCs w:val="24"/>
        </w:rPr>
        <w:t>（1）基金投资所涉及的证券交易市场遇法定节假日或因其他原因暂停营业时；</w:t>
      </w:r>
    </w:p>
    <w:p w:rsidR="00783788" w:rsidRDefault="002C6E18">
      <w:pPr>
        <w:widowControl/>
        <w:adjustRightInd w:val="0"/>
        <w:snapToGrid w:val="0"/>
        <w:spacing w:line="360" w:lineRule="auto"/>
        <w:ind w:firstLineChars="200" w:firstLine="480"/>
        <w:jc w:val="left"/>
        <w:rPr>
          <w:rFonts w:ascii="宋体" w:hAnsi="宋体"/>
          <w:sz w:val="24"/>
          <w:szCs w:val="24"/>
        </w:rPr>
      </w:pPr>
      <w:r>
        <w:rPr>
          <w:rFonts w:ascii="宋体" w:hAnsi="宋体"/>
          <w:sz w:val="24"/>
          <w:szCs w:val="24"/>
        </w:rPr>
        <w:t>（2）因不可抗力致使基金管理人、基金托管人无法准确评估基金资产价值时；</w:t>
      </w:r>
    </w:p>
    <w:p w:rsidR="00783788" w:rsidRDefault="002C6E18">
      <w:pPr>
        <w:widowControl/>
        <w:adjustRightInd w:val="0"/>
        <w:snapToGrid w:val="0"/>
        <w:spacing w:line="360" w:lineRule="auto"/>
        <w:ind w:firstLineChars="200" w:firstLine="480"/>
        <w:jc w:val="left"/>
        <w:rPr>
          <w:rFonts w:ascii="宋体" w:hAnsi="宋体"/>
          <w:sz w:val="24"/>
          <w:szCs w:val="24"/>
        </w:rPr>
      </w:pPr>
      <w:r>
        <w:rPr>
          <w:rFonts w:ascii="宋体" w:hAnsi="宋体"/>
          <w:sz w:val="24"/>
          <w:szCs w:val="24"/>
        </w:rPr>
        <w:t>（3）占基金相当比例的投资品种的估值出现重大转变，而基金管理人为保障基金份额持有人的利益，决定延迟估值时；</w:t>
      </w:r>
    </w:p>
    <w:p w:rsidR="00783788" w:rsidRDefault="002C6E18">
      <w:pPr>
        <w:widowControl/>
        <w:adjustRightInd w:val="0"/>
        <w:snapToGrid w:val="0"/>
        <w:spacing w:line="360" w:lineRule="auto"/>
        <w:ind w:firstLineChars="200" w:firstLine="480"/>
        <w:jc w:val="left"/>
        <w:rPr>
          <w:rFonts w:ascii="宋体" w:hAnsi="宋体"/>
          <w:sz w:val="24"/>
          <w:szCs w:val="24"/>
        </w:rPr>
      </w:pPr>
      <w:r>
        <w:rPr>
          <w:rFonts w:ascii="宋体" w:hAnsi="宋体"/>
          <w:sz w:val="24"/>
          <w:szCs w:val="24"/>
        </w:rPr>
        <w:t>（4）中国证监会和基金合同认定的其他情形。</w:t>
      </w:r>
    </w:p>
    <w:p w:rsidR="00783788" w:rsidRDefault="002C6E18">
      <w:pPr>
        <w:widowControl/>
        <w:adjustRightInd w:val="0"/>
        <w:snapToGrid w:val="0"/>
        <w:spacing w:line="360" w:lineRule="auto"/>
        <w:ind w:firstLineChars="200" w:firstLine="480"/>
        <w:rPr>
          <w:kern w:val="0"/>
          <w:sz w:val="24"/>
        </w:rPr>
      </w:pPr>
      <w:r>
        <w:rPr>
          <w:kern w:val="0"/>
          <w:sz w:val="24"/>
        </w:rPr>
        <w:t>5</w:t>
      </w:r>
      <w:r>
        <w:rPr>
          <w:rFonts w:hAnsi="宋体"/>
          <w:kern w:val="0"/>
          <w:sz w:val="24"/>
        </w:rPr>
        <w:t>、</w:t>
      </w:r>
      <w:r>
        <w:rPr>
          <w:rFonts w:hAnsi="宋体"/>
          <w:sz w:val="24"/>
          <w:szCs w:val="24"/>
        </w:rPr>
        <w:t>基金会计制度</w:t>
      </w:r>
      <w:bookmarkStart w:id="108" w:name="_Toc311810257"/>
    </w:p>
    <w:p w:rsidR="00783788" w:rsidRDefault="002C6E18">
      <w:pPr>
        <w:widowControl/>
        <w:adjustRightInd w:val="0"/>
        <w:snapToGrid w:val="0"/>
        <w:spacing w:line="360" w:lineRule="auto"/>
        <w:ind w:firstLineChars="200" w:firstLine="480"/>
        <w:rPr>
          <w:sz w:val="24"/>
          <w:szCs w:val="24"/>
        </w:rPr>
      </w:pPr>
      <w:r>
        <w:rPr>
          <w:rFonts w:ascii="宋体" w:hAnsi="宋体"/>
          <w:sz w:val="24"/>
          <w:szCs w:val="24"/>
        </w:rPr>
        <w:t>按国家有关部门规定的会计制度执行。</w:t>
      </w:r>
    </w:p>
    <w:p w:rsidR="00783788" w:rsidRDefault="002C6E18">
      <w:pPr>
        <w:widowControl/>
        <w:adjustRightInd w:val="0"/>
        <w:snapToGrid w:val="0"/>
        <w:spacing w:line="360" w:lineRule="auto"/>
        <w:ind w:firstLineChars="200" w:firstLine="480"/>
        <w:rPr>
          <w:sz w:val="24"/>
          <w:szCs w:val="24"/>
        </w:rPr>
      </w:pPr>
      <w:r>
        <w:rPr>
          <w:sz w:val="24"/>
          <w:szCs w:val="24"/>
        </w:rPr>
        <w:t>6</w:t>
      </w:r>
      <w:r>
        <w:rPr>
          <w:rFonts w:hAnsi="宋体"/>
          <w:sz w:val="24"/>
          <w:szCs w:val="24"/>
        </w:rPr>
        <w:t>、基金账册的建立</w:t>
      </w:r>
    </w:p>
    <w:p w:rsidR="00783788" w:rsidRDefault="002C6E18">
      <w:pPr>
        <w:widowControl/>
        <w:adjustRightInd w:val="0"/>
        <w:snapToGrid w:val="0"/>
        <w:spacing w:line="360" w:lineRule="auto"/>
        <w:ind w:firstLineChars="200" w:firstLine="480"/>
        <w:rPr>
          <w:sz w:val="24"/>
          <w:szCs w:val="24"/>
        </w:rPr>
      </w:pPr>
      <w:r>
        <w:rPr>
          <w:rFonts w:ascii="宋体" w:hAnsi="宋体" w:hint="eastAsia"/>
          <w:sz w:val="24"/>
          <w:szCs w:val="24"/>
        </w:rPr>
        <w:t>基金管理人进行基金会计核算并编制基金财务会计报告。基金管理人独立地设置、记录和保管本基金的全套账册。基金托管人按规定制作相关账册并与基金管理人核对。若基金管理人和基金托管人对会计处理方法存在分歧，应以基金管理人的处理方法为准。若当日核对不符，暂时无法查找到错账的原因而影响到基金资产净值的计算和公告的，以基金管理人的账册为准。</w:t>
      </w:r>
    </w:p>
    <w:p w:rsidR="00783788" w:rsidRDefault="002C6E18">
      <w:pPr>
        <w:widowControl/>
        <w:adjustRightInd w:val="0"/>
        <w:snapToGrid w:val="0"/>
        <w:spacing w:line="360" w:lineRule="auto"/>
        <w:ind w:firstLineChars="200" w:firstLine="480"/>
        <w:rPr>
          <w:sz w:val="24"/>
          <w:szCs w:val="24"/>
        </w:rPr>
      </w:pPr>
      <w:r>
        <w:rPr>
          <w:sz w:val="24"/>
          <w:szCs w:val="24"/>
        </w:rPr>
        <w:t>7</w:t>
      </w:r>
      <w:r>
        <w:rPr>
          <w:rFonts w:hAnsi="宋体"/>
          <w:sz w:val="24"/>
          <w:szCs w:val="24"/>
        </w:rPr>
        <w:t>、基金财务报表与报告的编制和复核</w:t>
      </w:r>
    </w:p>
    <w:p w:rsidR="00783788" w:rsidRDefault="002C6E18">
      <w:pPr>
        <w:widowControl/>
        <w:adjustRightInd w:val="0"/>
        <w:snapToGrid w:val="0"/>
        <w:spacing w:line="360" w:lineRule="auto"/>
        <w:ind w:firstLineChars="200" w:firstLine="480"/>
        <w:rPr>
          <w:rFonts w:hAnsi="宋体"/>
          <w:sz w:val="24"/>
          <w:szCs w:val="24"/>
        </w:rPr>
      </w:pPr>
      <w:r>
        <w:rPr>
          <w:rFonts w:hAnsi="宋体" w:hint="eastAsia"/>
          <w:sz w:val="24"/>
          <w:szCs w:val="24"/>
        </w:rPr>
        <w:t>（</w:t>
      </w:r>
      <w:r>
        <w:rPr>
          <w:rFonts w:hAnsi="宋体" w:hint="eastAsia"/>
          <w:sz w:val="24"/>
          <w:szCs w:val="24"/>
        </w:rPr>
        <w:t>1</w:t>
      </w:r>
      <w:r>
        <w:rPr>
          <w:rFonts w:hAnsi="宋体" w:hint="eastAsia"/>
          <w:sz w:val="24"/>
          <w:szCs w:val="24"/>
        </w:rPr>
        <w:t>）财务报表的编制</w:t>
      </w:r>
    </w:p>
    <w:p w:rsidR="00783788" w:rsidRDefault="002C6E18">
      <w:pPr>
        <w:widowControl/>
        <w:adjustRightInd w:val="0"/>
        <w:snapToGrid w:val="0"/>
        <w:spacing w:line="360" w:lineRule="auto"/>
        <w:ind w:firstLineChars="200" w:firstLine="480"/>
        <w:rPr>
          <w:rFonts w:hAnsi="宋体"/>
          <w:sz w:val="24"/>
          <w:szCs w:val="24"/>
        </w:rPr>
      </w:pPr>
      <w:r>
        <w:rPr>
          <w:rFonts w:hAnsi="宋体" w:hint="eastAsia"/>
          <w:sz w:val="24"/>
          <w:szCs w:val="24"/>
        </w:rPr>
        <w:t>基金管理人应当及时编制并对外提供真实、完整的基金财务会计报告。月度报表的编制，基金管理人应于每月终了后</w:t>
      </w:r>
      <w:r>
        <w:rPr>
          <w:rFonts w:hAnsi="宋体" w:hint="eastAsia"/>
          <w:sz w:val="24"/>
          <w:szCs w:val="24"/>
        </w:rPr>
        <w:t>5</w:t>
      </w:r>
      <w:r>
        <w:rPr>
          <w:rFonts w:hAnsi="宋体" w:hint="eastAsia"/>
          <w:sz w:val="24"/>
          <w:szCs w:val="24"/>
        </w:rPr>
        <w:t>个工作日内完成；季度报告应在每个季度结束之日起</w:t>
      </w:r>
      <w:r>
        <w:rPr>
          <w:rFonts w:hAnsi="宋体" w:hint="eastAsia"/>
          <w:sz w:val="24"/>
          <w:szCs w:val="24"/>
        </w:rPr>
        <w:t>15</w:t>
      </w:r>
      <w:r>
        <w:rPr>
          <w:rFonts w:hAnsi="宋体" w:hint="eastAsia"/>
          <w:sz w:val="24"/>
          <w:szCs w:val="24"/>
        </w:rPr>
        <w:t>个工作日内编制完毕并予以公告；半年度报告在会计年度半年终了后</w:t>
      </w:r>
      <w:r>
        <w:rPr>
          <w:rFonts w:hAnsi="宋体" w:hint="eastAsia"/>
          <w:sz w:val="24"/>
          <w:szCs w:val="24"/>
        </w:rPr>
        <w:t>60</w:t>
      </w:r>
      <w:r>
        <w:rPr>
          <w:rFonts w:hAnsi="宋体" w:hint="eastAsia"/>
          <w:sz w:val="24"/>
          <w:szCs w:val="24"/>
        </w:rPr>
        <w:t>日内编制完毕并予以公告；年度报告在会计年度结束后</w:t>
      </w:r>
      <w:r>
        <w:rPr>
          <w:rFonts w:hAnsi="宋体" w:hint="eastAsia"/>
          <w:sz w:val="24"/>
          <w:szCs w:val="24"/>
        </w:rPr>
        <w:t>90</w:t>
      </w:r>
      <w:r>
        <w:rPr>
          <w:rFonts w:hAnsi="宋体" w:hint="eastAsia"/>
          <w:sz w:val="24"/>
          <w:szCs w:val="24"/>
        </w:rPr>
        <w:t>日内编制完毕并予以公告。基金合同生效不足</w:t>
      </w:r>
      <w:r>
        <w:rPr>
          <w:rFonts w:hAnsi="宋体" w:hint="eastAsia"/>
          <w:sz w:val="24"/>
          <w:szCs w:val="24"/>
        </w:rPr>
        <w:t>2</w:t>
      </w:r>
      <w:r>
        <w:rPr>
          <w:rFonts w:hAnsi="宋体" w:hint="eastAsia"/>
          <w:sz w:val="24"/>
          <w:szCs w:val="24"/>
        </w:rPr>
        <w:t>个月的，基金管理人可以不编制当期季度报告、半年度报告或者年度报告。</w:t>
      </w:r>
    </w:p>
    <w:p w:rsidR="00783788" w:rsidRDefault="002C6E18">
      <w:pPr>
        <w:widowControl/>
        <w:adjustRightInd w:val="0"/>
        <w:snapToGrid w:val="0"/>
        <w:spacing w:line="360" w:lineRule="auto"/>
        <w:ind w:firstLineChars="200" w:firstLine="480"/>
        <w:rPr>
          <w:rFonts w:hAnsi="宋体"/>
          <w:sz w:val="24"/>
          <w:szCs w:val="24"/>
        </w:rPr>
      </w:pPr>
      <w:r>
        <w:rPr>
          <w:rFonts w:hAnsi="宋体" w:hint="eastAsia"/>
          <w:sz w:val="24"/>
          <w:szCs w:val="24"/>
        </w:rPr>
        <w:t>（</w:t>
      </w:r>
      <w:r>
        <w:rPr>
          <w:rFonts w:hAnsi="宋体" w:hint="eastAsia"/>
          <w:sz w:val="24"/>
          <w:szCs w:val="24"/>
        </w:rPr>
        <w:t>2</w:t>
      </w:r>
      <w:r>
        <w:rPr>
          <w:rFonts w:hAnsi="宋体" w:hint="eastAsia"/>
          <w:sz w:val="24"/>
          <w:szCs w:val="24"/>
        </w:rPr>
        <w:t>）报表复核</w:t>
      </w:r>
    </w:p>
    <w:p w:rsidR="00783788" w:rsidRDefault="002C6E18">
      <w:pPr>
        <w:widowControl/>
        <w:adjustRightInd w:val="0"/>
        <w:snapToGrid w:val="0"/>
        <w:spacing w:line="360" w:lineRule="auto"/>
        <w:ind w:firstLineChars="200" w:firstLine="480"/>
        <w:rPr>
          <w:rFonts w:hAnsi="宋体"/>
          <w:sz w:val="24"/>
          <w:szCs w:val="24"/>
        </w:rPr>
      </w:pPr>
      <w:r>
        <w:rPr>
          <w:rFonts w:hAnsi="宋体" w:hint="eastAsia"/>
          <w:sz w:val="24"/>
          <w:szCs w:val="24"/>
        </w:rPr>
        <w:t>基金管理人在报表或定期报告完成当日，对报表盖章后，以加密传真方式或双方书面商定的其他方式将有关报表提供基金托管人复核。</w:t>
      </w:r>
    </w:p>
    <w:p w:rsidR="00783788" w:rsidRDefault="002C6E18">
      <w:pPr>
        <w:widowControl/>
        <w:adjustRightInd w:val="0"/>
        <w:snapToGrid w:val="0"/>
        <w:spacing w:line="360" w:lineRule="auto"/>
        <w:ind w:firstLineChars="200" w:firstLine="480"/>
        <w:rPr>
          <w:rFonts w:hAnsi="宋体"/>
          <w:sz w:val="24"/>
          <w:szCs w:val="24"/>
        </w:rPr>
      </w:pPr>
      <w:r>
        <w:rPr>
          <w:rFonts w:hAnsi="宋体" w:hint="eastAsia"/>
          <w:sz w:val="24"/>
          <w:szCs w:val="24"/>
        </w:rPr>
        <w:t>基金管理人在月度报表完成当日，将报表盖章后提供给基金托管人复核；基金托管人在收到后应在</w:t>
      </w:r>
      <w:r>
        <w:rPr>
          <w:rFonts w:hAnsi="宋体" w:hint="eastAsia"/>
          <w:sz w:val="24"/>
          <w:szCs w:val="24"/>
        </w:rPr>
        <w:t>3</w:t>
      </w:r>
      <w:r>
        <w:rPr>
          <w:rFonts w:hAnsi="宋体" w:hint="eastAsia"/>
          <w:sz w:val="24"/>
          <w:szCs w:val="24"/>
        </w:rPr>
        <w:t>日内进行复核，并将复核结果书面通知基金管理人。基金管理人在季度报告完成当日，将有关报告提供给基金托管人复核，基金托管人应在收到后</w:t>
      </w:r>
      <w:r>
        <w:rPr>
          <w:rFonts w:hAnsi="宋体" w:hint="eastAsia"/>
          <w:sz w:val="24"/>
          <w:szCs w:val="24"/>
        </w:rPr>
        <w:t>7</w:t>
      </w:r>
      <w:r>
        <w:rPr>
          <w:rFonts w:hAnsi="宋体" w:hint="eastAsia"/>
          <w:sz w:val="24"/>
          <w:szCs w:val="24"/>
        </w:rPr>
        <w:t>个工作日内完成复核，并将复核结果书面通知基金管理人。基金管理人在半年度报告完成当日，将有关报告提供给基金托管人复核，基金托管人应在收到后</w:t>
      </w:r>
      <w:r>
        <w:rPr>
          <w:rFonts w:hAnsi="宋体" w:hint="eastAsia"/>
          <w:sz w:val="24"/>
          <w:szCs w:val="24"/>
        </w:rPr>
        <w:t>30</w:t>
      </w:r>
      <w:r>
        <w:rPr>
          <w:rFonts w:hAnsi="宋体" w:hint="eastAsia"/>
          <w:sz w:val="24"/>
          <w:szCs w:val="24"/>
        </w:rPr>
        <w:t>日内完成复核，并将复核结果书面通知基金管理人。基金管理人在年度报告完成当日，将有关报告提供基金托管人复核，基金托管人应在收到后</w:t>
      </w:r>
      <w:r>
        <w:rPr>
          <w:rFonts w:hAnsi="宋体" w:hint="eastAsia"/>
          <w:sz w:val="24"/>
          <w:szCs w:val="24"/>
        </w:rPr>
        <w:t>45</w:t>
      </w:r>
      <w:r>
        <w:rPr>
          <w:rFonts w:hAnsi="宋体" w:hint="eastAsia"/>
          <w:sz w:val="24"/>
          <w:szCs w:val="24"/>
        </w:rPr>
        <w:t>日内完成复核，并将复核结果书面通知基金管理人。基金管理人和基金托管人之间的上述文件往来均以加密传真的方式或双方商定的其他方式进行。</w:t>
      </w:r>
    </w:p>
    <w:p w:rsidR="00783788" w:rsidRDefault="002C6E18">
      <w:pPr>
        <w:widowControl/>
        <w:adjustRightInd w:val="0"/>
        <w:snapToGrid w:val="0"/>
        <w:spacing w:line="360" w:lineRule="auto"/>
        <w:ind w:firstLineChars="200" w:firstLine="480"/>
        <w:rPr>
          <w:kern w:val="0"/>
          <w:sz w:val="24"/>
        </w:rPr>
      </w:pPr>
      <w:r>
        <w:rPr>
          <w:rFonts w:hAnsi="宋体" w:hint="eastAsia"/>
          <w:sz w:val="24"/>
          <w:szCs w:val="24"/>
        </w:rPr>
        <w:t>基金托管人在复核过程中，发现双方的报表存在不符时，基金管理人和基金托管人应共同查明原因，进行调整，调整以双方认可的账务处理方式为准；若双方无法达成一致，以基金管理人的账务处理为准。核对无误后，基金托管人在基金管理人提供的报告上加盖托管业务部门公章或者出具加盖托管业务专用章的复核意见书，双方各自留存一份。如果基金管理人与基金托管人不能于应当发布公告之日之前就相关报表达成一致，基金管理人有权按照其编制的报表对外发布公告，基金托管人有权就相关情况报中国证监会备案。</w:t>
      </w:r>
      <w:bookmarkEnd w:id="108"/>
    </w:p>
    <w:p w:rsidR="00783788" w:rsidRDefault="002C6E18">
      <w:pPr>
        <w:widowControl/>
        <w:adjustRightInd w:val="0"/>
        <w:snapToGrid w:val="0"/>
        <w:spacing w:line="360" w:lineRule="auto"/>
        <w:ind w:firstLineChars="200" w:firstLine="482"/>
        <w:outlineLvl w:val="1"/>
        <w:rPr>
          <w:b/>
          <w:kern w:val="0"/>
          <w:sz w:val="24"/>
        </w:rPr>
      </w:pPr>
      <w:r>
        <w:rPr>
          <w:rFonts w:hAnsi="宋体"/>
          <w:b/>
          <w:kern w:val="0"/>
          <w:sz w:val="24"/>
        </w:rPr>
        <w:t>（六）基金份额持有人名册的保管</w:t>
      </w:r>
      <w:r>
        <w:rPr>
          <w:b/>
          <w:kern w:val="0"/>
          <w:sz w:val="24"/>
        </w:rPr>
        <w:t xml:space="preserve"> </w:t>
      </w:r>
    </w:p>
    <w:p w:rsidR="00783788" w:rsidRDefault="002C6E18">
      <w:pPr>
        <w:widowControl/>
        <w:adjustRightInd w:val="0"/>
        <w:snapToGrid w:val="0"/>
        <w:spacing w:line="360" w:lineRule="auto"/>
        <w:ind w:firstLineChars="200" w:firstLine="480"/>
        <w:outlineLvl w:val="1"/>
        <w:rPr>
          <w:rFonts w:hAnsi="宋体"/>
          <w:sz w:val="24"/>
          <w:szCs w:val="24"/>
        </w:rPr>
      </w:pPr>
      <w:r>
        <w:rPr>
          <w:rFonts w:hAnsi="宋体" w:hint="eastAsia"/>
          <w:sz w:val="24"/>
          <w:szCs w:val="24"/>
        </w:rPr>
        <w:t>本基金的基金管理人和基金托管人须分别妥善保管的基金份额持有人名册，包括基金合同生效日、基金合同终止日、基金权益登记日、基金份额持有人大会权益登记日、每年</w:t>
      </w:r>
      <w:r>
        <w:rPr>
          <w:rFonts w:hAnsi="宋体" w:hint="eastAsia"/>
          <w:sz w:val="24"/>
          <w:szCs w:val="24"/>
        </w:rPr>
        <w:t>6</w:t>
      </w:r>
      <w:r>
        <w:rPr>
          <w:rFonts w:hAnsi="宋体" w:hint="eastAsia"/>
          <w:sz w:val="24"/>
          <w:szCs w:val="24"/>
        </w:rPr>
        <w:t>月</w:t>
      </w:r>
      <w:r>
        <w:rPr>
          <w:rFonts w:hAnsi="宋体" w:hint="eastAsia"/>
          <w:sz w:val="24"/>
          <w:szCs w:val="24"/>
        </w:rPr>
        <w:t>30</w:t>
      </w:r>
      <w:r>
        <w:rPr>
          <w:rFonts w:hAnsi="宋体" w:hint="eastAsia"/>
          <w:sz w:val="24"/>
          <w:szCs w:val="24"/>
        </w:rPr>
        <w:t>日、</w:t>
      </w:r>
      <w:r>
        <w:rPr>
          <w:rFonts w:hAnsi="宋体" w:hint="eastAsia"/>
          <w:sz w:val="24"/>
          <w:szCs w:val="24"/>
        </w:rPr>
        <w:t>12</w:t>
      </w:r>
      <w:r>
        <w:rPr>
          <w:rFonts w:hAnsi="宋体" w:hint="eastAsia"/>
          <w:sz w:val="24"/>
          <w:szCs w:val="24"/>
        </w:rPr>
        <w:t>月</w:t>
      </w:r>
      <w:r>
        <w:rPr>
          <w:rFonts w:hAnsi="宋体" w:hint="eastAsia"/>
          <w:sz w:val="24"/>
          <w:szCs w:val="24"/>
        </w:rPr>
        <w:t>31</w:t>
      </w:r>
      <w:r>
        <w:rPr>
          <w:rFonts w:hAnsi="宋体" w:hint="eastAsia"/>
          <w:sz w:val="24"/>
          <w:szCs w:val="24"/>
        </w:rPr>
        <w:t>日的基金份额持有人名册。基金份额持有人名册的内容至少应包括持有人的名称和持有的基金份额。</w:t>
      </w:r>
    </w:p>
    <w:p w:rsidR="00783788" w:rsidRDefault="002C6E18">
      <w:pPr>
        <w:widowControl/>
        <w:adjustRightInd w:val="0"/>
        <w:snapToGrid w:val="0"/>
        <w:spacing w:line="360" w:lineRule="auto"/>
        <w:ind w:firstLineChars="200" w:firstLine="480"/>
        <w:outlineLvl w:val="1"/>
        <w:rPr>
          <w:rFonts w:hAnsi="宋体"/>
          <w:sz w:val="24"/>
          <w:szCs w:val="24"/>
        </w:rPr>
      </w:pPr>
      <w:r>
        <w:rPr>
          <w:rFonts w:hAnsi="宋体" w:hint="eastAsia"/>
          <w:sz w:val="24"/>
          <w:szCs w:val="24"/>
        </w:rPr>
        <w:t>基金份额持有人名册由登记机构编制，由基金管理人审核并提交基金托管人保管。基金托管人有权要求基金管理人提供任意一个交易日或全部交易日的基金份额持有人名册，基金管理人应及时提供，不得拖延或拒绝提供。</w:t>
      </w:r>
    </w:p>
    <w:p w:rsidR="00783788" w:rsidRDefault="002C6E18">
      <w:pPr>
        <w:widowControl/>
        <w:adjustRightInd w:val="0"/>
        <w:snapToGrid w:val="0"/>
        <w:spacing w:line="360" w:lineRule="auto"/>
        <w:ind w:firstLineChars="200" w:firstLine="480"/>
        <w:outlineLvl w:val="1"/>
        <w:rPr>
          <w:rFonts w:hAnsi="宋体"/>
          <w:sz w:val="24"/>
          <w:szCs w:val="24"/>
        </w:rPr>
      </w:pPr>
      <w:r>
        <w:rPr>
          <w:rFonts w:hAnsi="宋体" w:hint="eastAsia"/>
          <w:sz w:val="24"/>
          <w:szCs w:val="24"/>
        </w:rPr>
        <w:t>基金管理人应及时向基金托管人提交基金份额持有人名册。每年</w:t>
      </w:r>
      <w:r>
        <w:rPr>
          <w:rFonts w:hAnsi="宋体" w:hint="eastAsia"/>
          <w:sz w:val="24"/>
          <w:szCs w:val="24"/>
        </w:rPr>
        <w:t>6</w:t>
      </w:r>
      <w:r>
        <w:rPr>
          <w:rFonts w:hAnsi="宋体" w:hint="eastAsia"/>
          <w:sz w:val="24"/>
          <w:szCs w:val="24"/>
        </w:rPr>
        <w:t>月</w:t>
      </w:r>
      <w:r>
        <w:rPr>
          <w:rFonts w:hAnsi="宋体" w:hint="eastAsia"/>
          <w:sz w:val="24"/>
          <w:szCs w:val="24"/>
        </w:rPr>
        <w:t>30</w:t>
      </w:r>
      <w:r>
        <w:rPr>
          <w:rFonts w:hAnsi="宋体" w:hint="eastAsia"/>
          <w:sz w:val="24"/>
          <w:szCs w:val="24"/>
        </w:rPr>
        <w:t>日和</w:t>
      </w:r>
      <w:r>
        <w:rPr>
          <w:rFonts w:hAnsi="宋体" w:hint="eastAsia"/>
          <w:sz w:val="24"/>
          <w:szCs w:val="24"/>
        </w:rPr>
        <w:t>12</w:t>
      </w:r>
      <w:r>
        <w:rPr>
          <w:rFonts w:hAnsi="宋体" w:hint="eastAsia"/>
          <w:sz w:val="24"/>
          <w:szCs w:val="24"/>
        </w:rPr>
        <w:t>月</w:t>
      </w:r>
      <w:r>
        <w:rPr>
          <w:rFonts w:hAnsi="宋体" w:hint="eastAsia"/>
          <w:sz w:val="24"/>
          <w:szCs w:val="24"/>
        </w:rPr>
        <w:t>31</w:t>
      </w:r>
      <w:r>
        <w:rPr>
          <w:rFonts w:hAnsi="宋体" w:hint="eastAsia"/>
          <w:sz w:val="24"/>
          <w:szCs w:val="24"/>
        </w:rPr>
        <w:t>日的基金份额持有人名册应于下月前十个工作日内提交；基金合同生效日、基金合同终止日等涉及到基金重要事项日期的基金份额持有人名册应于发生日后十个工作日内提交。</w:t>
      </w:r>
    </w:p>
    <w:p w:rsidR="00783788" w:rsidRDefault="002C6E18">
      <w:pPr>
        <w:widowControl/>
        <w:adjustRightInd w:val="0"/>
        <w:snapToGrid w:val="0"/>
        <w:spacing w:line="360" w:lineRule="auto"/>
        <w:ind w:firstLineChars="200" w:firstLine="480"/>
        <w:outlineLvl w:val="1"/>
        <w:rPr>
          <w:kern w:val="0"/>
          <w:sz w:val="24"/>
        </w:rPr>
      </w:pPr>
      <w:r>
        <w:rPr>
          <w:rFonts w:hAnsi="宋体" w:hint="eastAsia"/>
          <w:sz w:val="24"/>
          <w:szCs w:val="24"/>
        </w:rPr>
        <w:t>基金管理人和基金托管人应妥善保管基金份额持有人名册，保存期限为</w:t>
      </w:r>
      <w:r>
        <w:rPr>
          <w:rFonts w:hAnsi="宋体" w:hint="eastAsia"/>
          <w:sz w:val="24"/>
          <w:szCs w:val="24"/>
        </w:rPr>
        <w:t>15</w:t>
      </w:r>
      <w:r>
        <w:rPr>
          <w:rFonts w:hAnsi="宋体" w:hint="eastAsia"/>
          <w:sz w:val="24"/>
          <w:szCs w:val="24"/>
        </w:rPr>
        <w:t>年。基金托管人不得将所保管的基金份额持有人名册用于基金托管业务以外的其他用途，并应遵守保密义务。若基金管理人或基金托管人由于自身原因无法妥善保管基金份额持有人名册，应按有关法规规定各自承担相应的责任。</w:t>
      </w:r>
    </w:p>
    <w:p w:rsidR="00783788" w:rsidRDefault="002C6E18">
      <w:pPr>
        <w:widowControl/>
        <w:adjustRightInd w:val="0"/>
        <w:snapToGrid w:val="0"/>
        <w:spacing w:line="360" w:lineRule="auto"/>
        <w:ind w:firstLineChars="200" w:firstLine="482"/>
        <w:outlineLvl w:val="1"/>
        <w:rPr>
          <w:b/>
          <w:kern w:val="0"/>
          <w:sz w:val="24"/>
        </w:rPr>
      </w:pPr>
      <w:r>
        <w:rPr>
          <w:rFonts w:hAnsi="宋体"/>
          <w:b/>
          <w:kern w:val="0"/>
          <w:sz w:val="24"/>
        </w:rPr>
        <w:t>（七）争议解决方式</w:t>
      </w:r>
    </w:p>
    <w:p w:rsidR="00783788" w:rsidRDefault="002C6E18">
      <w:pPr>
        <w:widowControl/>
        <w:adjustRightInd w:val="0"/>
        <w:snapToGrid w:val="0"/>
        <w:spacing w:line="360" w:lineRule="auto"/>
        <w:ind w:firstLineChars="200" w:firstLine="480"/>
        <w:outlineLvl w:val="1"/>
        <w:rPr>
          <w:rFonts w:hAnsi="宋体"/>
          <w:sz w:val="24"/>
          <w:szCs w:val="24"/>
        </w:rPr>
      </w:pPr>
      <w:r>
        <w:rPr>
          <w:rFonts w:hAnsi="宋体" w:hint="eastAsia"/>
          <w:sz w:val="24"/>
          <w:szCs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w:t>
      </w:r>
    </w:p>
    <w:p w:rsidR="00783788" w:rsidRDefault="002C6E18">
      <w:pPr>
        <w:widowControl/>
        <w:adjustRightInd w:val="0"/>
        <w:snapToGrid w:val="0"/>
        <w:spacing w:line="360" w:lineRule="auto"/>
        <w:ind w:firstLineChars="200" w:firstLine="480"/>
        <w:outlineLvl w:val="1"/>
        <w:rPr>
          <w:rFonts w:hAnsi="宋体"/>
          <w:sz w:val="24"/>
          <w:szCs w:val="24"/>
        </w:rPr>
      </w:pPr>
      <w:r>
        <w:rPr>
          <w:rFonts w:hAnsi="宋体" w:hint="eastAsia"/>
          <w:sz w:val="24"/>
          <w:szCs w:val="24"/>
        </w:rPr>
        <w:t>争议处理期间，双方当事人应恪守基金管理人和基金托管人职责，各自继续忠实、勤勉、尽责地履行基金合同和本托管协议规定的义务，维护基金份额持有人的合法权益。</w:t>
      </w:r>
    </w:p>
    <w:p w:rsidR="00783788" w:rsidRDefault="002C6E18">
      <w:pPr>
        <w:widowControl/>
        <w:adjustRightInd w:val="0"/>
        <w:snapToGrid w:val="0"/>
        <w:spacing w:line="360" w:lineRule="auto"/>
        <w:ind w:firstLineChars="200" w:firstLine="480"/>
        <w:outlineLvl w:val="1"/>
        <w:rPr>
          <w:kern w:val="0"/>
          <w:sz w:val="24"/>
        </w:rPr>
      </w:pPr>
      <w:r>
        <w:rPr>
          <w:rFonts w:hAnsi="宋体" w:hint="eastAsia"/>
          <w:sz w:val="24"/>
          <w:szCs w:val="24"/>
        </w:rPr>
        <w:t>本协议适用中华人民共和国法律并从其解释。</w:t>
      </w:r>
    </w:p>
    <w:p w:rsidR="00783788" w:rsidRDefault="002C6E18">
      <w:pPr>
        <w:widowControl/>
        <w:adjustRightInd w:val="0"/>
        <w:snapToGrid w:val="0"/>
        <w:spacing w:line="360" w:lineRule="auto"/>
        <w:ind w:firstLineChars="200" w:firstLine="482"/>
        <w:outlineLvl w:val="1"/>
        <w:rPr>
          <w:b/>
          <w:kern w:val="0"/>
          <w:sz w:val="24"/>
        </w:rPr>
      </w:pPr>
      <w:r>
        <w:rPr>
          <w:rFonts w:hAnsi="宋体"/>
          <w:b/>
          <w:kern w:val="0"/>
          <w:sz w:val="24"/>
        </w:rPr>
        <w:t>（八）托管协议的变更与终止</w:t>
      </w:r>
      <w:r>
        <w:rPr>
          <w:b/>
          <w:kern w:val="0"/>
          <w:sz w:val="24"/>
        </w:rPr>
        <w:t xml:space="preserve"> </w:t>
      </w:r>
    </w:p>
    <w:p w:rsidR="00783788" w:rsidRDefault="002C6E18">
      <w:pPr>
        <w:widowControl/>
        <w:adjustRightInd w:val="0"/>
        <w:snapToGrid w:val="0"/>
        <w:spacing w:line="360" w:lineRule="auto"/>
        <w:ind w:firstLineChars="200" w:firstLine="480"/>
        <w:outlineLvl w:val="1"/>
        <w:rPr>
          <w:kern w:val="0"/>
          <w:sz w:val="24"/>
        </w:rPr>
      </w:pPr>
      <w:r>
        <w:rPr>
          <w:rFonts w:hint="eastAsia"/>
          <w:kern w:val="0"/>
          <w:sz w:val="24"/>
        </w:rPr>
        <w:t>1</w:t>
      </w:r>
      <w:r>
        <w:rPr>
          <w:rFonts w:hint="eastAsia"/>
          <w:kern w:val="0"/>
          <w:sz w:val="24"/>
        </w:rPr>
        <w:t>、托管协议的变更程序</w:t>
      </w:r>
    </w:p>
    <w:p w:rsidR="00783788" w:rsidRDefault="002C6E18">
      <w:pPr>
        <w:widowControl/>
        <w:adjustRightInd w:val="0"/>
        <w:snapToGrid w:val="0"/>
        <w:spacing w:line="360" w:lineRule="auto"/>
        <w:ind w:firstLineChars="200" w:firstLine="480"/>
        <w:outlineLvl w:val="1"/>
        <w:rPr>
          <w:kern w:val="0"/>
          <w:sz w:val="24"/>
        </w:rPr>
      </w:pPr>
      <w:r>
        <w:rPr>
          <w:rFonts w:hint="eastAsia"/>
          <w:kern w:val="0"/>
          <w:sz w:val="24"/>
        </w:rPr>
        <w:t>本协议双方当事人经协商一致，可以对协议进行修改。修改后的新协议，其内容不得与基金合同的规定有任何冲突。基金托管协议的变更报中国证监会核准或备案后生效。</w:t>
      </w:r>
    </w:p>
    <w:p w:rsidR="00783788" w:rsidRDefault="002C6E18">
      <w:pPr>
        <w:widowControl/>
        <w:adjustRightInd w:val="0"/>
        <w:snapToGrid w:val="0"/>
        <w:spacing w:line="360" w:lineRule="auto"/>
        <w:ind w:firstLineChars="200" w:firstLine="480"/>
        <w:outlineLvl w:val="1"/>
        <w:rPr>
          <w:kern w:val="0"/>
          <w:sz w:val="24"/>
        </w:rPr>
      </w:pPr>
      <w:r>
        <w:rPr>
          <w:rFonts w:hint="eastAsia"/>
          <w:kern w:val="0"/>
          <w:sz w:val="24"/>
        </w:rPr>
        <w:t>2</w:t>
      </w:r>
      <w:r>
        <w:rPr>
          <w:rFonts w:hint="eastAsia"/>
          <w:kern w:val="0"/>
          <w:sz w:val="24"/>
        </w:rPr>
        <w:t>、托管协议终止的情形</w:t>
      </w:r>
    </w:p>
    <w:p w:rsidR="00783788" w:rsidRDefault="002C6E18">
      <w:pPr>
        <w:widowControl/>
        <w:adjustRightInd w:val="0"/>
        <w:snapToGrid w:val="0"/>
        <w:spacing w:line="360" w:lineRule="auto"/>
        <w:ind w:firstLineChars="200" w:firstLine="480"/>
        <w:outlineLvl w:val="1"/>
        <w:rPr>
          <w:kern w:val="0"/>
          <w:sz w:val="24"/>
        </w:rPr>
      </w:pPr>
      <w:r>
        <w:rPr>
          <w:rFonts w:hint="eastAsia"/>
          <w:kern w:val="0"/>
          <w:sz w:val="24"/>
        </w:rPr>
        <w:t>（</w:t>
      </w:r>
      <w:r>
        <w:rPr>
          <w:rFonts w:hint="eastAsia"/>
          <w:kern w:val="0"/>
          <w:sz w:val="24"/>
        </w:rPr>
        <w:t>1</w:t>
      </w:r>
      <w:r>
        <w:rPr>
          <w:rFonts w:hint="eastAsia"/>
          <w:kern w:val="0"/>
          <w:sz w:val="24"/>
        </w:rPr>
        <w:t>）基金合同终止；</w:t>
      </w:r>
    </w:p>
    <w:p w:rsidR="00783788" w:rsidRDefault="002C6E18">
      <w:pPr>
        <w:widowControl/>
        <w:adjustRightInd w:val="0"/>
        <w:snapToGrid w:val="0"/>
        <w:spacing w:line="360" w:lineRule="auto"/>
        <w:ind w:firstLineChars="200" w:firstLine="480"/>
        <w:outlineLvl w:val="1"/>
        <w:rPr>
          <w:kern w:val="0"/>
          <w:sz w:val="24"/>
        </w:rPr>
      </w:pPr>
      <w:r>
        <w:rPr>
          <w:rFonts w:hint="eastAsia"/>
          <w:kern w:val="0"/>
          <w:sz w:val="24"/>
        </w:rPr>
        <w:t>（</w:t>
      </w:r>
      <w:r>
        <w:rPr>
          <w:rFonts w:hint="eastAsia"/>
          <w:kern w:val="0"/>
          <w:sz w:val="24"/>
        </w:rPr>
        <w:t>2</w:t>
      </w:r>
      <w:r>
        <w:rPr>
          <w:rFonts w:hint="eastAsia"/>
          <w:kern w:val="0"/>
          <w:sz w:val="24"/>
        </w:rPr>
        <w:t>）基金托管人解散、依法被撤销、破产或由其他基金托管人接管基金资产；</w:t>
      </w:r>
    </w:p>
    <w:p w:rsidR="00783788" w:rsidRDefault="002C6E18">
      <w:pPr>
        <w:widowControl/>
        <w:adjustRightInd w:val="0"/>
        <w:snapToGrid w:val="0"/>
        <w:spacing w:line="360" w:lineRule="auto"/>
        <w:ind w:firstLineChars="200" w:firstLine="480"/>
        <w:outlineLvl w:val="1"/>
        <w:rPr>
          <w:kern w:val="0"/>
          <w:sz w:val="24"/>
        </w:rPr>
      </w:pPr>
      <w:r>
        <w:rPr>
          <w:rFonts w:hint="eastAsia"/>
          <w:kern w:val="0"/>
          <w:sz w:val="24"/>
        </w:rPr>
        <w:t>（</w:t>
      </w:r>
      <w:r>
        <w:rPr>
          <w:rFonts w:hint="eastAsia"/>
          <w:kern w:val="0"/>
          <w:sz w:val="24"/>
        </w:rPr>
        <w:t>3</w:t>
      </w:r>
      <w:r>
        <w:rPr>
          <w:rFonts w:hint="eastAsia"/>
          <w:kern w:val="0"/>
          <w:sz w:val="24"/>
        </w:rPr>
        <w:t>）基金管理人解散、依法被撤销、破产或由其他基金管理人接管基金管理权；</w:t>
      </w:r>
    </w:p>
    <w:p w:rsidR="00783788" w:rsidRDefault="002C6E18">
      <w:pPr>
        <w:widowControl/>
        <w:adjustRightInd w:val="0"/>
        <w:snapToGrid w:val="0"/>
        <w:spacing w:line="360" w:lineRule="auto"/>
        <w:ind w:firstLineChars="200" w:firstLine="480"/>
        <w:rPr>
          <w:rFonts w:ascii="宋体" w:hAnsi="宋体"/>
          <w:kern w:val="0"/>
          <w:sz w:val="24"/>
        </w:rPr>
      </w:pPr>
      <w:r>
        <w:rPr>
          <w:rFonts w:hint="eastAsia"/>
          <w:kern w:val="0"/>
          <w:sz w:val="24"/>
        </w:rPr>
        <w:t>（</w:t>
      </w:r>
      <w:r>
        <w:rPr>
          <w:rFonts w:hint="eastAsia"/>
          <w:kern w:val="0"/>
          <w:sz w:val="24"/>
        </w:rPr>
        <w:t>4</w:t>
      </w:r>
      <w:r>
        <w:rPr>
          <w:rFonts w:hint="eastAsia"/>
          <w:kern w:val="0"/>
          <w:sz w:val="24"/>
        </w:rPr>
        <w:t>）发生法律法规、中国证监会或基金合同规定的其他终止事项。</w:t>
      </w:r>
    </w:p>
    <w:p w:rsidR="00783788" w:rsidRDefault="00783788">
      <w:pPr>
        <w:widowControl/>
        <w:adjustRightInd w:val="0"/>
        <w:snapToGrid w:val="0"/>
        <w:spacing w:line="360" w:lineRule="auto"/>
        <w:ind w:firstLineChars="200" w:firstLine="480"/>
        <w:rPr>
          <w:rFonts w:ascii="宋体" w:hAnsi="宋体"/>
          <w:kern w:val="0"/>
          <w:sz w:val="24"/>
        </w:rPr>
      </w:pPr>
    </w:p>
    <w:p w:rsidR="00783788" w:rsidRDefault="002C6E18">
      <w:pPr>
        <w:widowControl/>
        <w:adjustRightInd w:val="0"/>
        <w:snapToGrid w:val="0"/>
        <w:spacing w:beforeLines="100" w:before="240" w:afterLines="50" w:after="120" w:line="360" w:lineRule="auto"/>
        <w:jc w:val="center"/>
        <w:outlineLvl w:val="0"/>
        <w:rPr>
          <w:rFonts w:ascii="宋体" w:hAnsi="宋体"/>
          <w:b/>
          <w:kern w:val="0"/>
          <w:sz w:val="30"/>
        </w:rPr>
      </w:pPr>
      <w:bookmarkStart w:id="109" w:name="_Toc382321334"/>
      <w:r>
        <w:rPr>
          <w:rFonts w:ascii="宋体" w:hAnsi="宋体" w:hint="eastAsia"/>
          <w:b/>
          <w:kern w:val="0"/>
          <w:sz w:val="30"/>
        </w:rPr>
        <w:t>二十三、对基金份额持有人的服务</w:t>
      </w:r>
      <w:bookmarkEnd w:id="109"/>
    </w:p>
    <w:p w:rsidR="00783788" w:rsidRDefault="002C6E18">
      <w:pPr>
        <w:widowControl/>
        <w:adjustRightInd w:val="0"/>
        <w:snapToGrid w:val="0"/>
        <w:spacing w:line="360" w:lineRule="auto"/>
        <w:ind w:firstLineChars="200" w:firstLine="480"/>
        <w:rPr>
          <w:kern w:val="0"/>
          <w:sz w:val="24"/>
        </w:rPr>
      </w:pPr>
      <w:r>
        <w:rPr>
          <w:kern w:val="0"/>
          <w:sz w:val="24"/>
        </w:rPr>
        <w:t>基金管理人承诺为基金份额持有人提供一系列的服务。基金管理人根据基金份额持有人的需要和市场的变化，有权增加或变更服务项目。主要服务内容如下：</w:t>
      </w:r>
      <w:r>
        <w:rPr>
          <w:kern w:val="0"/>
          <w:sz w:val="24"/>
        </w:rPr>
        <w:t xml:space="preserve"> </w:t>
      </w:r>
    </w:p>
    <w:p w:rsidR="00783788" w:rsidRDefault="002C6E18">
      <w:pPr>
        <w:widowControl/>
        <w:adjustRightInd w:val="0"/>
        <w:snapToGrid w:val="0"/>
        <w:spacing w:line="360" w:lineRule="auto"/>
        <w:ind w:firstLineChars="200" w:firstLine="482"/>
        <w:outlineLvl w:val="1"/>
        <w:rPr>
          <w:b/>
          <w:kern w:val="0"/>
          <w:sz w:val="24"/>
        </w:rPr>
      </w:pPr>
      <w:r>
        <w:rPr>
          <w:b/>
          <w:kern w:val="0"/>
          <w:sz w:val="24"/>
        </w:rPr>
        <w:t>（一）持有人交易资料的寄送服务</w:t>
      </w:r>
      <w:r>
        <w:rPr>
          <w:b/>
          <w:kern w:val="0"/>
          <w:sz w:val="24"/>
        </w:rPr>
        <w:t xml:space="preserve"> </w:t>
      </w:r>
    </w:p>
    <w:p w:rsidR="00783788" w:rsidRDefault="002C6E18">
      <w:pPr>
        <w:widowControl/>
        <w:adjustRightInd w:val="0"/>
        <w:snapToGrid w:val="0"/>
        <w:spacing w:line="360" w:lineRule="auto"/>
        <w:ind w:firstLineChars="200" w:firstLine="480"/>
        <w:rPr>
          <w:kern w:val="0"/>
          <w:sz w:val="24"/>
        </w:rPr>
      </w:pPr>
      <w:r>
        <w:rPr>
          <w:kern w:val="0"/>
          <w:sz w:val="24"/>
        </w:rPr>
        <w:t>1</w:t>
      </w:r>
      <w:r>
        <w:rPr>
          <w:kern w:val="0"/>
          <w:sz w:val="24"/>
        </w:rPr>
        <w:t>、每次交易结</w:t>
      </w:r>
      <w:bookmarkStart w:id="110" w:name="_Toc109537400"/>
      <w:r>
        <w:rPr>
          <w:kern w:val="0"/>
          <w:sz w:val="24"/>
        </w:rPr>
        <w:t>束后，投资人可在</w:t>
      </w:r>
      <w:r>
        <w:rPr>
          <w:kern w:val="0"/>
          <w:sz w:val="24"/>
        </w:rPr>
        <w:t>T+2</w:t>
      </w:r>
      <w:r>
        <w:rPr>
          <w:kern w:val="0"/>
          <w:sz w:val="24"/>
        </w:rPr>
        <w:t>个工作日</w:t>
      </w:r>
      <w:bookmarkEnd w:id="110"/>
      <w:r>
        <w:rPr>
          <w:kern w:val="0"/>
          <w:sz w:val="24"/>
        </w:rPr>
        <w:t>后通过销售机构的网点查询和打印确认单。</w:t>
      </w:r>
      <w:r>
        <w:rPr>
          <w:kern w:val="0"/>
          <w:sz w:val="24"/>
        </w:rPr>
        <w:t xml:space="preserve"> </w:t>
      </w:r>
    </w:p>
    <w:p w:rsidR="00783788" w:rsidRDefault="002C6E18">
      <w:pPr>
        <w:widowControl/>
        <w:adjustRightInd w:val="0"/>
        <w:snapToGrid w:val="0"/>
        <w:spacing w:line="360" w:lineRule="auto"/>
        <w:ind w:firstLineChars="200" w:firstLine="480"/>
        <w:rPr>
          <w:kern w:val="0"/>
          <w:sz w:val="24"/>
        </w:rPr>
      </w:pPr>
      <w:r>
        <w:rPr>
          <w:kern w:val="0"/>
          <w:sz w:val="24"/>
        </w:rPr>
        <w:t>2</w:t>
      </w:r>
      <w:r>
        <w:rPr>
          <w:kern w:val="0"/>
          <w:sz w:val="24"/>
        </w:rPr>
        <w:t>、本基金管理人将向持有人提供电子或纸质对账单，需要订阅或取消的客户可与本基金管理人客户服务中心（</w:t>
      </w:r>
      <w:r>
        <w:rPr>
          <w:kern w:val="0"/>
          <w:sz w:val="24"/>
        </w:rPr>
        <w:t>400-700-5000</w:t>
      </w:r>
      <w:r>
        <w:rPr>
          <w:kern w:val="0"/>
          <w:sz w:val="24"/>
        </w:rPr>
        <w:t>，</w:t>
      </w:r>
      <w:r>
        <w:rPr>
          <w:kern w:val="0"/>
          <w:sz w:val="24"/>
        </w:rPr>
        <w:t>021-61055000</w:t>
      </w:r>
      <w:r>
        <w:rPr>
          <w:kern w:val="0"/>
          <w:sz w:val="24"/>
        </w:rPr>
        <w:t>）联系。</w:t>
      </w:r>
    </w:p>
    <w:p w:rsidR="00783788" w:rsidRDefault="002C6E18">
      <w:pPr>
        <w:widowControl/>
        <w:adjustRightInd w:val="0"/>
        <w:snapToGrid w:val="0"/>
        <w:spacing w:line="360" w:lineRule="auto"/>
        <w:ind w:firstLineChars="200" w:firstLine="482"/>
        <w:outlineLvl w:val="1"/>
        <w:rPr>
          <w:b/>
          <w:kern w:val="0"/>
          <w:sz w:val="24"/>
        </w:rPr>
      </w:pPr>
      <w:r>
        <w:rPr>
          <w:b/>
          <w:kern w:val="0"/>
          <w:sz w:val="24"/>
        </w:rPr>
        <w:t>（二）网上</w:t>
      </w:r>
      <w:r>
        <w:rPr>
          <w:rFonts w:hint="eastAsia"/>
          <w:b/>
          <w:kern w:val="0"/>
          <w:sz w:val="24"/>
        </w:rPr>
        <w:t>直销</w:t>
      </w:r>
      <w:r>
        <w:rPr>
          <w:b/>
          <w:kern w:val="0"/>
          <w:sz w:val="24"/>
        </w:rPr>
        <w:t>服务</w:t>
      </w:r>
      <w:r>
        <w:rPr>
          <w:b/>
          <w:kern w:val="0"/>
          <w:sz w:val="24"/>
        </w:rPr>
        <w:t xml:space="preserve"> </w:t>
      </w:r>
    </w:p>
    <w:p w:rsidR="00783788" w:rsidRDefault="002C6E18">
      <w:pPr>
        <w:widowControl/>
        <w:spacing w:line="360" w:lineRule="auto"/>
        <w:ind w:firstLineChars="200" w:firstLine="480"/>
        <w:rPr>
          <w:kern w:val="0"/>
          <w:sz w:val="24"/>
        </w:rPr>
      </w:pPr>
      <w:r>
        <w:rPr>
          <w:rFonts w:hint="eastAsia"/>
          <w:kern w:val="0"/>
          <w:sz w:val="24"/>
        </w:rPr>
        <w:t>本基金管理人已开通基金网上直销业务，个人投资者可以直接通过本基金管理人网站的网上直销交易平台办理开户和本基金的申购、赎回、定期定额投资和转换等业务。通过网上直销交易平台办理本基金基金份额的申购和定期定额投资业务的个人投资者将享受申购费率的优惠，</w:t>
      </w:r>
      <w:r>
        <w:rPr>
          <w:rFonts w:ascii="宋体" w:hAnsi="宋体" w:hint="eastAsia"/>
          <w:sz w:val="24"/>
        </w:rPr>
        <w:t>通过网上直销交易平台进行基金转换，从各基金招募说明书所载的零申购费率的基金转换入非零申购费率的基金，转出与转入基金的前端申购补差费率将享受优惠</w:t>
      </w:r>
      <w:r>
        <w:rPr>
          <w:rFonts w:hint="eastAsia"/>
          <w:kern w:val="0"/>
          <w:sz w:val="24"/>
        </w:rPr>
        <w:t>，其他费率标准不变。具体优惠费率请参见公司网站列示的网上直销交易平台申购、定期定额投资及转换费率表或相关公告。</w:t>
      </w:r>
    </w:p>
    <w:p w:rsidR="00783788" w:rsidRDefault="002C6E18">
      <w:pPr>
        <w:widowControl/>
        <w:spacing w:line="360" w:lineRule="auto"/>
        <w:ind w:firstLineChars="200" w:firstLine="480"/>
        <w:rPr>
          <w:kern w:val="0"/>
          <w:sz w:val="24"/>
        </w:rPr>
      </w:pPr>
      <w:r>
        <w:rPr>
          <w:rFonts w:hint="eastAsia"/>
          <w:kern w:val="0"/>
          <w:sz w:val="24"/>
        </w:rPr>
        <w:t>本公司基金网上直销业务已开通的银行卡及各银行卡交易金额限额请参阅本公司网站。</w:t>
      </w:r>
    </w:p>
    <w:p w:rsidR="00783788" w:rsidRDefault="002C6E18">
      <w:pPr>
        <w:widowControl/>
        <w:spacing w:line="360" w:lineRule="auto"/>
        <w:ind w:firstLineChars="200" w:firstLine="480"/>
        <w:rPr>
          <w:kern w:val="0"/>
          <w:sz w:val="24"/>
        </w:rPr>
      </w:pPr>
      <w:r>
        <w:rPr>
          <w:rFonts w:hint="eastAsia"/>
          <w:kern w:val="0"/>
          <w:sz w:val="24"/>
        </w:rPr>
        <w:t>在条件成熟的时候，本基金管理人将根据基金网上直销业务的发展状况，适时调整可用于基金网上直销交易平台的银行卡种类，敬请投资人留意相关公告。</w:t>
      </w:r>
    </w:p>
    <w:p w:rsidR="00783788" w:rsidRDefault="002C6E18">
      <w:pPr>
        <w:widowControl/>
        <w:adjustRightInd w:val="0"/>
        <w:snapToGrid w:val="0"/>
        <w:spacing w:line="360" w:lineRule="auto"/>
        <w:ind w:firstLineChars="200" w:firstLine="482"/>
        <w:outlineLvl w:val="1"/>
        <w:rPr>
          <w:b/>
          <w:kern w:val="0"/>
          <w:sz w:val="24"/>
        </w:rPr>
      </w:pPr>
      <w:r>
        <w:rPr>
          <w:b/>
          <w:kern w:val="0"/>
          <w:sz w:val="24"/>
        </w:rPr>
        <w:t>（三）信息咨询、查询服务</w:t>
      </w:r>
      <w:r>
        <w:rPr>
          <w:b/>
          <w:kern w:val="0"/>
          <w:sz w:val="24"/>
        </w:rPr>
        <w:t xml:space="preserve"> </w:t>
      </w:r>
    </w:p>
    <w:p w:rsidR="00783788" w:rsidRDefault="002C6E18">
      <w:pPr>
        <w:widowControl/>
        <w:adjustRightInd w:val="0"/>
        <w:snapToGrid w:val="0"/>
        <w:spacing w:line="360" w:lineRule="auto"/>
        <w:ind w:firstLineChars="200" w:firstLine="480"/>
        <w:rPr>
          <w:kern w:val="0"/>
          <w:sz w:val="24"/>
        </w:rPr>
      </w:pPr>
      <w:r>
        <w:rPr>
          <w:kern w:val="0"/>
          <w:sz w:val="24"/>
        </w:rPr>
        <w:t>投资人如果想查询申购和赎回等交易情况、分红方式状态、基金账户余额、基金产品与服务等信息，请拨打本基金管理人客户服务电话（</w:t>
      </w:r>
      <w:r>
        <w:rPr>
          <w:kern w:val="0"/>
          <w:sz w:val="24"/>
        </w:rPr>
        <w:t>400-700-5000</w:t>
      </w:r>
      <w:r>
        <w:rPr>
          <w:kern w:val="0"/>
          <w:sz w:val="24"/>
        </w:rPr>
        <w:t>，</w:t>
      </w:r>
      <w:r>
        <w:rPr>
          <w:kern w:val="0"/>
          <w:sz w:val="24"/>
        </w:rPr>
        <w:t>021-61055000</w:t>
      </w:r>
      <w:r>
        <w:rPr>
          <w:kern w:val="0"/>
          <w:sz w:val="24"/>
        </w:rPr>
        <w:t>）或登录本基金管理人网站（</w:t>
      </w:r>
      <w:r>
        <w:rPr>
          <w:kern w:val="0"/>
          <w:sz w:val="24"/>
        </w:rPr>
        <w:t>www.fund</w:t>
      </w:r>
      <w:r>
        <w:rPr>
          <w:rFonts w:hint="eastAsia"/>
          <w:kern w:val="0"/>
          <w:sz w:val="24"/>
        </w:rPr>
        <w:t>001</w:t>
      </w:r>
      <w:r>
        <w:rPr>
          <w:kern w:val="0"/>
          <w:sz w:val="24"/>
        </w:rPr>
        <w:t>.com</w:t>
      </w:r>
      <w:r>
        <w:rPr>
          <w:kern w:val="0"/>
          <w:sz w:val="24"/>
        </w:rPr>
        <w:t>，</w:t>
      </w:r>
      <w:r>
        <w:rPr>
          <w:kern w:val="0"/>
          <w:sz w:val="24"/>
        </w:rPr>
        <w:t>www.bocomschroder.com</w:t>
      </w:r>
      <w:r>
        <w:rPr>
          <w:kern w:val="0"/>
          <w:sz w:val="24"/>
        </w:rPr>
        <w:t>）进行咨询、查询。</w:t>
      </w:r>
      <w:r>
        <w:rPr>
          <w:kern w:val="0"/>
          <w:sz w:val="24"/>
        </w:rPr>
        <w:t xml:space="preserve"> </w:t>
      </w:r>
    </w:p>
    <w:p w:rsidR="00783788" w:rsidRDefault="002C6E18">
      <w:pPr>
        <w:widowControl/>
        <w:adjustRightInd w:val="0"/>
        <w:snapToGrid w:val="0"/>
        <w:spacing w:line="360" w:lineRule="auto"/>
        <w:ind w:firstLineChars="200" w:firstLine="480"/>
        <w:rPr>
          <w:kern w:val="0"/>
          <w:sz w:val="24"/>
        </w:rPr>
      </w:pPr>
      <w:r>
        <w:rPr>
          <w:kern w:val="0"/>
          <w:sz w:val="24"/>
        </w:rPr>
        <w:t>本基金管理人为投资人预设基金查询密码，预设的基金查询密码为投资人开户证件号码的后</w:t>
      </w:r>
      <w:r>
        <w:rPr>
          <w:kern w:val="0"/>
          <w:sz w:val="24"/>
        </w:rPr>
        <w:t>6</w:t>
      </w:r>
      <w:r>
        <w:rPr>
          <w:kern w:val="0"/>
          <w:sz w:val="24"/>
        </w:rPr>
        <w:t>位数字，不足</w:t>
      </w:r>
      <w:r>
        <w:rPr>
          <w:kern w:val="0"/>
          <w:sz w:val="24"/>
        </w:rPr>
        <w:t>6</w:t>
      </w:r>
      <w:r>
        <w:rPr>
          <w:kern w:val="0"/>
          <w:sz w:val="24"/>
        </w:rPr>
        <w:t>位数字的，前面加</w:t>
      </w:r>
      <w:r>
        <w:rPr>
          <w:kern w:val="0"/>
          <w:sz w:val="24"/>
        </w:rPr>
        <w:t>“0”</w:t>
      </w:r>
      <w:r>
        <w:rPr>
          <w:kern w:val="0"/>
          <w:sz w:val="24"/>
        </w:rPr>
        <w:t>补足。基金查询密码用于投资人通过客户服务电话查询基金账户下的账户和交易信息。投资人请在其知晓基金账号后，及时拨打本基金管理人客户服务电话修改基金查询密码。</w:t>
      </w:r>
      <w:r>
        <w:rPr>
          <w:kern w:val="0"/>
          <w:sz w:val="24"/>
        </w:rPr>
        <w:t xml:space="preserve"> </w:t>
      </w:r>
    </w:p>
    <w:p w:rsidR="00783788" w:rsidRDefault="002C6E18">
      <w:pPr>
        <w:widowControl/>
        <w:adjustRightInd w:val="0"/>
        <w:snapToGrid w:val="0"/>
        <w:spacing w:line="360" w:lineRule="auto"/>
        <w:ind w:firstLineChars="200" w:firstLine="480"/>
        <w:rPr>
          <w:kern w:val="0"/>
          <w:sz w:val="24"/>
        </w:rPr>
      </w:pPr>
      <w:r>
        <w:rPr>
          <w:kern w:val="0"/>
          <w:sz w:val="24"/>
        </w:rPr>
        <w:t>投资人可以拨打本基金管理人客户服务电话投诉直销机构的人员和服务。</w:t>
      </w:r>
      <w:r>
        <w:rPr>
          <w:kern w:val="0"/>
          <w:sz w:val="24"/>
        </w:rPr>
        <w:t xml:space="preserve"> </w:t>
      </w:r>
    </w:p>
    <w:p w:rsidR="00783788" w:rsidRDefault="002C6E18">
      <w:pPr>
        <w:widowControl/>
        <w:adjustRightInd w:val="0"/>
        <w:snapToGrid w:val="0"/>
        <w:spacing w:line="360" w:lineRule="auto"/>
        <w:ind w:firstLineChars="200" w:firstLine="482"/>
        <w:outlineLvl w:val="1"/>
        <w:rPr>
          <w:b/>
          <w:kern w:val="0"/>
          <w:sz w:val="24"/>
        </w:rPr>
      </w:pPr>
      <w:r>
        <w:rPr>
          <w:b/>
          <w:kern w:val="0"/>
          <w:sz w:val="24"/>
        </w:rPr>
        <w:t>（四）基金转换业务</w:t>
      </w:r>
    </w:p>
    <w:p w:rsidR="00783788" w:rsidRDefault="002C6E18">
      <w:pPr>
        <w:widowControl/>
        <w:spacing w:line="360" w:lineRule="auto"/>
        <w:ind w:firstLineChars="200" w:firstLine="480"/>
        <w:rPr>
          <w:kern w:val="0"/>
          <w:sz w:val="24"/>
        </w:rPr>
      </w:pPr>
      <w:r>
        <w:rPr>
          <w:rFonts w:hint="eastAsia"/>
          <w:kern w:val="0"/>
          <w:sz w:val="24"/>
        </w:rPr>
        <w:t>本基金已开通转换业务，具体实施方法请参见相关公告。</w:t>
      </w:r>
      <w:r>
        <w:rPr>
          <w:kern w:val="0"/>
          <w:sz w:val="24"/>
        </w:rPr>
        <w:t xml:space="preserve"> </w:t>
      </w:r>
    </w:p>
    <w:p w:rsidR="00783788" w:rsidRDefault="002C6E18">
      <w:pPr>
        <w:widowControl/>
        <w:adjustRightInd w:val="0"/>
        <w:snapToGrid w:val="0"/>
        <w:spacing w:line="360" w:lineRule="auto"/>
        <w:ind w:firstLineChars="200" w:firstLine="482"/>
        <w:outlineLvl w:val="1"/>
        <w:rPr>
          <w:b/>
          <w:kern w:val="0"/>
          <w:sz w:val="24"/>
        </w:rPr>
      </w:pPr>
      <w:r>
        <w:rPr>
          <w:b/>
          <w:kern w:val="0"/>
          <w:sz w:val="24"/>
        </w:rPr>
        <w:t>（五）定期定额投资计划</w:t>
      </w:r>
    </w:p>
    <w:p w:rsidR="00783788" w:rsidRDefault="002C6E18">
      <w:pPr>
        <w:widowControl/>
        <w:spacing w:line="360" w:lineRule="auto"/>
        <w:ind w:firstLineChars="200" w:firstLine="480"/>
        <w:rPr>
          <w:kern w:val="0"/>
          <w:sz w:val="24"/>
        </w:rPr>
      </w:pPr>
      <w:r>
        <w:rPr>
          <w:rFonts w:hint="eastAsia"/>
          <w:kern w:val="0"/>
          <w:sz w:val="24"/>
        </w:rPr>
        <w:t>本基金已开通定期定额投资计划，具体实施方法请参见相关公告。</w:t>
      </w:r>
      <w:r>
        <w:rPr>
          <w:kern w:val="0"/>
          <w:sz w:val="24"/>
        </w:rPr>
        <w:t xml:space="preserve"> </w:t>
      </w:r>
    </w:p>
    <w:p w:rsidR="00783788" w:rsidRDefault="002C6E18">
      <w:pPr>
        <w:widowControl/>
        <w:adjustRightInd w:val="0"/>
        <w:snapToGrid w:val="0"/>
        <w:spacing w:line="360" w:lineRule="auto"/>
        <w:ind w:firstLineChars="200" w:firstLine="480"/>
        <w:rPr>
          <w:kern w:val="0"/>
          <w:sz w:val="24"/>
        </w:rPr>
      </w:pPr>
      <w:r>
        <w:rPr>
          <w:kern w:val="0"/>
          <w:sz w:val="24"/>
        </w:rPr>
        <w:t>服务联系方式：</w:t>
      </w:r>
      <w:r>
        <w:rPr>
          <w:kern w:val="0"/>
          <w:sz w:val="24"/>
        </w:rPr>
        <w:t xml:space="preserve"> </w:t>
      </w:r>
    </w:p>
    <w:p w:rsidR="00783788" w:rsidRDefault="002C6E18">
      <w:pPr>
        <w:widowControl/>
        <w:adjustRightInd w:val="0"/>
        <w:snapToGrid w:val="0"/>
        <w:spacing w:line="360" w:lineRule="auto"/>
        <w:ind w:firstLineChars="200" w:firstLine="480"/>
        <w:rPr>
          <w:kern w:val="0"/>
          <w:sz w:val="24"/>
        </w:rPr>
      </w:pPr>
      <w:r>
        <w:rPr>
          <w:kern w:val="0"/>
          <w:sz w:val="24"/>
        </w:rPr>
        <w:t>本基金管理人的互联网地址及电子信箱</w:t>
      </w:r>
      <w:r>
        <w:rPr>
          <w:kern w:val="0"/>
          <w:sz w:val="24"/>
        </w:rPr>
        <w:t xml:space="preserve"> </w:t>
      </w:r>
    </w:p>
    <w:p w:rsidR="00783788" w:rsidRDefault="002C6E18">
      <w:pPr>
        <w:widowControl/>
        <w:adjustRightInd w:val="0"/>
        <w:snapToGrid w:val="0"/>
        <w:spacing w:line="360" w:lineRule="auto"/>
        <w:ind w:firstLineChars="200" w:firstLine="480"/>
        <w:rPr>
          <w:kern w:val="0"/>
          <w:sz w:val="24"/>
        </w:rPr>
      </w:pPr>
      <w:r>
        <w:rPr>
          <w:kern w:val="0"/>
          <w:sz w:val="24"/>
        </w:rPr>
        <w:t>网址：</w:t>
      </w:r>
      <w:hyperlink r:id="rId17" w:history="1">
        <w:r>
          <w:rPr>
            <w:kern w:val="0"/>
            <w:sz w:val="24"/>
          </w:rPr>
          <w:t>www.fund</w:t>
        </w:r>
        <w:r>
          <w:rPr>
            <w:rFonts w:hint="eastAsia"/>
            <w:kern w:val="0"/>
            <w:sz w:val="24"/>
          </w:rPr>
          <w:t>001</w:t>
        </w:r>
        <w:r>
          <w:rPr>
            <w:kern w:val="0"/>
            <w:sz w:val="24"/>
          </w:rPr>
          <w:t>.com</w:t>
        </w:r>
        <w:r>
          <w:rPr>
            <w:sz w:val="24"/>
          </w:rPr>
          <w:t>，</w:t>
        </w:r>
        <w:r>
          <w:rPr>
            <w:sz w:val="24"/>
          </w:rPr>
          <w:t>www.bocomschroder.com</w:t>
        </w:r>
      </w:hyperlink>
    </w:p>
    <w:p w:rsidR="00783788" w:rsidRDefault="002C6E18">
      <w:pPr>
        <w:widowControl/>
        <w:adjustRightInd w:val="0"/>
        <w:snapToGrid w:val="0"/>
        <w:spacing w:line="360" w:lineRule="auto"/>
        <w:ind w:firstLineChars="200" w:firstLine="480"/>
        <w:rPr>
          <w:kern w:val="0"/>
          <w:sz w:val="24"/>
        </w:rPr>
      </w:pPr>
      <w:r>
        <w:rPr>
          <w:kern w:val="0"/>
          <w:sz w:val="24"/>
        </w:rPr>
        <w:t>电子信箱：</w:t>
      </w:r>
      <w:r>
        <w:rPr>
          <w:kern w:val="0"/>
          <w:sz w:val="24"/>
        </w:rPr>
        <w:t>services@jysld.com</w:t>
      </w:r>
    </w:p>
    <w:p w:rsidR="00783788" w:rsidRDefault="002C6E18">
      <w:pPr>
        <w:widowControl/>
        <w:adjustRightInd w:val="0"/>
        <w:snapToGrid w:val="0"/>
        <w:spacing w:line="360" w:lineRule="auto"/>
        <w:ind w:firstLineChars="200" w:firstLine="480"/>
        <w:rPr>
          <w:kern w:val="0"/>
          <w:sz w:val="24"/>
        </w:rPr>
      </w:pPr>
      <w:r>
        <w:rPr>
          <w:kern w:val="0"/>
          <w:sz w:val="24"/>
        </w:rPr>
        <w:t>投资人也可登录本基金管理人网站，直接提出有关本基金的问题和建议。</w:t>
      </w:r>
      <w:r>
        <w:rPr>
          <w:kern w:val="0"/>
          <w:sz w:val="24"/>
        </w:rPr>
        <w:t xml:space="preserve"> </w:t>
      </w:r>
    </w:p>
    <w:p w:rsidR="00783788" w:rsidRDefault="00783788">
      <w:pPr>
        <w:widowControl/>
        <w:adjustRightInd w:val="0"/>
        <w:snapToGrid w:val="0"/>
        <w:spacing w:line="360" w:lineRule="auto"/>
        <w:ind w:firstLineChars="200" w:firstLine="480"/>
        <w:rPr>
          <w:kern w:val="0"/>
          <w:sz w:val="24"/>
        </w:rPr>
      </w:pPr>
    </w:p>
    <w:p w:rsidR="00783788" w:rsidRDefault="002C6E18">
      <w:pPr>
        <w:widowControl/>
        <w:adjustRightInd w:val="0"/>
        <w:snapToGrid w:val="0"/>
        <w:spacing w:beforeLines="100" w:before="240" w:afterLines="50" w:after="120" w:line="360" w:lineRule="auto"/>
        <w:jc w:val="center"/>
        <w:outlineLvl w:val="0"/>
        <w:rPr>
          <w:rFonts w:ascii="宋体" w:hAnsi="宋体"/>
          <w:b/>
          <w:kern w:val="0"/>
          <w:sz w:val="30"/>
        </w:rPr>
      </w:pPr>
      <w:bookmarkStart w:id="111" w:name="_Toc382321335"/>
      <w:r>
        <w:rPr>
          <w:rFonts w:ascii="宋体" w:hAnsi="宋体" w:hint="eastAsia"/>
          <w:b/>
          <w:kern w:val="0"/>
          <w:sz w:val="30"/>
        </w:rPr>
        <w:t>二十四、其他应披露事项</w:t>
      </w:r>
      <w:bookmarkEnd w:id="111"/>
    </w:p>
    <w:p w:rsidR="00783788" w:rsidRDefault="002C6E18">
      <w:pPr>
        <w:widowControl/>
        <w:adjustRightInd w:val="0"/>
        <w:snapToGrid w:val="0"/>
        <w:spacing w:line="360" w:lineRule="auto"/>
        <w:ind w:firstLineChars="200" w:firstLine="480"/>
        <w:rPr>
          <w:rFonts w:hAnsi="宋体"/>
          <w:kern w:val="0"/>
          <w:sz w:val="24"/>
        </w:rPr>
      </w:pPr>
      <w:r>
        <w:rPr>
          <w:rFonts w:hAnsi="宋体"/>
          <w:kern w:val="0"/>
          <w:sz w:val="24"/>
        </w:rPr>
        <w:t>基金合同如有未尽事宜，由基金合同当事人各方按有关法律法规协商解决。</w:t>
      </w:r>
    </w:p>
    <w:p w:rsidR="00783788" w:rsidRDefault="002C6E18">
      <w:pPr>
        <w:widowControl/>
        <w:spacing w:line="360" w:lineRule="auto"/>
        <w:ind w:rightChars="-85" w:right="-178" w:firstLineChars="200" w:firstLine="480"/>
        <w:jc w:val="left"/>
        <w:rPr>
          <w:kern w:val="0"/>
          <w:sz w:val="24"/>
        </w:rPr>
      </w:pPr>
      <w:r>
        <w:rPr>
          <w:rFonts w:hint="eastAsia"/>
          <w:kern w:val="0"/>
          <w:sz w:val="24"/>
        </w:rPr>
        <w:t>1</w:t>
      </w:r>
      <w:r>
        <w:rPr>
          <w:rFonts w:hint="eastAsia"/>
          <w:kern w:val="0"/>
          <w:sz w:val="24"/>
        </w:rPr>
        <w:t>、自合同生效以来，本基金管理人及基金托管人涉及托管业务无诉讼、仲裁事项。</w:t>
      </w:r>
    </w:p>
    <w:p w:rsidR="00783788" w:rsidRDefault="002C6E18">
      <w:pPr>
        <w:widowControl/>
        <w:spacing w:line="360" w:lineRule="auto"/>
        <w:ind w:rightChars="-85" w:right="-178" w:firstLineChars="200" w:firstLine="480"/>
        <w:jc w:val="left"/>
        <w:rPr>
          <w:kern w:val="0"/>
          <w:sz w:val="24"/>
        </w:rPr>
      </w:pPr>
      <w:r>
        <w:rPr>
          <w:rFonts w:hint="eastAsia"/>
          <w:kern w:val="0"/>
          <w:sz w:val="24"/>
        </w:rPr>
        <w:t>2</w:t>
      </w:r>
      <w:r>
        <w:rPr>
          <w:rFonts w:hint="eastAsia"/>
          <w:kern w:val="0"/>
          <w:sz w:val="24"/>
        </w:rPr>
        <w:t>、</w:t>
      </w:r>
      <w:r>
        <w:rPr>
          <w:rFonts w:ascii="宋体" w:hAnsi="宋体" w:cs="宋体" w:hint="eastAsia"/>
          <w:kern w:val="0"/>
          <w:sz w:val="24"/>
        </w:rPr>
        <w:t>本基金管理人和基金托管人涉及托管业务的高级管理人员在本期内未受到任何处分。</w:t>
      </w:r>
    </w:p>
    <w:p w:rsidR="00783788" w:rsidRDefault="002C6E18">
      <w:pPr>
        <w:widowControl/>
        <w:spacing w:line="360" w:lineRule="auto"/>
        <w:ind w:rightChars="-85" w:right="-178" w:firstLineChars="200" w:firstLine="480"/>
        <w:jc w:val="left"/>
        <w:rPr>
          <w:kern w:val="0"/>
          <w:sz w:val="24"/>
        </w:rPr>
      </w:pPr>
      <w:r>
        <w:rPr>
          <w:rFonts w:hint="eastAsia"/>
          <w:kern w:val="0"/>
          <w:sz w:val="24"/>
        </w:rPr>
        <w:t>3</w:t>
      </w:r>
      <w:r>
        <w:rPr>
          <w:kern w:val="0"/>
          <w:sz w:val="24"/>
        </w:rPr>
        <w:t>、本招募说明书更新期间基金披露的其他重要事项</w:t>
      </w:r>
    </w:p>
    <w:p w:rsidR="00783788" w:rsidRDefault="002C6E18">
      <w:pPr>
        <w:widowControl/>
        <w:adjustRightInd w:val="0"/>
        <w:snapToGrid w:val="0"/>
        <w:spacing w:line="360" w:lineRule="auto"/>
        <w:ind w:firstLineChars="200" w:firstLine="480"/>
        <w:rPr>
          <w:kern w:val="0"/>
          <w:sz w:val="24"/>
        </w:rPr>
      </w:pPr>
      <w:r>
        <w:rPr>
          <w:kern w:val="0"/>
          <w:sz w:val="24"/>
        </w:rPr>
        <w:t xml:space="preserve"> </w:t>
      </w:r>
    </w:p>
    <w:tbl>
      <w:tblPr>
        <w:tblW w:w="8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5"/>
        <w:gridCol w:w="4174"/>
        <w:gridCol w:w="1827"/>
        <w:gridCol w:w="1967"/>
      </w:tblGrid>
      <w:tr w:rsidR="00783788">
        <w:tc>
          <w:tcPr>
            <w:tcW w:w="955" w:type="dxa"/>
            <w:tcBorders>
              <w:top w:val="single" w:sz="4" w:space="0" w:color="auto"/>
              <w:left w:val="single" w:sz="4" w:space="0" w:color="auto"/>
              <w:bottom w:val="single" w:sz="4" w:space="0" w:color="auto"/>
              <w:right w:val="single" w:sz="4" w:space="0" w:color="auto"/>
            </w:tcBorders>
            <w:vAlign w:val="center"/>
          </w:tcPr>
          <w:p w:rsidR="00783788" w:rsidRDefault="002C6E18">
            <w:pPr>
              <w:contextualSpacing/>
              <w:jc w:val="center"/>
              <w:rPr>
                <w:color w:val="000000"/>
                <w:sz w:val="24"/>
              </w:rPr>
            </w:pPr>
            <w:r>
              <w:rPr>
                <w:color w:val="000000"/>
                <w:sz w:val="24"/>
              </w:rPr>
              <w:t>序号</w:t>
            </w:r>
          </w:p>
        </w:tc>
        <w:tc>
          <w:tcPr>
            <w:tcW w:w="4174" w:type="dxa"/>
            <w:tcBorders>
              <w:top w:val="single" w:sz="4" w:space="0" w:color="auto"/>
              <w:left w:val="single" w:sz="4" w:space="0" w:color="auto"/>
              <w:bottom w:val="single" w:sz="4" w:space="0" w:color="auto"/>
              <w:right w:val="single" w:sz="4" w:space="0" w:color="auto"/>
            </w:tcBorders>
            <w:vAlign w:val="center"/>
          </w:tcPr>
          <w:p w:rsidR="00783788" w:rsidRDefault="002C6E18">
            <w:pPr>
              <w:contextualSpacing/>
              <w:jc w:val="center"/>
              <w:rPr>
                <w:sz w:val="24"/>
              </w:rPr>
            </w:pPr>
            <w:r>
              <w:rPr>
                <w:sz w:val="24"/>
              </w:rPr>
              <w:t>公告事项</w:t>
            </w:r>
          </w:p>
        </w:tc>
        <w:tc>
          <w:tcPr>
            <w:tcW w:w="1827" w:type="dxa"/>
            <w:tcBorders>
              <w:top w:val="single" w:sz="4" w:space="0" w:color="auto"/>
              <w:left w:val="single" w:sz="4" w:space="0" w:color="auto"/>
              <w:bottom w:val="single" w:sz="4" w:space="0" w:color="auto"/>
              <w:right w:val="single" w:sz="4" w:space="0" w:color="auto"/>
            </w:tcBorders>
            <w:vAlign w:val="center"/>
          </w:tcPr>
          <w:p w:rsidR="00783788" w:rsidRDefault="002C6E18">
            <w:pPr>
              <w:contextualSpacing/>
              <w:jc w:val="left"/>
              <w:rPr>
                <w:sz w:val="24"/>
              </w:rPr>
            </w:pPr>
            <w:r>
              <w:rPr>
                <w:sz w:val="24"/>
              </w:rPr>
              <w:t>法定披露方式</w:t>
            </w:r>
          </w:p>
        </w:tc>
        <w:tc>
          <w:tcPr>
            <w:tcW w:w="1967" w:type="dxa"/>
            <w:tcBorders>
              <w:top w:val="single" w:sz="4" w:space="0" w:color="auto"/>
              <w:left w:val="single" w:sz="4" w:space="0" w:color="auto"/>
              <w:bottom w:val="single" w:sz="4" w:space="0" w:color="auto"/>
              <w:right w:val="single" w:sz="4" w:space="0" w:color="auto"/>
            </w:tcBorders>
            <w:vAlign w:val="center"/>
          </w:tcPr>
          <w:p w:rsidR="00783788" w:rsidRDefault="002C6E18">
            <w:pPr>
              <w:contextualSpacing/>
              <w:jc w:val="center"/>
              <w:rPr>
                <w:color w:val="000000"/>
                <w:sz w:val="24"/>
              </w:rPr>
            </w:pPr>
            <w:r>
              <w:rPr>
                <w:color w:val="000000"/>
                <w:sz w:val="24"/>
              </w:rPr>
              <w:t>法定披露日期</w:t>
            </w:r>
          </w:p>
        </w:tc>
      </w:tr>
      <w:tr w:rsidR="00783788">
        <w:tc>
          <w:tcPr>
            <w:tcW w:w="955" w:type="dxa"/>
            <w:tcBorders>
              <w:top w:val="single" w:sz="4" w:space="0" w:color="auto"/>
              <w:left w:val="single" w:sz="4" w:space="0" w:color="auto"/>
              <w:bottom w:val="single" w:sz="4" w:space="0" w:color="auto"/>
              <w:right w:val="single" w:sz="4" w:space="0" w:color="auto"/>
            </w:tcBorders>
            <w:vAlign w:val="center"/>
          </w:tcPr>
          <w:p w:rsidR="00783788" w:rsidRDefault="002C6E18">
            <w:pPr>
              <w:contextualSpacing/>
              <w:jc w:val="center"/>
              <w:rPr>
                <w:color w:val="000000"/>
                <w:sz w:val="24"/>
              </w:rPr>
            </w:pPr>
            <w:r>
              <w:rPr>
                <w:color w:val="000000"/>
                <w:sz w:val="24"/>
              </w:rPr>
              <w:t>1</w:t>
            </w:r>
          </w:p>
        </w:tc>
        <w:tc>
          <w:tcPr>
            <w:tcW w:w="4174" w:type="dxa"/>
            <w:tcBorders>
              <w:top w:val="single" w:sz="4" w:space="0" w:color="auto"/>
              <w:left w:val="single" w:sz="4" w:space="0" w:color="auto"/>
              <w:bottom w:val="single" w:sz="4" w:space="0" w:color="auto"/>
              <w:right w:val="single" w:sz="4" w:space="0" w:color="auto"/>
            </w:tcBorders>
            <w:vAlign w:val="center"/>
          </w:tcPr>
          <w:p w:rsidR="00783788" w:rsidRDefault="002C6E18">
            <w:pPr>
              <w:widowControl/>
              <w:jc w:val="left"/>
              <w:rPr>
                <w:color w:val="000000"/>
                <w:sz w:val="24"/>
              </w:rPr>
            </w:pPr>
            <w:r>
              <w:rPr>
                <w:rFonts w:hint="eastAsia"/>
                <w:color w:val="000000"/>
                <w:sz w:val="24"/>
              </w:rPr>
              <w:t>交银施罗德基金管理有限公司关于增加联讯证券股份有限公司为旗下部分基金场外销售机构的公告</w:t>
            </w:r>
          </w:p>
        </w:tc>
        <w:tc>
          <w:tcPr>
            <w:tcW w:w="1827" w:type="dxa"/>
            <w:tcBorders>
              <w:top w:val="single" w:sz="4" w:space="0" w:color="auto"/>
              <w:left w:val="single" w:sz="4" w:space="0" w:color="auto"/>
              <w:bottom w:val="single" w:sz="4" w:space="0" w:color="auto"/>
              <w:right w:val="single" w:sz="4" w:space="0" w:color="auto"/>
            </w:tcBorders>
            <w:vAlign w:val="center"/>
          </w:tcPr>
          <w:p w:rsidR="00783788" w:rsidRDefault="002C6E18">
            <w:pPr>
              <w:contextualSpacing/>
              <w:jc w:val="left"/>
              <w:rPr>
                <w:sz w:val="24"/>
              </w:rPr>
            </w:pPr>
            <w:r>
              <w:rPr>
                <w:sz w:val="24"/>
              </w:rPr>
              <w:t>中国证券报、上海证券报、证券时报</w:t>
            </w:r>
          </w:p>
        </w:tc>
        <w:tc>
          <w:tcPr>
            <w:tcW w:w="1967" w:type="dxa"/>
            <w:tcBorders>
              <w:top w:val="single" w:sz="4" w:space="0" w:color="auto"/>
              <w:left w:val="single" w:sz="4" w:space="0" w:color="auto"/>
              <w:bottom w:val="single" w:sz="4" w:space="0" w:color="auto"/>
              <w:right w:val="single" w:sz="4" w:space="0" w:color="auto"/>
            </w:tcBorders>
            <w:vAlign w:val="center"/>
          </w:tcPr>
          <w:p w:rsidR="00783788" w:rsidRDefault="002C6E18">
            <w:pPr>
              <w:widowControl/>
              <w:jc w:val="center"/>
              <w:rPr>
                <w:color w:val="000000"/>
                <w:sz w:val="24"/>
              </w:rPr>
            </w:pPr>
            <w:r>
              <w:rPr>
                <w:rFonts w:hint="eastAsia"/>
                <w:color w:val="000000"/>
                <w:sz w:val="24"/>
              </w:rPr>
              <w:t>2014-9-19</w:t>
            </w:r>
          </w:p>
        </w:tc>
      </w:tr>
      <w:tr w:rsidR="00783788">
        <w:tc>
          <w:tcPr>
            <w:tcW w:w="955" w:type="dxa"/>
            <w:tcBorders>
              <w:top w:val="single" w:sz="4" w:space="0" w:color="auto"/>
              <w:left w:val="single" w:sz="4" w:space="0" w:color="auto"/>
              <w:bottom w:val="single" w:sz="4" w:space="0" w:color="auto"/>
              <w:right w:val="single" w:sz="4" w:space="0" w:color="auto"/>
            </w:tcBorders>
            <w:vAlign w:val="center"/>
          </w:tcPr>
          <w:p w:rsidR="00783788" w:rsidRDefault="002C6E18">
            <w:pPr>
              <w:contextualSpacing/>
              <w:jc w:val="center"/>
              <w:rPr>
                <w:color w:val="000000"/>
                <w:sz w:val="24"/>
              </w:rPr>
            </w:pPr>
            <w:r>
              <w:rPr>
                <w:color w:val="000000"/>
                <w:sz w:val="24"/>
              </w:rPr>
              <w:t>2</w:t>
            </w:r>
          </w:p>
        </w:tc>
        <w:tc>
          <w:tcPr>
            <w:tcW w:w="4174" w:type="dxa"/>
            <w:tcBorders>
              <w:top w:val="single" w:sz="4" w:space="0" w:color="auto"/>
              <w:left w:val="single" w:sz="4" w:space="0" w:color="auto"/>
              <w:bottom w:val="single" w:sz="4" w:space="0" w:color="auto"/>
              <w:right w:val="single" w:sz="4" w:space="0" w:color="auto"/>
            </w:tcBorders>
            <w:vAlign w:val="center"/>
          </w:tcPr>
          <w:p w:rsidR="00783788" w:rsidRDefault="002C6E18">
            <w:pPr>
              <w:rPr>
                <w:color w:val="000000"/>
                <w:sz w:val="24"/>
              </w:rPr>
            </w:pPr>
            <w:r>
              <w:rPr>
                <w:rFonts w:hint="eastAsia"/>
                <w:color w:val="000000"/>
                <w:sz w:val="24"/>
              </w:rPr>
              <w:t>交银施罗德基金管理有限公司关于旗下基金所持停牌股票估值调整的公告</w:t>
            </w:r>
          </w:p>
        </w:tc>
        <w:tc>
          <w:tcPr>
            <w:tcW w:w="1827" w:type="dxa"/>
            <w:tcBorders>
              <w:top w:val="single" w:sz="4" w:space="0" w:color="auto"/>
              <w:left w:val="single" w:sz="4" w:space="0" w:color="auto"/>
              <w:bottom w:val="single" w:sz="4" w:space="0" w:color="auto"/>
              <w:right w:val="single" w:sz="4" w:space="0" w:color="auto"/>
            </w:tcBorders>
            <w:vAlign w:val="center"/>
          </w:tcPr>
          <w:p w:rsidR="00783788" w:rsidRDefault="002C6E18">
            <w:pPr>
              <w:contextualSpacing/>
              <w:jc w:val="left"/>
              <w:rPr>
                <w:sz w:val="24"/>
              </w:rPr>
            </w:pPr>
            <w:r>
              <w:rPr>
                <w:sz w:val="24"/>
              </w:rPr>
              <w:t>中国证券报、上海证券报、证券时报</w:t>
            </w:r>
          </w:p>
        </w:tc>
        <w:tc>
          <w:tcPr>
            <w:tcW w:w="1967" w:type="dxa"/>
            <w:tcBorders>
              <w:top w:val="single" w:sz="4" w:space="0" w:color="auto"/>
              <w:left w:val="single" w:sz="4" w:space="0" w:color="auto"/>
              <w:bottom w:val="single" w:sz="4" w:space="0" w:color="auto"/>
              <w:right w:val="single" w:sz="4" w:space="0" w:color="auto"/>
            </w:tcBorders>
            <w:vAlign w:val="center"/>
          </w:tcPr>
          <w:p w:rsidR="00783788" w:rsidRDefault="002C6E18">
            <w:pPr>
              <w:jc w:val="center"/>
              <w:rPr>
                <w:color w:val="000000"/>
                <w:sz w:val="24"/>
              </w:rPr>
            </w:pPr>
            <w:r>
              <w:rPr>
                <w:rFonts w:hint="eastAsia"/>
                <w:color w:val="000000"/>
                <w:sz w:val="24"/>
              </w:rPr>
              <w:t>2014-10-9</w:t>
            </w:r>
          </w:p>
        </w:tc>
      </w:tr>
      <w:tr w:rsidR="00783788">
        <w:tc>
          <w:tcPr>
            <w:tcW w:w="955" w:type="dxa"/>
            <w:tcBorders>
              <w:top w:val="single" w:sz="4" w:space="0" w:color="auto"/>
              <w:left w:val="single" w:sz="4" w:space="0" w:color="auto"/>
              <w:bottom w:val="single" w:sz="4" w:space="0" w:color="auto"/>
              <w:right w:val="single" w:sz="4" w:space="0" w:color="auto"/>
            </w:tcBorders>
            <w:vAlign w:val="center"/>
          </w:tcPr>
          <w:p w:rsidR="00783788" w:rsidRDefault="002C6E18">
            <w:pPr>
              <w:contextualSpacing/>
              <w:jc w:val="center"/>
              <w:rPr>
                <w:color w:val="000000"/>
                <w:sz w:val="24"/>
              </w:rPr>
            </w:pPr>
            <w:r>
              <w:rPr>
                <w:color w:val="000000"/>
                <w:sz w:val="24"/>
              </w:rPr>
              <w:t>3</w:t>
            </w:r>
          </w:p>
        </w:tc>
        <w:tc>
          <w:tcPr>
            <w:tcW w:w="4174" w:type="dxa"/>
            <w:tcBorders>
              <w:top w:val="single" w:sz="4" w:space="0" w:color="auto"/>
              <w:left w:val="single" w:sz="4" w:space="0" w:color="auto"/>
              <w:bottom w:val="single" w:sz="4" w:space="0" w:color="auto"/>
              <w:right w:val="single" w:sz="4" w:space="0" w:color="auto"/>
            </w:tcBorders>
            <w:vAlign w:val="center"/>
          </w:tcPr>
          <w:p w:rsidR="00783788" w:rsidRDefault="002C6E18">
            <w:pPr>
              <w:rPr>
                <w:color w:val="000000"/>
                <w:sz w:val="24"/>
              </w:rPr>
            </w:pPr>
            <w:r>
              <w:rPr>
                <w:rFonts w:hint="eastAsia"/>
                <w:color w:val="000000"/>
                <w:sz w:val="24"/>
              </w:rPr>
              <w:t>交银施罗德基金管理有限公司关于增加深圳市新兰德证券投资咨询有限公司为旗下部分基金的场外销售机构并参与电子交易平台基金前端申购费率优惠活动的公告</w:t>
            </w:r>
          </w:p>
        </w:tc>
        <w:tc>
          <w:tcPr>
            <w:tcW w:w="1827" w:type="dxa"/>
            <w:tcBorders>
              <w:top w:val="single" w:sz="4" w:space="0" w:color="auto"/>
              <w:left w:val="single" w:sz="4" w:space="0" w:color="auto"/>
              <w:bottom w:val="single" w:sz="4" w:space="0" w:color="auto"/>
              <w:right w:val="single" w:sz="4" w:space="0" w:color="auto"/>
            </w:tcBorders>
            <w:vAlign w:val="center"/>
          </w:tcPr>
          <w:p w:rsidR="00783788" w:rsidRDefault="002C6E18">
            <w:pPr>
              <w:contextualSpacing/>
              <w:jc w:val="left"/>
              <w:rPr>
                <w:sz w:val="24"/>
              </w:rPr>
            </w:pPr>
            <w:r>
              <w:rPr>
                <w:sz w:val="24"/>
              </w:rPr>
              <w:t>中国证券报、上海证券报、证券时报</w:t>
            </w:r>
          </w:p>
        </w:tc>
        <w:tc>
          <w:tcPr>
            <w:tcW w:w="1967" w:type="dxa"/>
            <w:tcBorders>
              <w:top w:val="single" w:sz="4" w:space="0" w:color="auto"/>
              <w:left w:val="single" w:sz="4" w:space="0" w:color="auto"/>
              <w:bottom w:val="single" w:sz="4" w:space="0" w:color="auto"/>
              <w:right w:val="single" w:sz="4" w:space="0" w:color="auto"/>
            </w:tcBorders>
            <w:vAlign w:val="center"/>
          </w:tcPr>
          <w:p w:rsidR="00783788" w:rsidRDefault="002C6E18">
            <w:pPr>
              <w:jc w:val="center"/>
              <w:rPr>
                <w:color w:val="000000"/>
                <w:sz w:val="24"/>
              </w:rPr>
            </w:pPr>
            <w:r>
              <w:rPr>
                <w:rFonts w:hint="eastAsia"/>
                <w:color w:val="000000"/>
                <w:sz w:val="24"/>
              </w:rPr>
              <w:t>2014-10-17</w:t>
            </w:r>
          </w:p>
        </w:tc>
      </w:tr>
      <w:tr w:rsidR="00783788">
        <w:tc>
          <w:tcPr>
            <w:tcW w:w="955" w:type="dxa"/>
            <w:tcBorders>
              <w:top w:val="single" w:sz="4" w:space="0" w:color="auto"/>
              <w:left w:val="single" w:sz="4" w:space="0" w:color="auto"/>
              <w:bottom w:val="single" w:sz="4" w:space="0" w:color="auto"/>
              <w:right w:val="single" w:sz="4" w:space="0" w:color="auto"/>
            </w:tcBorders>
            <w:vAlign w:val="center"/>
          </w:tcPr>
          <w:p w:rsidR="00783788" w:rsidRDefault="002C6E18">
            <w:pPr>
              <w:contextualSpacing/>
              <w:jc w:val="center"/>
              <w:rPr>
                <w:color w:val="000000"/>
                <w:sz w:val="24"/>
              </w:rPr>
            </w:pPr>
            <w:r>
              <w:rPr>
                <w:color w:val="000000"/>
                <w:sz w:val="24"/>
              </w:rPr>
              <w:t>4</w:t>
            </w:r>
          </w:p>
        </w:tc>
        <w:tc>
          <w:tcPr>
            <w:tcW w:w="4174" w:type="dxa"/>
            <w:tcBorders>
              <w:top w:val="single" w:sz="4" w:space="0" w:color="auto"/>
              <w:left w:val="single" w:sz="4" w:space="0" w:color="auto"/>
              <w:bottom w:val="single" w:sz="4" w:space="0" w:color="auto"/>
              <w:right w:val="single" w:sz="4" w:space="0" w:color="auto"/>
            </w:tcBorders>
            <w:vAlign w:val="center"/>
          </w:tcPr>
          <w:p w:rsidR="00783788" w:rsidRDefault="002C6E18">
            <w:pPr>
              <w:rPr>
                <w:color w:val="000000"/>
                <w:sz w:val="24"/>
              </w:rPr>
            </w:pPr>
            <w:r>
              <w:rPr>
                <w:rFonts w:hint="eastAsia"/>
                <w:color w:val="000000"/>
                <w:sz w:val="24"/>
              </w:rPr>
              <w:t>交银施罗德定期支付双息平衡混合型证券投资基金（更新）招募说明书摘要（</w:t>
            </w:r>
            <w:r>
              <w:rPr>
                <w:rFonts w:hint="eastAsia"/>
                <w:color w:val="000000"/>
                <w:sz w:val="24"/>
              </w:rPr>
              <w:t>2014</w:t>
            </w:r>
            <w:r>
              <w:rPr>
                <w:rFonts w:hint="eastAsia"/>
                <w:color w:val="000000"/>
                <w:sz w:val="24"/>
              </w:rPr>
              <w:t>年第</w:t>
            </w:r>
            <w:r>
              <w:rPr>
                <w:rFonts w:hint="eastAsia"/>
                <w:color w:val="000000"/>
                <w:sz w:val="24"/>
              </w:rPr>
              <w:t>2</w:t>
            </w:r>
            <w:r>
              <w:rPr>
                <w:rFonts w:hint="eastAsia"/>
                <w:color w:val="000000"/>
                <w:sz w:val="24"/>
              </w:rPr>
              <w:t>号）</w:t>
            </w:r>
          </w:p>
        </w:tc>
        <w:tc>
          <w:tcPr>
            <w:tcW w:w="1827" w:type="dxa"/>
            <w:tcBorders>
              <w:top w:val="single" w:sz="4" w:space="0" w:color="auto"/>
              <w:left w:val="single" w:sz="4" w:space="0" w:color="auto"/>
              <w:bottom w:val="single" w:sz="4" w:space="0" w:color="auto"/>
              <w:right w:val="single" w:sz="4" w:space="0" w:color="auto"/>
            </w:tcBorders>
            <w:vAlign w:val="center"/>
          </w:tcPr>
          <w:p w:rsidR="00783788" w:rsidRDefault="002C6E18">
            <w:pPr>
              <w:contextualSpacing/>
              <w:jc w:val="left"/>
              <w:rPr>
                <w:sz w:val="24"/>
              </w:rPr>
            </w:pPr>
            <w:r>
              <w:rPr>
                <w:sz w:val="24"/>
              </w:rPr>
              <w:t>中国证券报、上海证券报、证券时报</w:t>
            </w:r>
          </w:p>
        </w:tc>
        <w:tc>
          <w:tcPr>
            <w:tcW w:w="1967" w:type="dxa"/>
            <w:tcBorders>
              <w:top w:val="single" w:sz="4" w:space="0" w:color="auto"/>
              <w:left w:val="single" w:sz="4" w:space="0" w:color="auto"/>
              <w:bottom w:val="single" w:sz="4" w:space="0" w:color="auto"/>
              <w:right w:val="single" w:sz="4" w:space="0" w:color="auto"/>
            </w:tcBorders>
            <w:vAlign w:val="center"/>
          </w:tcPr>
          <w:p w:rsidR="00783788" w:rsidRDefault="002C6E18">
            <w:pPr>
              <w:jc w:val="center"/>
              <w:rPr>
                <w:color w:val="000000"/>
                <w:sz w:val="24"/>
              </w:rPr>
            </w:pPr>
            <w:r>
              <w:rPr>
                <w:rFonts w:hint="eastAsia"/>
                <w:color w:val="000000"/>
                <w:sz w:val="24"/>
              </w:rPr>
              <w:t>2014-10-18</w:t>
            </w:r>
          </w:p>
        </w:tc>
      </w:tr>
      <w:tr w:rsidR="00783788">
        <w:tc>
          <w:tcPr>
            <w:tcW w:w="955" w:type="dxa"/>
            <w:tcBorders>
              <w:top w:val="single" w:sz="4" w:space="0" w:color="auto"/>
              <w:left w:val="single" w:sz="4" w:space="0" w:color="auto"/>
              <w:bottom w:val="single" w:sz="4" w:space="0" w:color="auto"/>
              <w:right w:val="single" w:sz="4" w:space="0" w:color="auto"/>
            </w:tcBorders>
            <w:vAlign w:val="center"/>
          </w:tcPr>
          <w:p w:rsidR="00783788" w:rsidRDefault="002C6E18">
            <w:pPr>
              <w:contextualSpacing/>
              <w:jc w:val="center"/>
              <w:rPr>
                <w:color w:val="000000"/>
                <w:sz w:val="24"/>
              </w:rPr>
            </w:pPr>
            <w:r>
              <w:rPr>
                <w:color w:val="000000"/>
                <w:sz w:val="24"/>
              </w:rPr>
              <w:t>5</w:t>
            </w:r>
          </w:p>
        </w:tc>
        <w:tc>
          <w:tcPr>
            <w:tcW w:w="4174" w:type="dxa"/>
            <w:tcBorders>
              <w:top w:val="single" w:sz="4" w:space="0" w:color="auto"/>
              <w:left w:val="single" w:sz="4" w:space="0" w:color="auto"/>
              <w:bottom w:val="single" w:sz="4" w:space="0" w:color="auto"/>
              <w:right w:val="single" w:sz="4" w:space="0" w:color="auto"/>
            </w:tcBorders>
            <w:vAlign w:val="center"/>
          </w:tcPr>
          <w:p w:rsidR="00783788" w:rsidRDefault="002C6E18">
            <w:pPr>
              <w:rPr>
                <w:color w:val="000000"/>
                <w:sz w:val="24"/>
              </w:rPr>
            </w:pPr>
            <w:r>
              <w:rPr>
                <w:rFonts w:hint="eastAsia"/>
                <w:color w:val="000000"/>
                <w:sz w:val="24"/>
              </w:rPr>
              <w:t>交银施罗德定期支付双息平衡混合型证券投资基金</w:t>
            </w:r>
            <w:r>
              <w:rPr>
                <w:rFonts w:hint="eastAsia"/>
                <w:color w:val="000000"/>
                <w:sz w:val="24"/>
              </w:rPr>
              <w:t>2014</w:t>
            </w:r>
            <w:r>
              <w:rPr>
                <w:rFonts w:hint="eastAsia"/>
                <w:color w:val="000000"/>
                <w:sz w:val="24"/>
              </w:rPr>
              <w:t>年第</w:t>
            </w:r>
            <w:r>
              <w:rPr>
                <w:rFonts w:hint="eastAsia"/>
                <w:color w:val="000000"/>
                <w:sz w:val="24"/>
              </w:rPr>
              <w:t>3</w:t>
            </w:r>
            <w:r>
              <w:rPr>
                <w:rFonts w:hint="eastAsia"/>
                <w:color w:val="000000"/>
                <w:sz w:val="24"/>
              </w:rPr>
              <w:t>季度报告</w:t>
            </w:r>
          </w:p>
        </w:tc>
        <w:tc>
          <w:tcPr>
            <w:tcW w:w="1827" w:type="dxa"/>
            <w:tcBorders>
              <w:top w:val="single" w:sz="4" w:space="0" w:color="auto"/>
              <w:left w:val="single" w:sz="4" w:space="0" w:color="auto"/>
              <w:bottom w:val="single" w:sz="4" w:space="0" w:color="auto"/>
              <w:right w:val="single" w:sz="4" w:space="0" w:color="auto"/>
            </w:tcBorders>
            <w:vAlign w:val="center"/>
          </w:tcPr>
          <w:p w:rsidR="00783788" w:rsidRDefault="002C6E18">
            <w:pPr>
              <w:contextualSpacing/>
              <w:jc w:val="left"/>
              <w:rPr>
                <w:sz w:val="24"/>
              </w:rPr>
            </w:pPr>
            <w:r>
              <w:rPr>
                <w:sz w:val="24"/>
              </w:rPr>
              <w:t>中国证券报、上海证券报、证券时报</w:t>
            </w:r>
          </w:p>
        </w:tc>
        <w:tc>
          <w:tcPr>
            <w:tcW w:w="1967" w:type="dxa"/>
            <w:tcBorders>
              <w:top w:val="single" w:sz="4" w:space="0" w:color="auto"/>
              <w:left w:val="single" w:sz="4" w:space="0" w:color="auto"/>
              <w:bottom w:val="single" w:sz="4" w:space="0" w:color="auto"/>
              <w:right w:val="single" w:sz="4" w:space="0" w:color="auto"/>
            </w:tcBorders>
            <w:vAlign w:val="center"/>
          </w:tcPr>
          <w:p w:rsidR="00783788" w:rsidRDefault="002C6E18">
            <w:pPr>
              <w:jc w:val="center"/>
              <w:rPr>
                <w:color w:val="000000"/>
                <w:sz w:val="24"/>
              </w:rPr>
            </w:pPr>
            <w:r>
              <w:rPr>
                <w:rFonts w:hint="eastAsia"/>
                <w:color w:val="000000"/>
                <w:sz w:val="24"/>
              </w:rPr>
              <w:t>2014-10-24</w:t>
            </w:r>
          </w:p>
        </w:tc>
      </w:tr>
      <w:tr w:rsidR="00783788">
        <w:tc>
          <w:tcPr>
            <w:tcW w:w="955" w:type="dxa"/>
            <w:tcBorders>
              <w:top w:val="single" w:sz="4" w:space="0" w:color="auto"/>
              <w:left w:val="single" w:sz="4" w:space="0" w:color="auto"/>
              <w:bottom w:val="single" w:sz="4" w:space="0" w:color="auto"/>
              <w:right w:val="single" w:sz="4" w:space="0" w:color="auto"/>
            </w:tcBorders>
            <w:vAlign w:val="center"/>
          </w:tcPr>
          <w:p w:rsidR="00783788" w:rsidRDefault="002C6E18">
            <w:pPr>
              <w:contextualSpacing/>
              <w:jc w:val="center"/>
              <w:rPr>
                <w:color w:val="000000"/>
                <w:sz w:val="24"/>
              </w:rPr>
            </w:pPr>
            <w:r>
              <w:rPr>
                <w:color w:val="000000"/>
                <w:sz w:val="24"/>
              </w:rPr>
              <w:t>6</w:t>
            </w:r>
          </w:p>
        </w:tc>
        <w:tc>
          <w:tcPr>
            <w:tcW w:w="4174" w:type="dxa"/>
            <w:tcBorders>
              <w:top w:val="single" w:sz="4" w:space="0" w:color="auto"/>
              <w:left w:val="single" w:sz="4" w:space="0" w:color="auto"/>
              <w:bottom w:val="single" w:sz="4" w:space="0" w:color="auto"/>
              <w:right w:val="single" w:sz="4" w:space="0" w:color="auto"/>
            </w:tcBorders>
            <w:vAlign w:val="center"/>
          </w:tcPr>
          <w:p w:rsidR="00783788" w:rsidRDefault="002C6E18">
            <w:pPr>
              <w:rPr>
                <w:sz w:val="24"/>
              </w:rPr>
            </w:pPr>
            <w:r>
              <w:rPr>
                <w:rFonts w:hint="eastAsia"/>
                <w:sz w:val="24"/>
              </w:rPr>
              <w:t>交银施罗德基金管理有限公司关于网上直销交易平台开通支付宝理财专户支付并实施前端申购费率优惠的公告</w:t>
            </w:r>
          </w:p>
        </w:tc>
        <w:tc>
          <w:tcPr>
            <w:tcW w:w="1827" w:type="dxa"/>
            <w:tcBorders>
              <w:top w:val="single" w:sz="4" w:space="0" w:color="auto"/>
              <w:left w:val="single" w:sz="4" w:space="0" w:color="auto"/>
              <w:bottom w:val="single" w:sz="4" w:space="0" w:color="auto"/>
              <w:right w:val="single" w:sz="4" w:space="0" w:color="auto"/>
            </w:tcBorders>
            <w:vAlign w:val="center"/>
          </w:tcPr>
          <w:p w:rsidR="00783788" w:rsidRDefault="002C6E18">
            <w:pPr>
              <w:contextualSpacing/>
              <w:jc w:val="left"/>
              <w:rPr>
                <w:sz w:val="24"/>
              </w:rPr>
            </w:pPr>
            <w:r>
              <w:rPr>
                <w:sz w:val="24"/>
              </w:rPr>
              <w:t>中国证券报、上海证券报、证券时报</w:t>
            </w:r>
          </w:p>
        </w:tc>
        <w:tc>
          <w:tcPr>
            <w:tcW w:w="1967" w:type="dxa"/>
            <w:tcBorders>
              <w:top w:val="single" w:sz="4" w:space="0" w:color="auto"/>
              <w:left w:val="single" w:sz="4" w:space="0" w:color="auto"/>
              <w:bottom w:val="single" w:sz="4" w:space="0" w:color="auto"/>
              <w:right w:val="single" w:sz="4" w:space="0" w:color="auto"/>
            </w:tcBorders>
            <w:vAlign w:val="center"/>
          </w:tcPr>
          <w:p w:rsidR="00783788" w:rsidRDefault="002C6E18">
            <w:pPr>
              <w:jc w:val="center"/>
              <w:rPr>
                <w:color w:val="000000"/>
                <w:sz w:val="24"/>
              </w:rPr>
            </w:pPr>
            <w:r>
              <w:rPr>
                <w:rFonts w:hint="eastAsia"/>
                <w:color w:val="000000"/>
                <w:sz w:val="24"/>
              </w:rPr>
              <w:t>2014-10-30</w:t>
            </w:r>
          </w:p>
        </w:tc>
      </w:tr>
      <w:tr w:rsidR="00783788">
        <w:tc>
          <w:tcPr>
            <w:tcW w:w="955" w:type="dxa"/>
            <w:tcBorders>
              <w:top w:val="single" w:sz="4" w:space="0" w:color="auto"/>
              <w:left w:val="single" w:sz="4" w:space="0" w:color="auto"/>
              <w:bottom w:val="single" w:sz="4" w:space="0" w:color="auto"/>
              <w:right w:val="single" w:sz="4" w:space="0" w:color="auto"/>
            </w:tcBorders>
            <w:vAlign w:val="center"/>
          </w:tcPr>
          <w:p w:rsidR="00783788" w:rsidRDefault="002C6E18">
            <w:pPr>
              <w:contextualSpacing/>
              <w:jc w:val="center"/>
              <w:rPr>
                <w:color w:val="000000"/>
                <w:sz w:val="24"/>
              </w:rPr>
            </w:pPr>
            <w:r>
              <w:rPr>
                <w:color w:val="000000"/>
                <w:sz w:val="24"/>
              </w:rPr>
              <w:t>7</w:t>
            </w:r>
          </w:p>
        </w:tc>
        <w:tc>
          <w:tcPr>
            <w:tcW w:w="4174" w:type="dxa"/>
            <w:tcBorders>
              <w:top w:val="single" w:sz="4" w:space="0" w:color="auto"/>
              <w:left w:val="single" w:sz="4" w:space="0" w:color="auto"/>
              <w:bottom w:val="single" w:sz="4" w:space="0" w:color="auto"/>
              <w:right w:val="single" w:sz="4" w:space="0" w:color="auto"/>
            </w:tcBorders>
            <w:vAlign w:val="center"/>
          </w:tcPr>
          <w:p w:rsidR="00783788" w:rsidRDefault="002C6E18">
            <w:pPr>
              <w:rPr>
                <w:color w:val="000000"/>
                <w:sz w:val="24"/>
              </w:rPr>
            </w:pPr>
            <w:r>
              <w:rPr>
                <w:rFonts w:hint="eastAsia"/>
                <w:color w:val="000000"/>
                <w:sz w:val="24"/>
              </w:rPr>
              <w:t>交银施罗德基金管理有限公司关于增加北京展恒基金销售有限公司为旗下部分基金的场外销售机构并参与电子交易平台基金前端申购及定期定额投资业务费率优惠活动的公告</w:t>
            </w:r>
          </w:p>
        </w:tc>
        <w:tc>
          <w:tcPr>
            <w:tcW w:w="1827" w:type="dxa"/>
            <w:tcBorders>
              <w:top w:val="single" w:sz="4" w:space="0" w:color="auto"/>
              <w:left w:val="single" w:sz="4" w:space="0" w:color="auto"/>
              <w:bottom w:val="single" w:sz="4" w:space="0" w:color="auto"/>
              <w:right w:val="single" w:sz="4" w:space="0" w:color="auto"/>
            </w:tcBorders>
            <w:vAlign w:val="center"/>
          </w:tcPr>
          <w:p w:rsidR="00783788" w:rsidRDefault="002C6E18">
            <w:pPr>
              <w:contextualSpacing/>
              <w:jc w:val="left"/>
              <w:rPr>
                <w:sz w:val="24"/>
              </w:rPr>
            </w:pPr>
            <w:r>
              <w:rPr>
                <w:sz w:val="24"/>
              </w:rPr>
              <w:t>中国证券报、上海证券报、证券时报</w:t>
            </w:r>
          </w:p>
        </w:tc>
        <w:tc>
          <w:tcPr>
            <w:tcW w:w="1967" w:type="dxa"/>
            <w:tcBorders>
              <w:top w:val="single" w:sz="4" w:space="0" w:color="auto"/>
              <w:left w:val="single" w:sz="4" w:space="0" w:color="auto"/>
              <w:bottom w:val="single" w:sz="4" w:space="0" w:color="auto"/>
              <w:right w:val="single" w:sz="4" w:space="0" w:color="auto"/>
            </w:tcBorders>
            <w:vAlign w:val="center"/>
          </w:tcPr>
          <w:p w:rsidR="00783788" w:rsidRDefault="002C6E18">
            <w:pPr>
              <w:jc w:val="center"/>
              <w:rPr>
                <w:color w:val="000000"/>
                <w:sz w:val="24"/>
              </w:rPr>
            </w:pPr>
            <w:r>
              <w:rPr>
                <w:rFonts w:hint="eastAsia"/>
                <w:color w:val="000000"/>
                <w:sz w:val="24"/>
              </w:rPr>
              <w:t>2014-12-8</w:t>
            </w:r>
          </w:p>
        </w:tc>
      </w:tr>
      <w:tr w:rsidR="00783788">
        <w:tc>
          <w:tcPr>
            <w:tcW w:w="955" w:type="dxa"/>
            <w:tcBorders>
              <w:top w:val="single" w:sz="4" w:space="0" w:color="auto"/>
              <w:left w:val="single" w:sz="4" w:space="0" w:color="auto"/>
              <w:bottom w:val="single" w:sz="4" w:space="0" w:color="auto"/>
              <w:right w:val="single" w:sz="4" w:space="0" w:color="auto"/>
            </w:tcBorders>
            <w:vAlign w:val="center"/>
          </w:tcPr>
          <w:p w:rsidR="00783788" w:rsidRDefault="002C6E18">
            <w:pPr>
              <w:contextualSpacing/>
              <w:jc w:val="center"/>
              <w:rPr>
                <w:color w:val="000000"/>
                <w:sz w:val="24"/>
              </w:rPr>
            </w:pPr>
            <w:r>
              <w:rPr>
                <w:color w:val="000000"/>
                <w:sz w:val="24"/>
              </w:rPr>
              <w:t>8</w:t>
            </w:r>
          </w:p>
        </w:tc>
        <w:tc>
          <w:tcPr>
            <w:tcW w:w="4174" w:type="dxa"/>
            <w:tcBorders>
              <w:top w:val="single" w:sz="4" w:space="0" w:color="auto"/>
              <w:left w:val="single" w:sz="4" w:space="0" w:color="auto"/>
              <w:bottom w:val="single" w:sz="4" w:space="0" w:color="auto"/>
              <w:right w:val="single" w:sz="4" w:space="0" w:color="auto"/>
            </w:tcBorders>
            <w:vAlign w:val="center"/>
          </w:tcPr>
          <w:p w:rsidR="00783788" w:rsidRDefault="002C6E18">
            <w:pPr>
              <w:rPr>
                <w:sz w:val="24"/>
              </w:rPr>
            </w:pPr>
            <w:r>
              <w:rPr>
                <w:rFonts w:hint="eastAsia"/>
                <w:sz w:val="24"/>
              </w:rPr>
              <w:t>交银施罗德基金管理有限公司关于旗下基金所持停牌股票估值调整的公告</w:t>
            </w:r>
          </w:p>
        </w:tc>
        <w:tc>
          <w:tcPr>
            <w:tcW w:w="1827" w:type="dxa"/>
            <w:tcBorders>
              <w:top w:val="single" w:sz="4" w:space="0" w:color="auto"/>
              <w:left w:val="single" w:sz="4" w:space="0" w:color="auto"/>
              <w:bottom w:val="single" w:sz="4" w:space="0" w:color="auto"/>
              <w:right w:val="single" w:sz="4" w:space="0" w:color="auto"/>
            </w:tcBorders>
            <w:vAlign w:val="center"/>
          </w:tcPr>
          <w:p w:rsidR="00783788" w:rsidRDefault="002C6E18">
            <w:pPr>
              <w:contextualSpacing/>
              <w:jc w:val="left"/>
              <w:rPr>
                <w:sz w:val="24"/>
              </w:rPr>
            </w:pPr>
            <w:r>
              <w:rPr>
                <w:sz w:val="24"/>
              </w:rPr>
              <w:t>中国证券报、上海证券报、证券时报</w:t>
            </w:r>
          </w:p>
        </w:tc>
        <w:tc>
          <w:tcPr>
            <w:tcW w:w="1967" w:type="dxa"/>
            <w:tcBorders>
              <w:top w:val="single" w:sz="4" w:space="0" w:color="auto"/>
              <w:left w:val="single" w:sz="4" w:space="0" w:color="auto"/>
              <w:bottom w:val="single" w:sz="4" w:space="0" w:color="auto"/>
              <w:right w:val="single" w:sz="4" w:space="0" w:color="auto"/>
            </w:tcBorders>
            <w:vAlign w:val="center"/>
          </w:tcPr>
          <w:p w:rsidR="00783788" w:rsidRDefault="002C6E18">
            <w:pPr>
              <w:jc w:val="center"/>
              <w:rPr>
                <w:color w:val="000000"/>
                <w:sz w:val="24"/>
              </w:rPr>
            </w:pPr>
            <w:r>
              <w:rPr>
                <w:rFonts w:hint="eastAsia"/>
                <w:color w:val="000000"/>
                <w:sz w:val="24"/>
              </w:rPr>
              <w:t>2014-12-16</w:t>
            </w:r>
          </w:p>
        </w:tc>
      </w:tr>
      <w:tr w:rsidR="00783788">
        <w:tc>
          <w:tcPr>
            <w:tcW w:w="955" w:type="dxa"/>
            <w:tcBorders>
              <w:top w:val="single" w:sz="4" w:space="0" w:color="auto"/>
              <w:left w:val="single" w:sz="4" w:space="0" w:color="auto"/>
              <w:bottom w:val="single" w:sz="4" w:space="0" w:color="auto"/>
              <w:right w:val="single" w:sz="4" w:space="0" w:color="auto"/>
            </w:tcBorders>
            <w:vAlign w:val="center"/>
          </w:tcPr>
          <w:p w:rsidR="00783788" w:rsidRDefault="002C6E18">
            <w:pPr>
              <w:contextualSpacing/>
              <w:jc w:val="center"/>
              <w:rPr>
                <w:color w:val="000000"/>
                <w:sz w:val="24"/>
              </w:rPr>
            </w:pPr>
            <w:r>
              <w:rPr>
                <w:rFonts w:hint="eastAsia"/>
                <w:color w:val="000000"/>
                <w:sz w:val="24"/>
              </w:rPr>
              <w:t>9</w:t>
            </w:r>
          </w:p>
        </w:tc>
        <w:tc>
          <w:tcPr>
            <w:tcW w:w="4174" w:type="dxa"/>
            <w:tcBorders>
              <w:top w:val="single" w:sz="4" w:space="0" w:color="auto"/>
              <w:left w:val="single" w:sz="4" w:space="0" w:color="auto"/>
              <w:bottom w:val="single" w:sz="4" w:space="0" w:color="auto"/>
              <w:right w:val="single" w:sz="4" w:space="0" w:color="auto"/>
            </w:tcBorders>
            <w:vAlign w:val="center"/>
          </w:tcPr>
          <w:p w:rsidR="00783788" w:rsidRDefault="002C6E18">
            <w:pPr>
              <w:rPr>
                <w:color w:val="000000"/>
                <w:sz w:val="24"/>
              </w:rPr>
            </w:pPr>
            <w:r>
              <w:rPr>
                <w:rFonts w:hint="eastAsia"/>
                <w:color w:val="000000"/>
                <w:sz w:val="24"/>
              </w:rPr>
              <w:t>交银施罗德基金管理有限公司关于交银施罗德定期支付双息平衡混合型证券投资基金基金经理变更的公告</w:t>
            </w:r>
          </w:p>
        </w:tc>
        <w:tc>
          <w:tcPr>
            <w:tcW w:w="1827" w:type="dxa"/>
            <w:tcBorders>
              <w:top w:val="single" w:sz="4" w:space="0" w:color="auto"/>
              <w:left w:val="single" w:sz="4" w:space="0" w:color="auto"/>
              <w:bottom w:val="single" w:sz="4" w:space="0" w:color="auto"/>
              <w:right w:val="single" w:sz="4" w:space="0" w:color="auto"/>
            </w:tcBorders>
          </w:tcPr>
          <w:p w:rsidR="00783788" w:rsidRDefault="002C6E18">
            <w:r>
              <w:rPr>
                <w:sz w:val="24"/>
              </w:rPr>
              <w:t>中国证券报、上海证券报、证券时报</w:t>
            </w:r>
          </w:p>
        </w:tc>
        <w:tc>
          <w:tcPr>
            <w:tcW w:w="1967" w:type="dxa"/>
            <w:tcBorders>
              <w:top w:val="single" w:sz="4" w:space="0" w:color="auto"/>
              <w:left w:val="single" w:sz="4" w:space="0" w:color="auto"/>
              <w:bottom w:val="single" w:sz="4" w:space="0" w:color="auto"/>
              <w:right w:val="single" w:sz="4" w:space="0" w:color="auto"/>
            </w:tcBorders>
            <w:vAlign w:val="center"/>
          </w:tcPr>
          <w:p w:rsidR="00783788" w:rsidRDefault="002C6E18">
            <w:pPr>
              <w:jc w:val="center"/>
              <w:rPr>
                <w:color w:val="000000"/>
                <w:sz w:val="24"/>
              </w:rPr>
            </w:pPr>
            <w:r>
              <w:rPr>
                <w:rFonts w:hint="eastAsia"/>
                <w:color w:val="000000"/>
                <w:sz w:val="24"/>
              </w:rPr>
              <w:t>2014-12-19</w:t>
            </w:r>
          </w:p>
        </w:tc>
      </w:tr>
      <w:tr w:rsidR="00783788">
        <w:tc>
          <w:tcPr>
            <w:tcW w:w="955" w:type="dxa"/>
            <w:tcBorders>
              <w:top w:val="single" w:sz="4" w:space="0" w:color="auto"/>
              <w:left w:val="single" w:sz="4" w:space="0" w:color="auto"/>
              <w:bottom w:val="single" w:sz="4" w:space="0" w:color="auto"/>
              <w:right w:val="single" w:sz="4" w:space="0" w:color="auto"/>
            </w:tcBorders>
            <w:vAlign w:val="center"/>
          </w:tcPr>
          <w:p w:rsidR="00783788" w:rsidRDefault="002C6E18">
            <w:pPr>
              <w:contextualSpacing/>
              <w:jc w:val="center"/>
              <w:rPr>
                <w:color w:val="000000"/>
                <w:sz w:val="24"/>
              </w:rPr>
            </w:pPr>
            <w:r>
              <w:rPr>
                <w:rFonts w:hint="eastAsia"/>
                <w:color w:val="000000"/>
                <w:sz w:val="24"/>
              </w:rPr>
              <w:t>10</w:t>
            </w:r>
          </w:p>
        </w:tc>
        <w:tc>
          <w:tcPr>
            <w:tcW w:w="4174" w:type="dxa"/>
            <w:tcBorders>
              <w:top w:val="single" w:sz="4" w:space="0" w:color="auto"/>
              <w:left w:val="single" w:sz="4" w:space="0" w:color="auto"/>
              <w:bottom w:val="single" w:sz="4" w:space="0" w:color="auto"/>
              <w:right w:val="single" w:sz="4" w:space="0" w:color="auto"/>
            </w:tcBorders>
            <w:vAlign w:val="center"/>
          </w:tcPr>
          <w:p w:rsidR="00783788" w:rsidRDefault="002C6E18">
            <w:pPr>
              <w:widowControl/>
              <w:jc w:val="left"/>
              <w:rPr>
                <w:color w:val="000000"/>
                <w:sz w:val="24"/>
              </w:rPr>
            </w:pPr>
            <w:r>
              <w:rPr>
                <w:rFonts w:hint="eastAsia"/>
                <w:color w:val="000000"/>
                <w:sz w:val="24"/>
              </w:rPr>
              <w:t>交银施罗德定期支付双息平衡混合型证券投资基金</w:t>
            </w:r>
            <w:r>
              <w:rPr>
                <w:rFonts w:hint="eastAsia"/>
                <w:color w:val="000000"/>
                <w:sz w:val="24"/>
              </w:rPr>
              <w:t>2014</w:t>
            </w:r>
            <w:r>
              <w:rPr>
                <w:rFonts w:hint="eastAsia"/>
                <w:color w:val="000000"/>
                <w:sz w:val="24"/>
              </w:rPr>
              <w:t>年第</w:t>
            </w:r>
            <w:r>
              <w:rPr>
                <w:rFonts w:hint="eastAsia"/>
                <w:color w:val="000000"/>
                <w:sz w:val="24"/>
              </w:rPr>
              <w:t>4</w:t>
            </w:r>
            <w:r>
              <w:rPr>
                <w:rFonts w:hint="eastAsia"/>
                <w:color w:val="000000"/>
                <w:sz w:val="24"/>
              </w:rPr>
              <w:t>季度报告</w:t>
            </w:r>
          </w:p>
        </w:tc>
        <w:tc>
          <w:tcPr>
            <w:tcW w:w="1827" w:type="dxa"/>
            <w:tcBorders>
              <w:top w:val="single" w:sz="4" w:space="0" w:color="auto"/>
              <w:left w:val="single" w:sz="4" w:space="0" w:color="auto"/>
              <w:bottom w:val="single" w:sz="4" w:space="0" w:color="auto"/>
              <w:right w:val="single" w:sz="4" w:space="0" w:color="auto"/>
            </w:tcBorders>
          </w:tcPr>
          <w:p w:rsidR="00783788" w:rsidRDefault="002C6E18">
            <w:r>
              <w:rPr>
                <w:sz w:val="24"/>
              </w:rPr>
              <w:t>中国证券报、上海证券报、证券时报</w:t>
            </w:r>
          </w:p>
        </w:tc>
        <w:tc>
          <w:tcPr>
            <w:tcW w:w="1967" w:type="dxa"/>
            <w:tcBorders>
              <w:top w:val="single" w:sz="4" w:space="0" w:color="auto"/>
              <w:left w:val="single" w:sz="4" w:space="0" w:color="auto"/>
              <w:bottom w:val="single" w:sz="4" w:space="0" w:color="auto"/>
              <w:right w:val="single" w:sz="4" w:space="0" w:color="auto"/>
            </w:tcBorders>
            <w:vAlign w:val="center"/>
          </w:tcPr>
          <w:p w:rsidR="00783788" w:rsidRDefault="002C6E18">
            <w:pPr>
              <w:widowControl/>
              <w:jc w:val="center"/>
              <w:rPr>
                <w:color w:val="000000"/>
                <w:sz w:val="24"/>
              </w:rPr>
            </w:pPr>
            <w:r>
              <w:rPr>
                <w:rFonts w:hint="eastAsia"/>
                <w:color w:val="000000"/>
                <w:sz w:val="24"/>
              </w:rPr>
              <w:t>2015-1-22</w:t>
            </w:r>
          </w:p>
        </w:tc>
      </w:tr>
      <w:tr w:rsidR="00783788">
        <w:tc>
          <w:tcPr>
            <w:tcW w:w="955" w:type="dxa"/>
            <w:tcBorders>
              <w:top w:val="single" w:sz="4" w:space="0" w:color="auto"/>
              <w:left w:val="single" w:sz="4" w:space="0" w:color="auto"/>
              <w:bottom w:val="single" w:sz="4" w:space="0" w:color="auto"/>
              <w:right w:val="single" w:sz="4" w:space="0" w:color="auto"/>
            </w:tcBorders>
            <w:vAlign w:val="center"/>
          </w:tcPr>
          <w:p w:rsidR="00783788" w:rsidRDefault="002C6E18">
            <w:pPr>
              <w:contextualSpacing/>
              <w:jc w:val="center"/>
              <w:rPr>
                <w:color w:val="000000"/>
                <w:sz w:val="24"/>
              </w:rPr>
            </w:pPr>
            <w:r>
              <w:rPr>
                <w:rFonts w:hint="eastAsia"/>
                <w:color w:val="000000"/>
                <w:sz w:val="24"/>
              </w:rPr>
              <w:t>11</w:t>
            </w:r>
          </w:p>
        </w:tc>
        <w:tc>
          <w:tcPr>
            <w:tcW w:w="4174" w:type="dxa"/>
            <w:tcBorders>
              <w:top w:val="single" w:sz="4" w:space="0" w:color="auto"/>
              <w:left w:val="single" w:sz="4" w:space="0" w:color="auto"/>
              <w:bottom w:val="single" w:sz="4" w:space="0" w:color="auto"/>
              <w:right w:val="single" w:sz="4" w:space="0" w:color="auto"/>
            </w:tcBorders>
            <w:vAlign w:val="center"/>
          </w:tcPr>
          <w:p w:rsidR="00783788" w:rsidRDefault="002C6E18">
            <w:pPr>
              <w:rPr>
                <w:color w:val="000000"/>
                <w:sz w:val="24"/>
              </w:rPr>
            </w:pPr>
            <w:r>
              <w:rPr>
                <w:rFonts w:hint="eastAsia"/>
                <w:color w:val="000000"/>
                <w:sz w:val="24"/>
              </w:rPr>
              <w:t>交银施罗德基金管理有限公司关于旗下基金所持停牌股票估值调整的公告</w:t>
            </w:r>
          </w:p>
        </w:tc>
        <w:tc>
          <w:tcPr>
            <w:tcW w:w="1827" w:type="dxa"/>
            <w:tcBorders>
              <w:top w:val="single" w:sz="4" w:space="0" w:color="auto"/>
              <w:left w:val="single" w:sz="4" w:space="0" w:color="auto"/>
              <w:bottom w:val="single" w:sz="4" w:space="0" w:color="auto"/>
              <w:right w:val="single" w:sz="4" w:space="0" w:color="auto"/>
            </w:tcBorders>
          </w:tcPr>
          <w:p w:rsidR="00783788" w:rsidRDefault="002C6E18">
            <w:r>
              <w:rPr>
                <w:sz w:val="24"/>
              </w:rPr>
              <w:t>中国证券报、上海证券报、证券时报</w:t>
            </w:r>
          </w:p>
        </w:tc>
        <w:tc>
          <w:tcPr>
            <w:tcW w:w="1967" w:type="dxa"/>
            <w:tcBorders>
              <w:top w:val="single" w:sz="4" w:space="0" w:color="auto"/>
              <w:left w:val="single" w:sz="4" w:space="0" w:color="auto"/>
              <w:bottom w:val="single" w:sz="4" w:space="0" w:color="auto"/>
              <w:right w:val="single" w:sz="4" w:space="0" w:color="auto"/>
            </w:tcBorders>
            <w:vAlign w:val="center"/>
          </w:tcPr>
          <w:p w:rsidR="00783788" w:rsidRDefault="002C6E18">
            <w:pPr>
              <w:jc w:val="center"/>
              <w:rPr>
                <w:color w:val="000000"/>
                <w:sz w:val="24"/>
              </w:rPr>
            </w:pPr>
            <w:r>
              <w:rPr>
                <w:rFonts w:hint="eastAsia"/>
                <w:color w:val="000000"/>
                <w:sz w:val="24"/>
              </w:rPr>
              <w:t>2015-2-3</w:t>
            </w:r>
          </w:p>
        </w:tc>
      </w:tr>
      <w:tr w:rsidR="00783788">
        <w:tc>
          <w:tcPr>
            <w:tcW w:w="955" w:type="dxa"/>
            <w:tcBorders>
              <w:top w:val="single" w:sz="4" w:space="0" w:color="auto"/>
              <w:left w:val="single" w:sz="4" w:space="0" w:color="auto"/>
              <w:bottom w:val="single" w:sz="4" w:space="0" w:color="auto"/>
              <w:right w:val="single" w:sz="4" w:space="0" w:color="auto"/>
            </w:tcBorders>
            <w:vAlign w:val="center"/>
          </w:tcPr>
          <w:p w:rsidR="00783788" w:rsidRDefault="002C6E18">
            <w:pPr>
              <w:contextualSpacing/>
              <w:jc w:val="center"/>
              <w:rPr>
                <w:color w:val="000000"/>
                <w:sz w:val="24"/>
              </w:rPr>
            </w:pPr>
            <w:r>
              <w:rPr>
                <w:rFonts w:hint="eastAsia"/>
                <w:color w:val="000000"/>
                <w:sz w:val="24"/>
              </w:rPr>
              <w:t>12</w:t>
            </w:r>
          </w:p>
        </w:tc>
        <w:tc>
          <w:tcPr>
            <w:tcW w:w="4174" w:type="dxa"/>
            <w:tcBorders>
              <w:top w:val="single" w:sz="4" w:space="0" w:color="auto"/>
              <w:left w:val="single" w:sz="4" w:space="0" w:color="auto"/>
              <w:bottom w:val="single" w:sz="4" w:space="0" w:color="auto"/>
              <w:right w:val="single" w:sz="4" w:space="0" w:color="auto"/>
            </w:tcBorders>
            <w:vAlign w:val="center"/>
          </w:tcPr>
          <w:p w:rsidR="00783788" w:rsidRDefault="002C6E18">
            <w:pPr>
              <w:rPr>
                <w:color w:val="000000"/>
                <w:sz w:val="24"/>
              </w:rPr>
            </w:pPr>
            <w:r>
              <w:rPr>
                <w:rFonts w:hint="eastAsia"/>
                <w:color w:val="000000"/>
                <w:sz w:val="24"/>
              </w:rPr>
              <w:t>交银施罗德基金管理有限公司关于增加一路财富（北京）信息科技有限公司、上海大智慧财富管理有限公司为旗下部分基金的场外销售机构并参与电子交易平台基金前端申购费率优惠活动的公告</w:t>
            </w:r>
          </w:p>
        </w:tc>
        <w:tc>
          <w:tcPr>
            <w:tcW w:w="1827" w:type="dxa"/>
            <w:tcBorders>
              <w:top w:val="single" w:sz="4" w:space="0" w:color="auto"/>
              <w:left w:val="single" w:sz="4" w:space="0" w:color="auto"/>
              <w:bottom w:val="single" w:sz="4" w:space="0" w:color="auto"/>
              <w:right w:val="single" w:sz="4" w:space="0" w:color="auto"/>
            </w:tcBorders>
          </w:tcPr>
          <w:p w:rsidR="00783788" w:rsidRDefault="002C6E18">
            <w:r>
              <w:rPr>
                <w:sz w:val="24"/>
              </w:rPr>
              <w:t>中国证券报、上海证券报、证券时报</w:t>
            </w:r>
          </w:p>
        </w:tc>
        <w:tc>
          <w:tcPr>
            <w:tcW w:w="1967" w:type="dxa"/>
            <w:tcBorders>
              <w:top w:val="single" w:sz="4" w:space="0" w:color="auto"/>
              <w:left w:val="single" w:sz="4" w:space="0" w:color="auto"/>
              <w:bottom w:val="single" w:sz="4" w:space="0" w:color="auto"/>
              <w:right w:val="single" w:sz="4" w:space="0" w:color="auto"/>
            </w:tcBorders>
            <w:vAlign w:val="center"/>
          </w:tcPr>
          <w:p w:rsidR="00783788" w:rsidRDefault="002C6E18">
            <w:pPr>
              <w:jc w:val="center"/>
              <w:rPr>
                <w:color w:val="000000"/>
                <w:sz w:val="24"/>
              </w:rPr>
            </w:pPr>
            <w:r>
              <w:rPr>
                <w:rFonts w:hint="eastAsia"/>
                <w:color w:val="000000"/>
                <w:sz w:val="24"/>
              </w:rPr>
              <w:t>2015-2-12</w:t>
            </w:r>
          </w:p>
        </w:tc>
      </w:tr>
    </w:tbl>
    <w:p w:rsidR="00783788" w:rsidRDefault="00783788">
      <w:pPr>
        <w:widowControl/>
        <w:adjustRightInd w:val="0"/>
        <w:snapToGrid w:val="0"/>
        <w:spacing w:line="360" w:lineRule="auto"/>
        <w:ind w:firstLineChars="200" w:firstLine="480"/>
        <w:rPr>
          <w:kern w:val="0"/>
          <w:sz w:val="24"/>
        </w:rPr>
      </w:pPr>
    </w:p>
    <w:p w:rsidR="00783788" w:rsidRDefault="002C6E18">
      <w:pPr>
        <w:widowControl/>
        <w:adjustRightInd w:val="0"/>
        <w:snapToGrid w:val="0"/>
        <w:spacing w:beforeLines="100" w:before="240" w:afterLines="50" w:after="120" w:line="360" w:lineRule="auto"/>
        <w:jc w:val="center"/>
        <w:outlineLvl w:val="0"/>
        <w:rPr>
          <w:rFonts w:ascii="宋体" w:hAnsi="宋体"/>
          <w:b/>
          <w:kern w:val="0"/>
          <w:sz w:val="30"/>
        </w:rPr>
      </w:pPr>
      <w:bookmarkStart w:id="112" w:name="_Toc382321336"/>
      <w:r>
        <w:rPr>
          <w:rFonts w:ascii="宋体" w:hAnsi="宋体" w:hint="eastAsia"/>
          <w:b/>
          <w:kern w:val="0"/>
          <w:sz w:val="30"/>
        </w:rPr>
        <w:t>二十五、招募说明书的存放及查阅方式</w:t>
      </w:r>
      <w:bookmarkEnd w:id="112"/>
    </w:p>
    <w:p w:rsidR="00783788" w:rsidRDefault="002C6E18">
      <w:pPr>
        <w:widowControl/>
        <w:adjustRightInd w:val="0"/>
        <w:snapToGrid w:val="0"/>
        <w:spacing w:line="360" w:lineRule="auto"/>
        <w:ind w:firstLineChars="200" w:firstLine="480"/>
        <w:rPr>
          <w:kern w:val="0"/>
          <w:sz w:val="24"/>
          <w:szCs w:val="24"/>
        </w:rPr>
      </w:pPr>
      <w:r>
        <w:rPr>
          <w:rFonts w:hAnsi="宋体"/>
          <w:kern w:val="0"/>
          <w:sz w:val="24"/>
          <w:szCs w:val="24"/>
        </w:rPr>
        <w:t>招募说明书存放在基金管理人、基金托管人的办公场所，投资人可在办公时间查阅；投资人在支付工本费后，可在合理时</w:t>
      </w:r>
      <w:bookmarkStart w:id="113" w:name="_Toc109537401"/>
      <w:r>
        <w:rPr>
          <w:rFonts w:hAnsi="宋体"/>
          <w:kern w:val="0"/>
          <w:sz w:val="24"/>
          <w:szCs w:val="24"/>
        </w:rPr>
        <w:t>间内取得上述文件复制件</w:t>
      </w:r>
      <w:bookmarkEnd w:id="113"/>
      <w:r>
        <w:rPr>
          <w:rFonts w:hAnsi="宋体"/>
          <w:kern w:val="0"/>
          <w:sz w:val="24"/>
          <w:szCs w:val="24"/>
        </w:rPr>
        <w:t>或复印件。对投资人按此种方式所获得的文件及其复印件，基金管理人和基金托管人</w:t>
      </w:r>
      <w:bookmarkStart w:id="114" w:name="_Toc109537402"/>
      <w:r>
        <w:rPr>
          <w:rFonts w:hAnsi="宋体"/>
          <w:kern w:val="0"/>
          <w:sz w:val="24"/>
          <w:szCs w:val="24"/>
        </w:rPr>
        <w:t>保证文本的内容与所公告的内容完全一</w:t>
      </w:r>
      <w:bookmarkEnd w:id="114"/>
      <w:r>
        <w:rPr>
          <w:rFonts w:hAnsi="宋体"/>
          <w:kern w:val="0"/>
          <w:sz w:val="24"/>
          <w:szCs w:val="24"/>
        </w:rPr>
        <w:t>致。</w:t>
      </w:r>
      <w:r>
        <w:rPr>
          <w:kern w:val="0"/>
          <w:sz w:val="24"/>
          <w:szCs w:val="24"/>
        </w:rPr>
        <w:t xml:space="preserve"> </w:t>
      </w:r>
    </w:p>
    <w:p w:rsidR="00783788" w:rsidRDefault="002C6E18">
      <w:pPr>
        <w:widowControl/>
        <w:adjustRightInd w:val="0"/>
        <w:snapToGrid w:val="0"/>
        <w:spacing w:line="360" w:lineRule="auto"/>
        <w:ind w:firstLineChars="200" w:firstLine="480"/>
        <w:rPr>
          <w:kern w:val="0"/>
          <w:sz w:val="24"/>
          <w:szCs w:val="24"/>
        </w:rPr>
      </w:pPr>
      <w:r>
        <w:rPr>
          <w:rFonts w:hAnsi="宋体"/>
          <w:kern w:val="0"/>
          <w:sz w:val="24"/>
          <w:szCs w:val="24"/>
        </w:rPr>
        <w:t>投资人还可以直接登录基金管理人的网站</w:t>
      </w:r>
      <w:r>
        <w:rPr>
          <w:kern w:val="0"/>
          <w:sz w:val="24"/>
          <w:szCs w:val="24"/>
        </w:rPr>
        <w:t>(</w:t>
      </w:r>
      <w:hyperlink r:id="rId18" w:history="1">
        <w:r>
          <w:rPr>
            <w:kern w:val="0"/>
            <w:sz w:val="24"/>
          </w:rPr>
          <w:t>www.fund</w:t>
        </w:r>
        <w:r>
          <w:rPr>
            <w:rFonts w:hint="eastAsia"/>
            <w:kern w:val="0"/>
            <w:sz w:val="24"/>
          </w:rPr>
          <w:t>001</w:t>
        </w:r>
        <w:r>
          <w:rPr>
            <w:kern w:val="0"/>
            <w:sz w:val="24"/>
          </w:rPr>
          <w:t>.com</w:t>
        </w:r>
        <w:r>
          <w:rPr>
            <w:sz w:val="24"/>
            <w:szCs w:val="24"/>
          </w:rPr>
          <w:t>，</w:t>
        </w:r>
        <w:r>
          <w:rPr>
            <w:sz w:val="24"/>
            <w:szCs w:val="24"/>
          </w:rPr>
          <w:t>www.bocomschroder.com</w:t>
        </w:r>
      </w:hyperlink>
      <w:r>
        <w:rPr>
          <w:kern w:val="0"/>
          <w:sz w:val="24"/>
          <w:szCs w:val="24"/>
        </w:rPr>
        <w:t>)</w:t>
      </w:r>
      <w:r>
        <w:rPr>
          <w:rFonts w:hAnsi="宋体"/>
          <w:kern w:val="0"/>
          <w:sz w:val="24"/>
          <w:szCs w:val="24"/>
        </w:rPr>
        <w:t>查阅和下载招募说明书。</w:t>
      </w:r>
      <w:r>
        <w:rPr>
          <w:kern w:val="0"/>
          <w:sz w:val="24"/>
          <w:szCs w:val="24"/>
        </w:rPr>
        <w:t xml:space="preserve"> </w:t>
      </w:r>
    </w:p>
    <w:p w:rsidR="00783788" w:rsidRDefault="00783788">
      <w:pPr>
        <w:widowControl/>
        <w:adjustRightInd w:val="0"/>
        <w:snapToGrid w:val="0"/>
        <w:spacing w:line="360" w:lineRule="auto"/>
        <w:ind w:firstLineChars="200" w:firstLine="480"/>
        <w:rPr>
          <w:kern w:val="0"/>
          <w:sz w:val="24"/>
          <w:szCs w:val="24"/>
        </w:rPr>
      </w:pPr>
    </w:p>
    <w:p w:rsidR="00783788" w:rsidRDefault="002C6E18">
      <w:pPr>
        <w:widowControl/>
        <w:adjustRightInd w:val="0"/>
        <w:snapToGrid w:val="0"/>
        <w:spacing w:beforeLines="100" w:before="240" w:afterLines="50" w:after="120" w:line="360" w:lineRule="auto"/>
        <w:jc w:val="center"/>
        <w:outlineLvl w:val="0"/>
        <w:rPr>
          <w:rFonts w:ascii="宋体" w:hAnsi="宋体"/>
          <w:b/>
          <w:kern w:val="0"/>
          <w:sz w:val="30"/>
        </w:rPr>
      </w:pPr>
      <w:bookmarkStart w:id="115" w:name="_Toc382321337"/>
      <w:r>
        <w:rPr>
          <w:rFonts w:ascii="宋体" w:hAnsi="宋体" w:hint="eastAsia"/>
          <w:b/>
          <w:kern w:val="0"/>
          <w:sz w:val="30"/>
        </w:rPr>
        <w:t>二十六、备查文件</w:t>
      </w:r>
      <w:bookmarkEnd w:id="115"/>
    </w:p>
    <w:p w:rsidR="00783788" w:rsidRDefault="002C6E18">
      <w:pPr>
        <w:widowControl/>
        <w:adjustRightInd w:val="0"/>
        <w:snapToGrid w:val="0"/>
        <w:spacing w:line="360" w:lineRule="auto"/>
        <w:ind w:firstLineChars="200" w:firstLine="480"/>
        <w:rPr>
          <w:kern w:val="0"/>
          <w:sz w:val="24"/>
        </w:rPr>
      </w:pPr>
      <w:r>
        <w:rPr>
          <w:rFonts w:hAnsi="宋体"/>
          <w:kern w:val="0"/>
          <w:sz w:val="24"/>
        </w:rPr>
        <w:t>以下备查文件存放在基金管理人的办公场所，在办公时间可供免费查阅。</w:t>
      </w:r>
    </w:p>
    <w:p w:rsidR="00783788" w:rsidRDefault="002C6E18">
      <w:pPr>
        <w:widowControl/>
        <w:adjustRightInd w:val="0"/>
        <w:snapToGrid w:val="0"/>
        <w:spacing w:line="360" w:lineRule="auto"/>
        <w:ind w:firstLineChars="200" w:firstLine="480"/>
        <w:rPr>
          <w:kern w:val="0"/>
          <w:sz w:val="24"/>
        </w:rPr>
      </w:pPr>
      <w:r>
        <w:rPr>
          <w:rFonts w:hAnsi="宋体"/>
          <w:kern w:val="0"/>
          <w:sz w:val="24"/>
        </w:rPr>
        <w:t>（一）中国证监会批准交银施罗德定期支付双息平衡混合型证券投资基金募集的文件</w:t>
      </w:r>
      <w:r>
        <w:rPr>
          <w:kern w:val="0"/>
          <w:sz w:val="24"/>
        </w:rPr>
        <w:t xml:space="preserve"> </w:t>
      </w:r>
    </w:p>
    <w:p w:rsidR="00783788" w:rsidRDefault="002C6E18">
      <w:pPr>
        <w:widowControl/>
        <w:adjustRightInd w:val="0"/>
        <w:snapToGrid w:val="0"/>
        <w:spacing w:line="360" w:lineRule="auto"/>
        <w:ind w:firstLineChars="200" w:firstLine="480"/>
        <w:rPr>
          <w:kern w:val="0"/>
          <w:sz w:val="24"/>
        </w:rPr>
      </w:pPr>
      <w:r>
        <w:rPr>
          <w:rFonts w:hAnsi="宋体"/>
          <w:kern w:val="0"/>
          <w:sz w:val="24"/>
        </w:rPr>
        <w:t>（二）《交银施罗德定期支付双息平衡混合型证券投资基金基金合同》</w:t>
      </w:r>
      <w:r>
        <w:rPr>
          <w:kern w:val="0"/>
          <w:sz w:val="24"/>
        </w:rPr>
        <w:t xml:space="preserve"> </w:t>
      </w:r>
    </w:p>
    <w:p w:rsidR="00783788" w:rsidRDefault="002C6E18">
      <w:pPr>
        <w:widowControl/>
        <w:adjustRightInd w:val="0"/>
        <w:snapToGrid w:val="0"/>
        <w:spacing w:line="360" w:lineRule="auto"/>
        <w:ind w:firstLineChars="200" w:firstLine="480"/>
        <w:rPr>
          <w:kern w:val="0"/>
          <w:sz w:val="24"/>
        </w:rPr>
      </w:pPr>
      <w:r>
        <w:rPr>
          <w:rFonts w:hAnsi="宋体"/>
          <w:kern w:val="0"/>
          <w:sz w:val="24"/>
        </w:rPr>
        <w:t>（三）《交银施罗德</w:t>
      </w:r>
      <w:bookmarkStart w:id="116" w:name="_Toc109537403"/>
      <w:r>
        <w:rPr>
          <w:rFonts w:hAnsi="宋体"/>
          <w:kern w:val="0"/>
          <w:sz w:val="24"/>
        </w:rPr>
        <w:t>定期支付双息平衡混合</w:t>
      </w:r>
      <w:bookmarkEnd w:id="116"/>
      <w:r>
        <w:rPr>
          <w:rFonts w:hAnsi="宋体"/>
          <w:kern w:val="0"/>
          <w:sz w:val="24"/>
        </w:rPr>
        <w:t>型证券投资基金托管协议》</w:t>
      </w:r>
      <w:r>
        <w:rPr>
          <w:kern w:val="0"/>
          <w:sz w:val="24"/>
        </w:rPr>
        <w:t xml:space="preserve"> </w:t>
      </w:r>
    </w:p>
    <w:p w:rsidR="00783788" w:rsidRDefault="002C6E18">
      <w:pPr>
        <w:widowControl/>
        <w:adjustRightInd w:val="0"/>
        <w:snapToGrid w:val="0"/>
        <w:spacing w:line="360" w:lineRule="auto"/>
        <w:ind w:firstLineChars="200" w:firstLine="480"/>
        <w:rPr>
          <w:kern w:val="0"/>
          <w:sz w:val="24"/>
        </w:rPr>
      </w:pPr>
      <w:r>
        <w:rPr>
          <w:rFonts w:hAnsi="宋体"/>
          <w:kern w:val="0"/>
          <w:sz w:val="24"/>
        </w:rPr>
        <w:t>（四）基金管理人业务资格批件、营业执照</w:t>
      </w:r>
    </w:p>
    <w:p w:rsidR="00783788" w:rsidRDefault="002C6E18">
      <w:pPr>
        <w:widowControl/>
        <w:adjustRightInd w:val="0"/>
        <w:snapToGrid w:val="0"/>
        <w:spacing w:line="360" w:lineRule="auto"/>
        <w:ind w:firstLineChars="200" w:firstLine="480"/>
        <w:rPr>
          <w:kern w:val="0"/>
          <w:sz w:val="24"/>
        </w:rPr>
      </w:pPr>
      <w:r>
        <w:rPr>
          <w:rFonts w:hAnsi="宋体"/>
          <w:kern w:val="0"/>
          <w:sz w:val="24"/>
        </w:rPr>
        <w:t>（五）基金托管人业务资格批件、营业执照</w:t>
      </w:r>
    </w:p>
    <w:p w:rsidR="00783788" w:rsidRDefault="002C6E18">
      <w:pPr>
        <w:widowControl/>
        <w:adjustRightInd w:val="0"/>
        <w:snapToGrid w:val="0"/>
        <w:spacing w:line="360" w:lineRule="auto"/>
        <w:ind w:firstLineChars="200" w:firstLine="480"/>
        <w:rPr>
          <w:kern w:val="0"/>
          <w:sz w:val="24"/>
        </w:rPr>
      </w:pPr>
      <w:r>
        <w:rPr>
          <w:rFonts w:hAnsi="宋体"/>
          <w:kern w:val="0"/>
          <w:sz w:val="24"/>
        </w:rPr>
        <w:t>（六）关于申请募集交银施罗德定期支付双息平衡混合型证券投资基金之法律意见书</w:t>
      </w:r>
    </w:p>
    <w:p w:rsidR="00783788" w:rsidRDefault="00783788">
      <w:pPr>
        <w:ind w:firstLineChars="200" w:firstLine="420"/>
      </w:pPr>
    </w:p>
    <w:sectPr w:rsidR="00783788">
      <w:headerReference w:type="default" r:id="rId19"/>
      <w:footerReference w:type="default" r:id="rId20"/>
      <w:pgSz w:w="12240" w:h="15840"/>
      <w:pgMar w:top="1440" w:right="1800" w:bottom="1440" w:left="1800" w:header="720" w:footer="720" w:gutter="0"/>
      <w:cols w:space="720"/>
      <w:titlePg/>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080D" w:rsidRDefault="003B080D">
      <w:r>
        <w:separator/>
      </w:r>
    </w:p>
  </w:endnote>
  <w:endnote w:type="continuationSeparator" w:id="0">
    <w:p w:rsidR="003B080D" w:rsidRDefault="003B08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五">
    <w:altName w:val="黑体"/>
    <w:charset w:val="86"/>
    <w:family w:val="auto"/>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3788" w:rsidRDefault="002C6E18">
    <w:pPr>
      <w:pStyle w:val="ac"/>
      <w:jc w:val="center"/>
    </w:pPr>
    <w:r>
      <w:fldChar w:fldCharType="begin"/>
    </w:r>
    <w:r>
      <w:instrText xml:space="preserve"> PAGE   \* MERGEFORMAT </w:instrText>
    </w:r>
    <w:r>
      <w:fldChar w:fldCharType="separate"/>
    </w:r>
    <w:r w:rsidR="003E6104" w:rsidRPr="003E6104">
      <w:rPr>
        <w:noProof/>
        <w:lang w:val="zh-CN"/>
      </w:rPr>
      <w:t>4</w:t>
    </w:r>
    <w:r>
      <w:rPr>
        <w:lang w:val="zh-CN"/>
      </w:rPr>
      <w:fldChar w:fldCharType="end"/>
    </w:r>
  </w:p>
  <w:p w:rsidR="00783788" w:rsidRDefault="00783788">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080D" w:rsidRDefault="003B080D">
      <w:r>
        <w:separator/>
      </w:r>
    </w:p>
  </w:footnote>
  <w:footnote w:type="continuationSeparator" w:id="0">
    <w:p w:rsidR="003B080D" w:rsidRDefault="003B08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3788" w:rsidRDefault="003E6104">
    <w:pPr>
      <w:pStyle w:val="ad"/>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s2049" type="#_x0000_t75" style="position:absolute;left:0;text-align:left;margin-left:1.5pt;margin-top:2.25pt;width:135pt;height:18.75pt;z-index:251657728">
          <v:imagedata r:id="rId1" o:title=""/>
        </v:shape>
      </w:pict>
    </w:r>
    <w:r w:rsidR="002C6E18">
      <w:rPr>
        <w:rFonts w:hint="eastAsia"/>
      </w:rPr>
      <w:t>交银施罗德定期支付双息平衡混合型证券投资基金</w:t>
    </w:r>
  </w:p>
  <w:p w:rsidR="00783788" w:rsidRDefault="002C6E18">
    <w:pPr>
      <w:pStyle w:val="ad"/>
      <w:jc w:val="right"/>
    </w:pPr>
    <w:r>
      <w:rPr>
        <w:rFonts w:hint="eastAsia"/>
      </w:rPr>
      <w:t>（更新）招募说明书（</w:t>
    </w:r>
    <w:r>
      <w:rPr>
        <w:rFonts w:hint="eastAsia"/>
      </w:rPr>
      <w:t>201</w:t>
    </w:r>
    <w:r>
      <w:t>5</w:t>
    </w:r>
    <w:r>
      <w:rPr>
        <w:rFonts w:hint="eastAsia"/>
      </w:rPr>
      <w:t>年第</w:t>
    </w:r>
    <w:r>
      <w:t>1</w:t>
    </w:r>
    <w:r>
      <w:rPr>
        <w:rFonts w:hint="eastAsia"/>
      </w:rPr>
      <w:t>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trackRevisions/>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APWAFNeedToUniquify" w:val="false"/>
    <w:docVar w:name="APWAFVersion" w:val="5.0"/>
  </w:docVars>
  <w:rsids>
    <w:rsidRoot w:val="00172A27"/>
    <w:rsid w:val="00025B2C"/>
    <w:rsid w:val="0005149B"/>
    <w:rsid w:val="00063DC3"/>
    <w:rsid w:val="000770E9"/>
    <w:rsid w:val="00083001"/>
    <w:rsid w:val="00092013"/>
    <w:rsid w:val="000C620D"/>
    <w:rsid w:val="000E1D40"/>
    <w:rsid w:val="000E63DB"/>
    <w:rsid w:val="0011420E"/>
    <w:rsid w:val="00123E15"/>
    <w:rsid w:val="00145A62"/>
    <w:rsid w:val="00147138"/>
    <w:rsid w:val="00151944"/>
    <w:rsid w:val="00172A27"/>
    <w:rsid w:val="00172EAA"/>
    <w:rsid w:val="001976B4"/>
    <w:rsid w:val="001E2DA6"/>
    <w:rsid w:val="00201028"/>
    <w:rsid w:val="00232C13"/>
    <w:rsid w:val="00233137"/>
    <w:rsid w:val="00251F0A"/>
    <w:rsid w:val="00255115"/>
    <w:rsid w:val="0026642F"/>
    <w:rsid w:val="00287A97"/>
    <w:rsid w:val="00290C99"/>
    <w:rsid w:val="002A66CC"/>
    <w:rsid w:val="002B182D"/>
    <w:rsid w:val="002C6E18"/>
    <w:rsid w:val="002D5794"/>
    <w:rsid w:val="002E12E3"/>
    <w:rsid w:val="002E3F07"/>
    <w:rsid w:val="003031EA"/>
    <w:rsid w:val="00310501"/>
    <w:rsid w:val="00322FD4"/>
    <w:rsid w:val="00334E05"/>
    <w:rsid w:val="00335302"/>
    <w:rsid w:val="0036059E"/>
    <w:rsid w:val="0036153F"/>
    <w:rsid w:val="00383DE2"/>
    <w:rsid w:val="003B080D"/>
    <w:rsid w:val="003B1D3E"/>
    <w:rsid w:val="003C164F"/>
    <w:rsid w:val="003C5A3A"/>
    <w:rsid w:val="003E6104"/>
    <w:rsid w:val="003E7C80"/>
    <w:rsid w:val="0044349B"/>
    <w:rsid w:val="00447F87"/>
    <w:rsid w:val="00465D3C"/>
    <w:rsid w:val="00485D76"/>
    <w:rsid w:val="004C04DD"/>
    <w:rsid w:val="004D17CB"/>
    <w:rsid w:val="004E44EA"/>
    <w:rsid w:val="004E7152"/>
    <w:rsid w:val="0051600F"/>
    <w:rsid w:val="005170B0"/>
    <w:rsid w:val="005350D8"/>
    <w:rsid w:val="00546A5C"/>
    <w:rsid w:val="005618B6"/>
    <w:rsid w:val="005952E3"/>
    <w:rsid w:val="00597E40"/>
    <w:rsid w:val="005B0479"/>
    <w:rsid w:val="005C6704"/>
    <w:rsid w:val="00602704"/>
    <w:rsid w:val="00614C3F"/>
    <w:rsid w:val="0061663B"/>
    <w:rsid w:val="00633A02"/>
    <w:rsid w:val="006D1B02"/>
    <w:rsid w:val="006E3296"/>
    <w:rsid w:val="006F301B"/>
    <w:rsid w:val="006F7348"/>
    <w:rsid w:val="007051D9"/>
    <w:rsid w:val="00721EDE"/>
    <w:rsid w:val="00725FDB"/>
    <w:rsid w:val="00744CE9"/>
    <w:rsid w:val="007464B7"/>
    <w:rsid w:val="00755EC5"/>
    <w:rsid w:val="00772CAA"/>
    <w:rsid w:val="00783788"/>
    <w:rsid w:val="00783A4E"/>
    <w:rsid w:val="00791ACF"/>
    <w:rsid w:val="007C63F9"/>
    <w:rsid w:val="007E3D0B"/>
    <w:rsid w:val="007E659A"/>
    <w:rsid w:val="00842700"/>
    <w:rsid w:val="00847242"/>
    <w:rsid w:val="008477BF"/>
    <w:rsid w:val="008538B8"/>
    <w:rsid w:val="00861778"/>
    <w:rsid w:val="00861841"/>
    <w:rsid w:val="00880892"/>
    <w:rsid w:val="00892467"/>
    <w:rsid w:val="00897A2D"/>
    <w:rsid w:val="008A3F9F"/>
    <w:rsid w:val="008A7178"/>
    <w:rsid w:val="008F00CA"/>
    <w:rsid w:val="008F1EF4"/>
    <w:rsid w:val="008F5345"/>
    <w:rsid w:val="00927215"/>
    <w:rsid w:val="0093483D"/>
    <w:rsid w:val="009948E9"/>
    <w:rsid w:val="009B68FD"/>
    <w:rsid w:val="009D5E35"/>
    <w:rsid w:val="009E67DD"/>
    <w:rsid w:val="009F458A"/>
    <w:rsid w:val="00A1016E"/>
    <w:rsid w:val="00A141C0"/>
    <w:rsid w:val="00A30070"/>
    <w:rsid w:val="00A568E6"/>
    <w:rsid w:val="00A707E6"/>
    <w:rsid w:val="00AC3579"/>
    <w:rsid w:val="00AD12E6"/>
    <w:rsid w:val="00AD255C"/>
    <w:rsid w:val="00AD7A52"/>
    <w:rsid w:val="00AE18F7"/>
    <w:rsid w:val="00B06AF1"/>
    <w:rsid w:val="00B41549"/>
    <w:rsid w:val="00B468A1"/>
    <w:rsid w:val="00B5624F"/>
    <w:rsid w:val="00B6063D"/>
    <w:rsid w:val="00B67D8A"/>
    <w:rsid w:val="00B7466C"/>
    <w:rsid w:val="00BA20C0"/>
    <w:rsid w:val="00BE3F80"/>
    <w:rsid w:val="00BF4C47"/>
    <w:rsid w:val="00C10429"/>
    <w:rsid w:val="00C20234"/>
    <w:rsid w:val="00C25BFF"/>
    <w:rsid w:val="00C427C0"/>
    <w:rsid w:val="00C51B21"/>
    <w:rsid w:val="00C81B08"/>
    <w:rsid w:val="00C830E5"/>
    <w:rsid w:val="00C946BC"/>
    <w:rsid w:val="00CB75F1"/>
    <w:rsid w:val="00CC2A6F"/>
    <w:rsid w:val="00CD3170"/>
    <w:rsid w:val="00CE3B1B"/>
    <w:rsid w:val="00CF74E8"/>
    <w:rsid w:val="00D017C1"/>
    <w:rsid w:val="00D11A48"/>
    <w:rsid w:val="00D201C0"/>
    <w:rsid w:val="00D34C1B"/>
    <w:rsid w:val="00D37F52"/>
    <w:rsid w:val="00D80462"/>
    <w:rsid w:val="00DA52AF"/>
    <w:rsid w:val="00DC2F79"/>
    <w:rsid w:val="00DC71E3"/>
    <w:rsid w:val="00DF3F08"/>
    <w:rsid w:val="00E03742"/>
    <w:rsid w:val="00E043F1"/>
    <w:rsid w:val="00E05487"/>
    <w:rsid w:val="00E34E9B"/>
    <w:rsid w:val="00E4227B"/>
    <w:rsid w:val="00E45E63"/>
    <w:rsid w:val="00E641FB"/>
    <w:rsid w:val="00E67C2E"/>
    <w:rsid w:val="00EC1AAD"/>
    <w:rsid w:val="00ED5B20"/>
    <w:rsid w:val="00EE3837"/>
    <w:rsid w:val="00F07ADE"/>
    <w:rsid w:val="00F12767"/>
    <w:rsid w:val="00F2245C"/>
    <w:rsid w:val="00F32912"/>
    <w:rsid w:val="00F45BDB"/>
    <w:rsid w:val="00F5651A"/>
    <w:rsid w:val="00F624B0"/>
    <w:rsid w:val="00F733EF"/>
    <w:rsid w:val="00FC0D47"/>
    <w:rsid w:val="00FD7C0B"/>
    <w:rsid w:val="00FE5F74"/>
    <w:rsid w:val="00FF256A"/>
    <w:rsid w:val="65F73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5:docId w15:val="{2BFF8E0F-43BF-46A7-8E02-39EBFE577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Strong" w:uiPriority="22" w:qFormat="1"/>
    <w:lsdException w:name="Emphasis" w:uiPriority="20" w:qFormat="1"/>
    <w:lsdException w:name="Document Map" w:semiHidden="1" w:uiPriority="99" w:unhideWhenUsed="1"/>
    <w:lsdException w:name="Plain Text" w:uiPriority="99"/>
    <w:lsdException w:name="E-mail Signature" w:semiHidden="1" w:unhideWhenUsed="1"/>
    <w:lsdException w:name="HTML Top of Form" w:semiHidden="1" w:uiPriority="99" w:unhideWhenUsed="1"/>
    <w:lsdException w:name="HTML Bottom of Form"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qFormat/>
    <w:pPr>
      <w:keepNext/>
      <w:keepLines/>
      <w:tabs>
        <w:tab w:val="left" w:pos="1182"/>
      </w:tabs>
      <w:spacing w:beforeLines="100" w:afterLines="100" w:line="360" w:lineRule="auto"/>
      <w:ind w:left="527" w:hanging="425"/>
      <w:jc w:val="center"/>
      <w:outlineLvl w:val="0"/>
    </w:pPr>
    <w:rPr>
      <w:rFonts w:eastAsia="楷体_GB2312"/>
      <w:b/>
      <w:kern w:val="44"/>
      <w:sz w:val="32"/>
    </w:rPr>
  </w:style>
  <w:style w:type="paragraph" w:styleId="2">
    <w:name w:val="heading 2"/>
    <w:basedOn w:val="a"/>
    <w:next w:val="a0"/>
    <w:qFormat/>
    <w:pPr>
      <w:keepNext/>
      <w:keepLines/>
      <w:tabs>
        <w:tab w:val="left" w:pos="456"/>
      </w:tabs>
      <w:spacing w:beforeLines="100" w:afterLines="100" w:line="360" w:lineRule="auto"/>
      <w:ind w:left="456" w:hanging="454"/>
      <w:outlineLvl w:val="1"/>
    </w:pPr>
    <w:rPr>
      <w:b/>
      <w:sz w:val="24"/>
    </w:rPr>
  </w:style>
  <w:style w:type="paragraph" w:styleId="3">
    <w:name w:val="heading 3"/>
    <w:basedOn w:val="a"/>
    <w:next w:val="a0"/>
    <w:qFormat/>
    <w:pPr>
      <w:keepNext/>
      <w:keepLines/>
      <w:tabs>
        <w:tab w:val="left" w:pos="475"/>
      </w:tabs>
      <w:spacing w:beforeLines="50" w:afterLines="50" w:line="360" w:lineRule="auto"/>
      <w:ind w:left="102" w:firstLine="13"/>
      <w:outlineLvl w:val="2"/>
    </w:pPr>
    <w:rPr>
      <w:b/>
      <w:sz w:val="24"/>
    </w:rPr>
  </w:style>
  <w:style w:type="paragraph" w:styleId="4">
    <w:name w:val="heading 4"/>
    <w:basedOn w:val="a"/>
    <w:next w:val="a"/>
    <w:qFormat/>
    <w:pPr>
      <w:keepNext/>
      <w:keepLines/>
      <w:spacing w:before="280" w:after="290" w:line="372" w:lineRule="auto"/>
      <w:outlineLvl w:val="3"/>
    </w:pPr>
    <w:rPr>
      <w:rFonts w:ascii="Arial" w:eastAsia="黑体" w:hAnsi="Arial"/>
      <w:b/>
      <w:sz w:val="28"/>
    </w:rPr>
  </w:style>
  <w:style w:type="paragraph" w:styleId="5">
    <w:name w:val="heading 5"/>
    <w:basedOn w:val="a"/>
    <w:next w:val="a0"/>
    <w:qFormat/>
    <w:pPr>
      <w:keepNext/>
      <w:keepLines/>
      <w:tabs>
        <w:tab w:val="left" w:pos="462"/>
      </w:tabs>
      <w:spacing w:before="100" w:beforeAutospacing="1" w:after="100" w:afterAutospacing="1" w:line="360" w:lineRule="auto"/>
      <w:ind w:left="102"/>
      <w:outlineLvl w:val="4"/>
    </w:pPr>
    <w:rPr>
      <w:b/>
      <w:sz w:val="24"/>
    </w:rPr>
  </w:style>
  <w:style w:type="paragraph" w:styleId="6">
    <w:name w:val="heading 6"/>
    <w:basedOn w:val="a"/>
    <w:next w:val="a0"/>
    <w:qFormat/>
    <w:pPr>
      <w:keepNext/>
      <w:keepLines/>
      <w:tabs>
        <w:tab w:val="left" w:pos="462"/>
      </w:tabs>
      <w:spacing w:before="100" w:beforeAutospacing="1" w:after="100" w:afterAutospacing="1" w:line="360" w:lineRule="auto"/>
      <w:ind w:left="102"/>
      <w:outlineLvl w:val="5"/>
    </w:pPr>
    <w:rPr>
      <w:b/>
    </w:rPr>
  </w:style>
  <w:style w:type="paragraph" w:styleId="7">
    <w:name w:val="heading 7"/>
    <w:basedOn w:val="a"/>
    <w:next w:val="a"/>
    <w:qFormat/>
    <w:pPr>
      <w:keepNext/>
      <w:keepLines/>
      <w:spacing w:before="240" w:after="64" w:line="317" w:lineRule="auto"/>
      <w:outlineLvl w:val="6"/>
    </w:pPr>
    <w:rPr>
      <w:b/>
      <w:sz w:val="24"/>
    </w:rPr>
  </w:style>
  <w:style w:type="paragraph" w:styleId="8">
    <w:name w:val="heading 8"/>
    <w:basedOn w:val="a"/>
    <w:next w:val="a"/>
    <w:qFormat/>
    <w:pPr>
      <w:keepNext/>
      <w:keepLines/>
      <w:spacing w:before="240" w:after="64" w:line="317" w:lineRule="auto"/>
      <w:outlineLvl w:val="7"/>
    </w:pPr>
    <w:rPr>
      <w:rFonts w:ascii="Arial" w:eastAsia="黑体" w:hAnsi="Arial"/>
      <w:sz w:val="24"/>
    </w:rPr>
  </w:style>
  <w:style w:type="paragraph" w:styleId="9">
    <w:name w:val="heading 9"/>
    <w:basedOn w:val="a"/>
    <w:next w:val="a"/>
    <w:qFormat/>
    <w:pPr>
      <w:keepNext/>
      <w:keepLines/>
      <w:spacing w:before="240" w:after="64" w:line="317"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ind w:firstLineChars="200" w:firstLine="420"/>
    </w:pPr>
  </w:style>
  <w:style w:type="paragraph" w:styleId="a4">
    <w:name w:val="annotation subject"/>
    <w:basedOn w:val="a5"/>
    <w:next w:val="a5"/>
    <w:rPr>
      <w:b/>
    </w:rPr>
  </w:style>
  <w:style w:type="paragraph" w:styleId="a5">
    <w:name w:val="annotation text"/>
    <w:basedOn w:val="a"/>
    <w:link w:val="Char"/>
    <w:pPr>
      <w:jc w:val="left"/>
    </w:pPr>
  </w:style>
  <w:style w:type="paragraph" w:styleId="a6">
    <w:name w:val="Body Text First Indent"/>
    <w:basedOn w:val="a7"/>
    <w:link w:val="Char0"/>
    <w:pPr>
      <w:spacing w:line="300" w:lineRule="auto"/>
      <w:ind w:firstLine="425"/>
    </w:pPr>
  </w:style>
  <w:style w:type="paragraph" w:styleId="a7">
    <w:name w:val="Body Text"/>
    <w:basedOn w:val="a"/>
    <w:pPr>
      <w:spacing w:after="120"/>
    </w:pPr>
  </w:style>
  <w:style w:type="paragraph" w:styleId="a8">
    <w:name w:val="Document Map"/>
    <w:basedOn w:val="a"/>
    <w:link w:val="Char1"/>
    <w:uiPriority w:val="99"/>
    <w:unhideWhenUsed/>
    <w:rPr>
      <w:rFonts w:ascii="宋体"/>
      <w:sz w:val="18"/>
      <w:szCs w:val="18"/>
    </w:rPr>
  </w:style>
  <w:style w:type="paragraph" w:styleId="a9">
    <w:name w:val="Body Text Indent"/>
    <w:basedOn w:val="a"/>
    <w:pPr>
      <w:widowControl/>
      <w:spacing w:line="360" w:lineRule="auto"/>
      <w:ind w:rightChars="-85" w:right="-85" w:firstLineChars="150" w:firstLine="360"/>
      <w:jc w:val="left"/>
    </w:pPr>
    <w:rPr>
      <w:rFonts w:ascii="宋体" w:hAnsi="宋体"/>
      <w:sz w:val="24"/>
    </w:rPr>
  </w:style>
  <w:style w:type="paragraph" w:styleId="aa">
    <w:name w:val="Plain Text"/>
    <w:basedOn w:val="a"/>
    <w:link w:val="Char2"/>
    <w:uiPriority w:val="99"/>
    <w:pPr>
      <w:widowControl/>
      <w:jc w:val="left"/>
    </w:pPr>
    <w:rPr>
      <w:rFonts w:ascii="Courier New" w:hAnsi="Courier New"/>
      <w:kern w:val="0"/>
      <w:sz w:val="20"/>
    </w:rPr>
  </w:style>
  <w:style w:type="paragraph" w:styleId="20">
    <w:name w:val="Body Text Indent 2"/>
    <w:basedOn w:val="a"/>
    <w:pPr>
      <w:widowControl/>
      <w:spacing w:before="100" w:beforeAutospacing="1" w:after="100" w:afterAutospacing="1"/>
      <w:ind w:rightChars="-85" w:right="-85" w:firstLine="480"/>
      <w:outlineLvl w:val="0"/>
    </w:pPr>
    <w:rPr>
      <w:rFonts w:ascii="宋体" w:hAnsi="宋体"/>
      <w:color w:val="000000"/>
      <w:sz w:val="24"/>
    </w:rPr>
  </w:style>
  <w:style w:type="paragraph" w:styleId="ab">
    <w:name w:val="Balloon Text"/>
    <w:basedOn w:val="a"/>
    <w:rPr>
      <w:sz w:val="18"/>
    </w:rPr>
  </w:style>
  <w:style w:type="paragraph" w:styleId="ac">
    <w:name w:val="footer"/>
    <w:basedOn w:val="a"/>
    <w:link w:val="Char3"/>
    <w:pPr>
      <w:tabs>
        <w:tab w:val="center" w:pos="4153"/>
        <w:tab w:val="right" w:pos="8306"/>
      </w:tabs>
      <w:snapToGrid w:val="0"/>
      <w:jc w:val="left"/>
    </w:pPr>
    <w:rPr>
      <w:sz w:val="18"/>
    </w:rPr>
  </w:style>
  <w:style w:type="paragraph" w:styleId="ad">
    <w:name w:val="header"/>
    <w:basedOn w:val="a"/>
    <w:pPr>
      <w:pBdr>
        <w:bottom w:val="single" w:sz="6" w:space="1" w:color="auto"/>
      </w:pBdr>
      <w:tabs>
        <w:tab w:val="center" w:pos="4153"/>
        <w:tab w:val="right" w:pos="8306"/>
      </w:tabs>
      <w:snapToGrid w:val="0"/>
      <w:jc w:val="center"/>
    </w:pPr>
    <w:rPr>
      <w:sz w:val="18"/>
    </w:rPr>
  </w:style>
  <w:style w:type="paragraph" w:styleId="10">
    <w:name w:val="toc 1"/>
    <w:basedOn w:val="a"/>
    <w:next w:val="a"/>
    <w:pPr>
      <w:tabs>
        <w:tab w:val="right" w:leader="dot" w:pos="8450"/>
      </w:tabs>
      <w:spacing w:line="360" w:lineRule="auto"/>
    </w:pPr>
    <w:rPr>
      <w:rFonts w:ascii="黑体" w:eastAsia="黑体" w:hAnsi="宋体"/>
      <w:sz w:val="24"/>
    </w:rPr>
  </w:style>
  <w:style w:type="paragraph" w:styleId="21">
    <w:name w:val="toc 2"/>
    <w:basedOn w:val="a"/>
    <w:next w:val="a"/>
    <w:pPr>
      <w:ind w:leftChars="200" w:left="420"/>
    </w:pPr>
  </w:style>
  <w:style w:type="paragraph" w:styleId="ae">
    <w:name w:val="Normal (Web)"/>
    <w:basedOn w:val="a"/>
    <w:pPr>
      <w:widowControl/>
      <w:tabs>
        <w:tab w:val="left" w:pos="360"/>
      </w:tabs>
      <w:spacing w:before="100" w:beforeAutospacing="1" w:after="100" w:afterAutospacing="1"/>
      <w:jc w:val="left"/>
    </w:pPr>
    <w:rPr>
      <w:rFonts w:ascii="Arial Unicode MS" w:eastAsia="Arial Unicode MS" w:hAnsi="Arial Unicode MS"/>
      <w:kern w:val="0"/>
      <w:sz w:val="24"/>
    </w:rPr>
  </w:style>
  <w:style w:type="paragraph" w:styleId="af">
    <w:name w:val="Title"/>
    <w:basedOn w:val="a7"/>
    <w:next w:val="a7"/>
    <w:qFormat/>
    <w:pPr>
      <w:tabs>
        <w:tab w:val="left" w:pos="-540"/>
        <w:tab w:val="left" w:pos="1182"/>
      </w:tabs>
      <w:snapToGrid w:val="0"/>
      <w:spacing w:before="240" w:after="60" w:line="360" w:lineRule="auto"/>
      <w:ind w:left="527" w:hanging="425"/>
      <w:jc w:val="center"/>
      <w:outlineLvl w:val="0"/>
    </w:pPr>
    <w:rPr>
      <w:b/>
      <w:sz w:val="36"/>
    </w:rPr>
  </w:style>
  <w:style w:type="character" w:styleId="af0">
    <w:name w:val="page number"/>
    <w:basedOn w:val="a1"/>
  </w:style>
  <w:style w:type="character" w:styleId="af1">
    <w:name w:val="FollowedHyperlink"/>
    <w:rPr>
      <w:color w:val="800080"/>
      <w:u w:val="single"/>
    </w:rPr>
  </w:style>
  <w:style w:type="character" w:styleId="af2">
    <w:name w:val="Hyperlink"/>
    <w:rPr>
      <w:color w:val="0000FF"/>
      <w:u w:val="single"/>
    </w:rPr>
  </w:style>
  <w:style w:type="character" w:styleId="af3">
    <w:name w:val="annotation reference"/>
    <w:rPr>
      <w:sz w:val="21"/>
    </w:rPr>
  </w:style>
  <w:style w:type="table" w:styleId="af4">
    <w:name w:val="Table Grid"/>
    <w:basedOn w:val="a2"/>
    <w:uiPriority w:val="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
    <w:name w:val="Char Char Char Char Char Char Char"/>
    <w:basedOn w:val="a"/>
  </w:style>
  <w:style w:type="paragraph" w:customStyle="1" w:styleId="22">
    <w:name w:val="编号正文2"/>
    <w:basedOn w:val="a"/>
    <w:pPr>
      <w:tabs>
        <w:tab w:val="left" w:pos="648"/>
      </w:tabs>
      <w:autoSpaceDE w:val="0"/>
      <w:autoSpaceDN w:val="0"/>
      <w:adjustRightInd w:val="0"/>
      <w:spacing w:after="120" w:line="300" w:lineRule="auto"/>
      <w:ind w:firstLine="288"/>
      <w:textAlignment w:val="baseline"/>
    </w:pPr>
    <w:rPr>
      <w:rFonts w:ascii="宋体"/>
      <w:kern w:val="0"/>
    </w:rPr>
  </w:style>
  <w:style w:type="paragraph" w:customStyle="1" w:styleId="c">
    <w:name w:val="c_"/>
    <w:pPr>
      <w:widowControl w:val="0"/>
      <w:autoSpaceDE w:val="0"/>
      <w:autoSpaceDN w:val="0"/>
      <w:adjustRightInd w:val="0"/>
      <w:jc w:val="both"/>
    </w:pPr>
    <w:rPr>
      <w:rFonts w:ascii="五" w:eastAsia="五"/>
      <w:sz w:val="24"/>
    </w:rPr>
  </w:style>
  <w:style w:type="paragraph" w:customStyle="1" w:styleId="xl22">
    <w:name w:val="xl22"/>
    <w:basedOn w:val="a"/>
    <w:pPr>
      <w:widowControl/>
      <w:spacing w:before="100" w:beforeAutospacing="1" w:after="100" w:afterAutospacing="1"/>
      <w:textAlignment w:val="top"/>
    </w:pPr>
    <w:rPr>
      <w:rFonts w:ascii="宋体" w:hAnsi="宋体" w:hint="eastAsia"/>
      <w:kern w:val="0"/>
      <w:sz w:val="18"/>
    </w:rPr>
  </w:style>
  <w:style w:type="paragraph" w:customStyle="1" w:styleId="af5">
    <w:name w:val="项目"/>
    <w:basedOn w:val="4"/>
    <w:pPr>
      <w:snapToGrid w:val="0"/>
      <w:spacing w:before="120" w:after="120" w:line="360" w:lineRule="auto"/>
    </w:pPr>
    <w:rPr>
      <w:rFonts w:ascii="Times New Roman" w:eastAsia="楷体_GB2312" w:hAnsi="Times New Roman"/>
      <w:b w:val="0"/>
      <w:sz w:val="24"/>
    </w:rPr>
  </w:style>
  <w:style w:type="paragraph" w:customStyle="1" w:styleId="Char4">
    <w:name w:val="Char"/>
    <w:basedOn w:val="a"/>
  </w:style>
  <w:style w:type="paragraph" w:customStyle="1" w:styleId="af6">
    <w:name w:val="表格正文"/>
    <w:basedOn w:val="a0"/>
    <w:pPr>
      <w:spacing w:beforeLines="50"/>
      <w:ind w:firstLineChars="0" w:firstLine="0"/>
      <w:jc w:val="center"/>
    </w:pPr>
    <w:rPr>
      <w:sz w:val="24"/>
    </w:rPr>
  </w:style>
  <w:style w:type="paragraph" w:customStyle="1" w:styleId="CharCharCharChar1CharCharChar">
    <w:name w:val="Char Char Char Char1 Char Char Char"/>
    <w:basedOn w:val="a"/>
  </w:style>
  <w:style w:type="paragraph" w:customStyle="1" w:styleId="11">
    <w:name w:val="列出段落1"/>
    <w:basedOn w:val="a"/>
    <w:qFormat/>
    <w:pPr>
      <w:ind w:firstLineChars="200" w:firstLine="420"/>
    </w:pPr>
  </w:style>
  <w:style w:type="paragraph" w:customStyle="1" w:styleId="ParaCharCharCharCharCharChar">
    <w:name w:val="默认段落字体 Para Char Char Char Char Char Char"/>
    <w:basedOn w:val="a"/>
    <w:pPr>
      <w:tabs>
        <w:tab w:val="left" w:pos="840"/>
      </w:tabs>
      <w:ind w:left="840" w:hanging="360"/>
    </w:pPr>
    <w:rPr>
      <w:sz w:val="24"/>
    </w:rPr>
  </w:style>
  <w:style w:type="paragraph" w:customStyle="1" w:styleId="af7">
    <w:name w:val="报告署名"/>
    <w:basedOn w:val="a"/>
    <w:next w:val="a"/>
    <w:pPr>
      <w:spacing w:line="360" w:lineRule="auto"/>
      <w:jc w:val="center"/>
    </w:pPr>
    <w:rPr>
      <w:rFonts w:ascii="宋体" w:hAnsi="宋体"/>
      <w:sz w:val="24"/>
    </w:rPr>
  </w:style>
  <w:style w:type="paragraph" w:customStyle="1" w:styleId="CharCharCharCharChar">
    <w:name w:val="Char Char Char Char Char"/>
    <w:basedOn w:val="a"/>
    <w:pPr>
      <w:tabs>
        <w:tab w:val="left" w:pos="840"/>
      </w:tabs>
      <w:ind w:left="840" w:hanging="360"/>
    </w:pPr>
    <w:rPr>
      <w:sz w:val="24"/>
    </w:rPr>
  </w:style>
  <w:style w:type="paragraph" w:customStyle="1" w:styleId="23">
    <w:name w:val="列表2"/>
    <w:basedOn w:val="a"/>
    <w:next w:val="af"/>
    <w:pPr>
      <w:tabs>
        <w:tab w:val="left" w:pos="1125"/>
      </w:tabs>
      <w:spacing w:line="360" w:lineRule="auto"/>
      <w:ind w:left="1125" w:hanging="1125"/>
    </w:pPr>
    <w:rPr>
      <w:rFonts w:ascii="宋体"/>
    </w:rPr>
  </w:style>
  <w:style w:type="paragraph" w:customStyle="1" w:styleId="1Char">
    <w:name w:val="1 Char"/>
    <w:basedOn w:val="a"/>
    <w:pPr>
      <w:tabs>
        <w:tab w:val="left" w:pos="360"/>
      </w:tabs>
    </w:pPr>
    <w:rPr>
      <w:sz w:val="24"/>
      <w:szCs w:val="24"/>
    </w:rPr>
  </w:style>
  <w:style w:type="paragraph" w:customStyle="1" w:styleId="12">
    <w:name w:val="修订1"/>
    <w:rPr>
      <w:kern w:val="2"/>
      <w:sz w:val="21"/>
    </w:rPr>
  </w:style>
  <w:style w:type="paragraph" w:customStyle="1" w:styleId="Default">
    <w:name w:val="Default"/>
    <w:pPr>
      <w:widowControl w:val="0"/>
      <w:autoSpaceDE w:val="0"/>
      <w:autoSpaceDN w:val="0"/>
      <w:adjustRightInd w:val="0"/>
    </w:pPr>
    <w:rPr>
      <w:rFonts w:ascii="宋体" w:hAnsi="宋体" w:cs="宋体"/>
      <w:color w:val="000000"/>
      <w:sz w:val="24"/>
      <w:szCs w:val="24"/>
    </w:rPr>
  </w:style>
  <w:style w:type="paragraph" w:customStyle="1" w:styleId="CharCharChar1">
    <w:name w:val="Char Char Char1"/>
    <w:basedOn w:val="a"/>
  </w:style>
  <w:style w:type="character" w:customStyle="1" w:styleId="read">
    <w:name w:val="read"/>
    <w:basedOn w:val="a1"/>
  </w:style>
  <w:style w:type="character" w:customStyle="1" w:styleId="big1">
    <w:name w:val="big1"/>
    <w:rPr>
      <w:sz w:val="22"/>
    </w:rPr>
  </w:style>
  <w:style w:type="character" w:customStyle="1" w:styleId="Char2">
    <w:name w:val="纯文本 Char"/>
    <w:link w:val="aa"/>
    <w:uiPriority w:val="99"/>
    <w:rPr>
      <w:rFonts w:ascii="Courier New" w:hAnsi="Courier New"/>
    </w:rPr>
  </w:style>
  <w:style w:type="character" w:customStyle="1" w:styleId="ten51">
    <w:name w:val="ten51"/>
    <w:rPr>
      <w:sz w:val="21"/>
    </w:rPr>
  </w:style>
  <w:style w:type="character" w:customStyle="1" w:styleId="Char">
    <w:name w:val="批注文字 Char"/>
    <w:link w:val="a5"/>
    <w:rPr>
      <w:kern w:val="2"/>
      <w:sz w:val="21"/>
    </w:rPr>
  </w:style>
  <w:style w:type="character" w:customStyle="1" w:styleId="unnamed11">
    <w:name w:val="unnamed11"/>
    <w:rPr>
      <w:rFonts w:ascii="宋体" w:eastAsia="宋体" w:hAnsi="宋体" w:hint="eastAsia"/>
      <w:sz w:val="18"/>
      <w:szCs w:val="18"/>
    </w:rPr>
  </w:style>
  <w:style w:type="character" w:customStyle="1" w:styleId="Char3">
    <w:name w:val="页脚 Char"/>
    <w:link w:val="ac"/>
    <w:rPr>
      <w:kern w:val="2"/>
      <w:sz w:val="18"/>
    </w:rPr>
  </w:style>
  <w:style w:type="character" w:customStyle="1" w:styleId="Char0">
    <w:name w:val="正文首行缩进 Char"/>
    <w:link w:val="a6"/>
    <w:rPr>
      <w:kern w:val="2"/>
      <w:sz w:val="21"/>
    </w:rPr>
  </w:style>
  <w:style w:type="character" w:customStyle="1" w:styleId="Char1">
    <w:name w:val="文档结构图 Char"/>
    <w:link w:val="a8"/>
    <w:uiPriority w:val="99"/>
    <w:semiHidden/>
    <w:rPr>
      <w:rFonts w:ascii="宋体"/>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png"/><Relationship Id="rId18" Type="http://schemas.openxmlformats.org/officeDocument/2006/relationships/hyperlink" Target="http://www.jysld.co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jyfund.com/page/px120913083148055000.html" TargetMode="External"/><Relationship Id="rId17" Type="http://schemas.openxmlformats.org/officeDocument/2006/relationships/hyperlink" Target="http://www.jysld.com&#25110;www.bocomschroder.com/" TargetMode="Externa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comschroder.com/" TargetMode="Externa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www.bocomschroder.co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ocomschroder.com/" TargetMode="External"/><Relationship Id="rId14" Type="http://schemas.openxmlformats.org/officeDocument/2006/relationships/image" Target="media/image3.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180A55F-AD6F-4B1D-9E31-B16E68BC4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129</Pages>
  <Words>14067</Words>
  <Characters>80183</Characters>
  <Application>Microsoft Office Word</Application>
  <DocSecurity>0</DocSecurity>
  <Lines>668</Lines>
  <Paragraphs>188</Paragraphs>
  <ScaleCrop>false</ScaleCrop>
  <Company>jysld</Company>
  <LinksUpToDate>false</LinksUpToDate>
  <CharactersWithSpaces>94062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招募说明书</dc:title>
  <dc:creator>倪俊-2</dc:creator>
  <cp:lastModifiedBy>许帆</cp:lastModifiedBy>
  <cp:revision>10</cp:revision>
  <cp:lastPrinted>2015-04-03T08:35:00Z</cp:lastPrinted>
  <dcterms:created xsi:type="dcterms:W3CDTF">2014-09-29T06:20:00Z</dcterms:created>
  <dcterms:modified xsi:type="dcterms:W3CDTF">2015-04-17T03:28:00Z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2052-9.1.0.4895</vt:lpwstr>
  </property>
</Properties>
</file>