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F614B2" w:rsidRDefault="00F614B2" w:rsidP="00274C7A">
            <w:pPr>
              <w:snapToGrid w:val="0"/>
              <w:ind w:rightChars="20" w:right="42"/>
              <w:jc w:val="right"/>
              <w:rPr>
                <w:rFonts w:ascii="仿宋" w:eastAsia="仿宋" w:hAnsi="仿宋"/>
                <w:b/>
                <w:color w:val="004186"/>
                <w:sz w:val="52"/>
                <w:szCs w:val="52"/>
              </w:rPr>
            </w:pPr>
            <w:r w:rsidRPr="00F614B2">
              <w:rPr>
                <w:rFonts w:ascii="仿宋" w:eastAsia="仿宋" w:hAnsi="仿宋" w:hint="eastAsia"/>
                <w:b/>
                <w:color w:val="004186"/>
                <w:sz w:val="52"/>
                <w:szCs w:val="52"/>
              </w:rPr>
              <w:t>从利率市场化视角</w:t>
            </w:r>
          </w:p>
          <w:p w:rsidR="004424BF" w:rsidRPr="00D032A2" w:rsidRDefault="00F614B2" w:rsidP="00274C7A">
            <w:pPr>
              <w:snapToGrid w:val="0"/>
              <w:ind w:rightChars="20" w:right="42"/>
              <w:jc w:val="right"/>
              <w:rPr>
                <w:rFonts w:ascii="仿宋" w:eastAsia="仿宋" w:hAnsi="仿宋"/>
                <w:b/>
                <w:color w:val="004186"/>
                <w:sz w:val="52"/>
                <w:szCs w:val="52"/>
              </w:rPr>
            </w:pPr>
            <w:r w:rsidRPr="00F614B2">
              <w:rPr>
                <w:rFonts w:ascii="仿宋" w:eastAsia="仿宋" w:hAnsi="仿宋" w:hint="eastAsia"/>
                <w:b/>
                <w:color w:val="004186"/>
                <w:sz w:val="52"/>
                <w:szCs w:val="52"/>
              </w:rPr>
              <w:t>看未来股市的行情演绎</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B4206A" w:rsidRPr="00D032A2" w:rsidRDefault="00F614B2" w:rsidP="000B465D">
      <w:pPr>
        <w:spacing w:before="240" w:line="324" w:lineRule="auto"/>
        <w:ind w:leftChars="1080" w:left="2268" w:rightChars="471" w:right="989"/>
        <w:jc w:val="left"/>
        <w:rPr>
          <w:rFonts w:ascii="仿宋" w:eastAsia="仿宋" w:hAnsi="仿宋"/>
          <w:b/>
          <w:color w:val="082F6B"/>
          <w:sz w:val="44"/>
          <w:szCs w:val="44"/>
        </w:rPr>
      </w:pPr>
      <w:r w:rsidRPr="00F614B2">
        <w:rPr>
          <w:rFonts w:ascii="仿宋" w:eastAsia="仿宋" w:hAnsi="仿宋" w:hint="eastAsia"/>
          <w:b/>
          <w:color w:val="082F6B"/>
          <w:sz w:val="44"/>
          <w:szCs w:val="44"/>
        </w:rPr>
        <w:t>从利率市场化视角看未来股市的行情演绎</w:t>
      </w:r>
    </w:p>
    <w:p w:rsidR="00BC2F16" w:rsidRDefault="00DE4610" w:rsidP="00EB596B">
      <w:pPr>
        <w:spacing w:before="240" w:line="324" w:lineRule="auto"/>
        <w:ind w:leftChars="1080" w:left="2268" w:rightChars="471" w:right="989"/>
        <w:jc w:val="left"/>
        <w:rPr>
          <w:rFonts w:ascii="仿宋" w:eastAsia="仿宋" w:hAnsi="仿宋"/>
          <w:sz w:val="24"/>
          <w:szCs w:val="24"/>
        </w:rPr>
      </w:pPr>
      <w:r w:rsidRPr="004F779D">
        <w:rPr>
          <w:rFonts w:ascii="仿宋" w:eastAsia="仿宋" w:hAnsi="仿宋" w:hint="eastAsia"/>
          <w:sz w:val="24"/>
          <w:szCs w:val="24"/>
        </w:rPr>
        <w:t>从2003年中国人民银行明确我国利率市场化改革的总体思路以来，贷款利率已经基本实现了市场化，存款</w:t>
      </w:r>
      <w:proofErr w:type="gramStart"/>
      <w:r w:rsidRPr="004F779D">
        <w:rPr>
          <w:rFonts w:ascii="仿宋" w:eastAsia="仿宋" w:hAnsi="仿宋" w:hint="eastAsia"/>
          <w:sz w:val="24"/>
          <w:szCs w:val="24"/>
        </w:rPr>
        <w:t>端利率</w:t>
      </w:r>
      <w:proofErr w:type="gramEnd"/>
      <w:r w:rsidRPr="004F779D">
        <w:rPr>
          <w:rFonts w:ascii="仿宋" w:eastAsia="仿宋" w:hAnsi="仿宋" w:hint="eastAsia"/>
          <w:sz w:val="24"/>
          <w:szCs w:val="24"/>
        </w:rPr>
        <w:t>市场化正处于最后的攻坚阶段。</w:t>
      </w:r>
      <w:r w:rsidR="00370133">
        <w:rPr>
          <w:rFonts w:ascii="仿宋" w:eastAsia="仿宋" w:hAnsi="仿宋" w:hint="eastAsia"/>
          <w:sz w:val="24"/>
          <w:szCs w:val="24"/>
        </w:rPr>
        <w:t>在</w:t>
      </w:r>
      <w:r w:rsidR="00370133" w:rsidRPr="004F779D">
        <w:rPr>
          <w:rFonts w:ascii="仿宋" w:eastAsia="仿宋" w:hAnsi="仿宋" w:hint="eastAsia"/>
          <w:sz w:val="24"/>
          <w:szCs w:val="24"/>
        </w:rPr>
        <w:t>经济不出现超预期下滑</w:t>
      </w:r>
      <w:r w:rsidR="00370133">
        <w:rPr>
          <w:rFonts w:ascii="仿宋" w:eastAsia="仿宋" w:hAnsi="仿宋" w:hint="eastAsia"/>
          <w:sz w:val="24"/>
          <w:szCs w:val="24"/>
        </w:rPr>
        <w:t>的</w:t>
      </w:r>
      <w:r w:rsidR="00370133">
        <w:rPr>
          <w:rFonts w:ascii="仿宋" w:eastAsia="仿宋" w:hAnsi="仿宋"/>
          <w:sz w:val="24"/>
          <w:szCs w:val="24"/>
        </w:rPr>
        <w:t>前提下，</w:t>
      </w:r>
      <w:r w:rsidR="00370133" w:rsidRPr="004F779D">
        <w:rPr>
          <w:rFonts w:ascii="仿宋" w:eastAsia="仿宋" w:hAnsi="仿宋" w:hint="eastAsia"/>
          <w:sz w:val="24"/>
          <w:szCs w:val="24"/>
        </w:rPr>
        <w:t>理财产品收益率向同期限存款产品靠近将是必然趋势，无风险利率水平仍有下降空间，从主导逻辑上看对股票市场进一步上涨形成有利支撑。路径上看，理财产品渗透率在突破10%之后进入快速成长期，对股票资产的配置需求加大，将进一步推升市场的整体估值水平。但也要看到，无风险利率下降对估值报复性修复的过程已经在2014年完成，未来市场上涨的空间虽在，但斜率必将是变小的。</w:t>
      </w:r>
    </w:p>
    <w:p w:rsidR="00BC2F16" w:rsidRPr="00844C34" w:rsidRDefault="00BC2F16"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2A2EE9">
        <w:rPr>
          <w:rFonts w:ascii="仿宋" w:eastAsia="仿宋" w:hAnsi="仿宋"/>
          <w:b/>
          <w:color w:val="0088CC"/>
          <w:sz w:val="24"/>
          <w:szCs w:val="24"/>
        </w:rPr>
        <w:t>502</w:t>
      </w:r>
      <w:r w:rsidR="000D524A">
        <w:rPr>
          <w:rFonts w:ascii="仿宋" w:eastAsia="仿宋" w:hAnsi="仿宋"/>
          <w:b/>
          <w:color w:val="0088CC"/>
          <w:sz w:val="24"/>
          <w:szCs w:val="24"/>
        </w:rPr>
        <w:t>09</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w:t>
      </w:r>
      <w:r w:rsidR="002A2EE9">
        <w:rPr>
          <w:rFonts w:ascii="仿宋" w:eastAsia="仿宋" w:hAnsi="仿宋"/>
          <w:b/>
          <w:color w:val="0088CC"/>
          <w:sz w:val="24"/>
          <w:szCs w:val="24"/>
        </w:rPr>
        <w:t>2</w:t>
      </w:r>
      <w:r w:rsidR="000D524A">
        <w:rPr>
          <w:rFonts w:ascii="仿宋" w:eastAsia="仿宋" w:hAnsi="仿宋"/>
          <w:b/>
          <w:color w:val="0088CC"/>
          <w:sz w:val="24"/>
          <w:szCs w:val="24"/>
        </w:rPr>
        <w:t>13</w:t>
      </w:r>
    </w:p>
    <w:p w:rsidR="002A2EE9" w:rsidRPr="00567F50" w:rsidRDefault="000D524A" w:rsidP="002A2EE9">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上涨4.16%</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上涨6.04</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上涨4.68</w:t>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22,043.48</w:t>
      </w:r>
      <w:r w:rsidRPr="00567F50">
        <w:rPr>
          <w:rFonts w:ascii="仿宋" w:eastAsia="仿宋" w:hAnsi="仿宋" w:hint="eastAsia"/>
          <w:sz w:val="24"/>
          <w:szCs w:val="24"/>
          <w:lang w:val="en-GB"/>
        </w:rPr>
        <w:t>亿元。</w:t>
      </w:r>
      <w:r w:rsidRPr="000D524A">
        <w:rPr>
          <w:rFonts w:ascii="仿宋" w:eastAsia="仿宋" w:hAnsi="仿宋" w:hint="eastAsia"/>
          <w:sz w:val="24"/>
          <w:szCs w:val="24"/>
          <w:lang w:val="en-GB"/>
        </w:rPr>
        <w:t>计算机</w:t>
      </w:r>
      <w:r>
        <w:rPr>
          <w:rFonts w:ascii="仿宋" w:eastAsia="仿宋" w:hAnsi="仿宋" w:hint="eastAsia"/>
          <w:sz w:val="24"/>
          <w:szCs w:val="24"/>
          <w:lang w:val="en-GB"/>
        </w:rPr>
        <w:t>、</w:t>
      </w:r>
      <w:r w:rsidRPr="000D524A">
        <w:rPr>
          <w:rFonts w:ascii="仿宋" w:eastAsia="仿宋" w:hAnsi="仿宋" w:hint="eastAsia"/>
          <w:sz w:val="24"/>
          <w:szCs w:val="24"/>
          <w:lang w:val="en-GB"/>
        </w:rPr>
        <w:t>通信</w:t>
      </w:r>
      <w:r>
        <w:rPr>
          <w:rFonts w:ascii="仿宋" w:eastAsia="仿宋" w:hAnsi="仿宋" w:hint="eastAsia"/>
          <w:sz w:val="24"/>
          <w:szCs w:val="24"/>
          <w:lang w:val="en-GB"/>
        </w:rPr>
        <w:t>、</w:t>
      </w:r>
      <w:r w:rsidRPr="000D524A">
        <w:rPr>
          <w:rFonts w:ascii="仿宋" w:eastAsia="仿宋" w:hAnsi="仿宋" w:hint="eastAsia"/>
          <w:sz w:val="24"/>
          <w:szCs w:val="24"/>
          <w:lang w:val="en-GB"/>
        </w:rPr>
        <w:t>非</w:t>
      </w:r>
      <w:proofErr w:type="gramStart"/>
      <w:r w:rsidRPr="000D524A">
        <w:rPr>
          <w:rFonts w:ascii="仿宋" w:eastAsia="仿宋" w:hAnsi="仿宋" w:hint="eastAsia"/>
          <w:sz w:val="24"/>
          <w:szCs w:val="24"/>
          <w:lang w:val="en-GB"/>
        </w:rPr>
        <w:t>银金融</w:t>
      </w:r>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0D524A">
        <w:rPr>
          <w:rFonts w:ascii="仿宋" w:eastAsia="仿宋" w:hAnsi="仿宋"/>
          <w:sz w:val="24"/>
          <w:szCs w:val="24"/>
          <w:lang w:val="en-GB"/>
        </w:rPr>
        <w:t>7.53%</w:t>
      </w:r>
      <w:r>
        <w:rPr>
          <w:rFonts w:ascii="仿宋" w:eastAsia="仿宋" w:hAnsi="仿宋" w:hint="eastAsia"/>
          <w:sz w:val="24"/>
          <w:szCs w:val="24"/>
          <w:lang w:val="en-GB"/>
        </w:rPr>
        <w:t>、</w:t>
      </w:r>
      <w:r w:rsidRPr="000D524A">
        <w:rPr>
          <w:rFonts w:ascii="仿宋" w:eastAsia="仿宋" w:hAnsi="仿宋"/>
          <w:sz w:val="24"/>
          <w:szCs w:val="24"/>
          <w:lang w:val="en-GB"/>
        </w:rPr>
        <w:t>7.03%</w:t>
      </w:r>
      <w:r>
        <w:rPr>
          <w:rFonts w:ascii="仿宋" w:eastAsia="仿宋" w:hAnsi="仿宋" w:hint="eastAsia"/>
          <w:sz w:val="24"/>
          <w:szCs w:val="24"/>
          <w:lang w:val="en-GB"/>
        </w:rPr>
        <w:t>、</w:t>
      </w:r>
      <w:r w:rsidRPr="000D524A">
        <w:rPr>
          <w:rFonts w:ascii="仿宋" w:eastAsia="仿宋" w:hAnsi="仿宋"/>
          <w:sz w:val="24"/>
          <w:szCs w:val="24"/>
          <w:lang w:val="en-GB"/>
        </w:rPr>
        <w:t>6.43%</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w:t>
      </w:r>
      <w:r>
        <w:rPr>
          <w:rFonts w:ascii="仿宋" w:eastAsia="仿宋" w:hAnsi="仿宋"/>
          <w:sz w:val="24"/>
          <w:szCs w:val="24"/>
          <w:lang w:val="en-GB"/>
        </w:rPr>
        <w:t>、</w:t>
      </w:r>
      <w:r>
        <w:rPr>
          <w:rFonts w:ascii="仿宋" w:eastAsia="仿宋" w:hAnsi="仿宋" w:hint="eastAsia"/>
          <w:sz w:val="24"/>
          <w:szCs w:val="24"/>
          <w:lang w:val="en-GB"/>
        </w:rPr>
        <w:t>家用电器</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超过1</w:t>
      </w:r>
      <w:r>
        <w:rPr>
          <w:rFonts w:ascii="仿宋" w:eastAsia="仿宋" w:hAnsi="仿宋"/>
          <w:sz w:val="24"/>
          <w:szCs w:val="24"/>
          <w:lang w:val="en-GB"/>
        </w:rPr>
        <w:t>4%</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高</w:t>
      </w:r>
      <w:proofErr w:type="gramStart"/>
      <w:r>
        <w:rPr>
          <w:rFonts w:ascii="仿宋" w:eastAsia="仿宋" w:hAnsi="仿宋" w:hint="eastAsia"/>
          <w:sz w:val="24"/>
          <w:szCs w:val="24"/>
          <w:lang w:val="en-GB"/>
        </w:rPr>
        <w:t>市净率</w:t>
      </w:r>
      <w:r w:rsidRPr="00567F50">
        <w:rPr>
          <w:rFonts w:ascii="仿宋" w:eastAsia="仿宋" w:hAnsi="仿宋" w:hint="eastAsia"/>
          <w:sz w:val="24"/>
          <w:szCs w:val="24"/>
          <w:lang w:val="en-GB"/>
        </w:rPr>
        <w:t>指数</w:t>
      </w:r>
      <w:proofErr w:type="gramEnd"/>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5.90</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F614B2" w:rsidRPr="00F614B2">
        <w:rPr>
          <w:rFonts w:ascii="仿宋" w:eastAsia="仿宋" w:hAnsi="仿宋" w:hint="eastAsia"/>
          <w:b/>
          <w:color w:val="082F6B"/>
          <w:sz w:val="44"/>
          <w:szCs w:val="44"/>
        </w:rPr>
        <w:lastRenderedPageBreak/>
        <w:t>从利率市场化视角看未来股市的行情演绎</w:t>
      </w:r>
    </w:p>
    <w:p w:rsidR="00D21E6F" w:rsidRPr="00335227" w:rsidRDefault="00D032A2"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w:t>
      </w:r>
      <w:proofErr w:type="gramStart"/>
      <w:r>
        <w:rPr>
          <w:rFonts w:ascii="仿宋" w:eastAsia="仿宋" w:hAnsi="仿宋" w:hint="eastAsia"/>
          <w:b/>
          <w:color w:val="0088CC"/>
          <w:sz w:val="24"/>
          <w:szCs w:val="24"/>
        </w:rPr>
        <w:t>银</w:t>
      </w:r>
      <w:r w:rsidR="00F614B2">
        <w:rPr>
          <w:rFonts w:ascii="仿宋" w:eastAsia="仿宋" w:hAnsi="仿宋" w:hint="eastAsia"/>
          <w:b/>
          <w:color w:val="0088CC"/>
          <w:sz w:val="24"/>
          <w:szCs w:val="24"/>
        </w:rPr>
        <w:t>双息</w:t>
      </w:r>
      <w:r w:rsidR="00F614B2">
        <w:rPr>
          <w:rFonts w:ascii="仿宋" w:eastAsia="仿宋" w:hAnsi="仿宋"/>
          <w:b/>
          <w:color w:val="0088CC"/>
          <w:sz w:val="24"/>
          <w:szCs w:val="24"/>
        </w:rPr>
        <w:t>平衡</w:t>
      </w:r>
      <w:proofErr w:type="gramEnd"/>
      <w:r w:rsidR="004F742F">
        <w:rPr>
          <w:rFonts w:ascii="仿宋" w:eastAsia="仿宋" w:hAnsi="仿宋" w:hint="eastAsia"/>
          <w:b/>
          <w:color w:val="0088CC"/>
          <w:sz w:val="24"/>
          <w:szCs w:val="24"/>
        </w:rPr>
        <w:t>基金</w:t>
      </w:r>
      <w:r w:rsidR="004F742F">
        <w:rPr>
          <w:rFonts w:ascii="仿宋" w:eastAsia="仿宋" w:hAnsi="仿宋"/>
          <w:b/>
          <w:color w:val="0088CC"/>
          <w:sz w:val="24"/>
          <w:szCs w:val="24"/>
        </w:rPr>
        <w:t>经理</w:t>
      </w:r>
      <w:r w:rsidR="004F742F">
        <w:rPr>
          <w:rFonts w:ascii="仿宋" w:eastAsia="仿宋" w:hAnsi="仿宋" w:hint="eastAsia"/>
          <w:b/>
          <w:color w:val="0088CC"/>
          <w:sz w:val="24"/>
          <w:szCs w:val="24"/>
        </w:rPr>
        <w:t xml:space="preserve"> </w:t>
      </w:r>
      <w:r w:rsidR="00F614B2">
        <w:rPr>
          <w:rFonts w:ascii="仿宋" w:eastAsia="仿宋" w:hAnsi="仿宋" w:hint="eastAsia"/>
          <w:b/>
          <w:color w:val="0088CC"/>
          <w:sz w:val="24"/>
          <w:szCs w:val="24"/>
        </w:rPr>
        <w:t>李德亮</w:t>
      </w:r>
      <w:r w:rsidR="001F5693">
        <w:rPr>
          <w:rFonts w:ascii="仿宋" w:eastAsia="仿宋" w:hAnsi="仿宋" w:hint="eastAsia"/>
          <w:b/>
          <w:color w:val="0088CC"/>
          <w:sz w:val="24"/>
          <w:szCs w:val="24"/>
        </w:rPr>
        <w:t xml:space="preserve"> </w:t>
      </w:r>
    </w:p>
    <w:p w:rsidR="004F779D" w:rsidRPr="004F779D" w:rsidRDefault="004F779D" w:rsidP="004F779D">
      <w:pPr>
        <w:spacing w:before="240" w:line="324" w:lineRule="auto"/>
        <w:ind w:leftChars="1080" w:left="2268" w:rightChars="471" w:right="989"/>
        <w:jc w:val="left"/>
        <w:rPr>
          <w:rFonts w:ascii="仿宋" w:eastAsia="仿宋" w:hAnsi="仿宋" w:hint="eastAsia"/>
          <w:sz w:val="24"/>
          <w:szCs w:val="24"/>
        </w:rPr>
      </w:pPr>
      <w:r w:rsidRPr="004F779D">
        <w:rPr>
          <w:rFonts w:ascii="仿宋" w:eastAsia="仿宋" w:hAnsi="仿宋" w:hint="eastAsia"/>
          <w:sz w:val="24"/>
          <w:szCs w:val="24"/>
        </w:rPr>
        <w:t>2014年开启的牛市行情令市场参与者兴奋不已，于是在2015年初市场上充斥着</w:t>
      </w:r>
      <w:r w:rsidR="006F6677">
        <w:rPr>
          <w:rFonts w:ascii="仿宋" w:eastAsia="仿宋" w:hAnsi="仿宋" w:hint="eastAsia"/>
          <w:sz w:val="24"/>
          <w:szCs w:val="24"/>
        </w:rPr>
        <w:t>几乎</w:t>
      </w:r>
      <w:r w:rsidRPr="004F779D">
        <w:rPr>
          <w:rFonts w:ascii="仿宋" w:eastAsia="仿宋" w:hAnsi="仿宋" w:hint="eastAsia"/>
          <w:sz w:val="24"/>
          <w:szCs w:val="24"/>
        </w:rPr>
        <w:t>一边倒的看多声音，畅谈十年牛市行情者也不在少数。</w:t>
      </w:r>
      <w:r w:rsidR="003537D6">
        <w:rPr>
          <w:rFonts w:ascii="仿宋" w:eastAsia="仿宋" w:hAnsi="仿宋" w:hint="eastAsia"/>
          <w:sz w:val="24"/>
          <w:szCs w:val="24"/>
        </w:rPr>
        <w:t>但</w:t>
      </w:r>
      <w:r w:rsidRPr="004F779D">
        <w:rPr>
          <w:rFonts w:ascii="仿宋" w:eastAsia="仿宋" w:hAnsi="仿宋" w:hint="eastAsia"/>
          <w:sz w:val="24"/>
          <w:szCs w:val="24"/>
        </w:rPr>
        <w:t>从历史经验来看，每年年末</w:t>
      </w:r>
      <w:r w:rsidR="006F6677">
        <w:rPr>
          <w:rFonts w:ascii="仿宋" w:eastAsia="仿宋" w:hAnsi="仿宋" w:hint="eastAsia"/>
          <w:sz w:val="24"/>
          <w:szCs w:val="24"/>
        </w:rPr>
        <w:t>回顾</w:t>
      </w:r>
      <w:r w:rsidR="003537D6">
        <w:rPr>
          <w:rFonts w:ascii="仿宋" w:eastAsia="仿宋" w:hAnsi="仿宋" w:hint="eastAsia"/>
          <w:sz w:val="24"/>
          <w:szCs w:val="24"/>
        </w:rPr>
        <w:t>一年市场走势</w:t>
      </w:r>
      <w:r w:rsidR="003537D6">
        <w:rPr>
          <w:rFonts w:ascii="仿宋" w:eastAsia="仿宋" w:hAnsi="仿宋"/>
          <w:sz w:val="24"/>
          <w:szCs w:val="24"/>
        </w:rPr>
        <w:t>，或与</w:t>
      </w:r>
      <w:r w:rsidRPr="004F779D">
        <w:rPr>
          <w:rFonts w:ascii="仿宋" w:eastAsia="仿宋" w:hAnsi="仿宋" w:hint="eastAsia"/>
          <w:sz w:val="24"/>
          <w:szCs w:val="24"/>
        </w:rPr>
        <w:t>年初的市场一致预期</w:t>
      </w:r>
      <w:r w:rsidR="003537D6">
        <w:rPr>
          <w:rFonts w:ascii="仿宋" w:eastAsia="仿宋" w:hAnsi="仿宋" w:hint="eastAsia"/>
          <w:sz w:val="24"/>
          <w:szCs w:val="24"/>
        </w:rPr>
        <w:t>完全相反，</w:t>
      </w:r>
      <w:r w:rsidR="006F6677">
        <w:rPr>
          <w:rFonts w:ascii="仿宋" w:eastAsia="仿宋" w:hAnsi="仿宋" w:hint="eastAsia"/>
          <w:sz w:val="24"/>
          <w:szCs w:val="24"/>
        </w:rPr>
        <w:t>或</w:t>
      </w:r>
      <w:r w:rsidRPr="004F779D">
        <w:rPr>
          <w:rFonts w:ascii="仿宋" w:eastAsia="仿宋" w:hAnsi="仿宋" w:hint="eastAsia"/>
          <w:sz w:val="24"/>
          <w:szCs w:val="24"/>
        </w:rPr>
        <w:t>方向正确但偏离幅度巨大，因此有必要在市场一片看多之际再多审视一下主导市场的主线逻辑有</w:t>
      </w:r>
      <w:r w:rsidR="006F6677">
        <w:rPr>
          <w:rFonts w:ascii="仿宋" w:eastAsia="仿宋" w:hAnsi="仿宋" w:hint="eastAsia"/>
          <w:sz w:val="24"/>
          <w:szCs w:val="24"/>
        </w:rPr>
        <w:t>何</w:t>
      </w:r>
      <w:r w:rsidRPr="004F779D">
        <w:rPr>
          <w:rFonts w:ascii="仿宋" w:eastAsia="仿宋" w:hAnsi="仿宋" w:hint="eastAsia"/>
          <w:sz w:val="24"/>
          <w:szCs w:val="24"/>
        </w:rPr>
        <w:t>风险？市场最终会不会偏离出一致预期的轨道？</w:t>
      </w:r>
    </w:p>
    <w:p w:rsidR="004F779D" w:rsidRPr="004F779D" w:rsidRDefault="004F779D" w:rsidP="004F779D">
      <w:pPr>
        <w:spacing w:before="240" w:line="324" w:lineRule="auto"/>
        <w:ind w:leftChars="1080" w:left="2268" w:rightChars="471" w:right="989"/>
        <w:jc w:val="left"/>
        <w:rPr>
          <w:rFonts w:ascii="仿宋" w:eastAsia="仿宋" w:hAnsi="仿宋" w:hint="eastAsia"/>
          <w:sz w:val="24"/>
          <w:szCs w:val="24"/>
        </w:rPr>
      </w:pPr>
      <w:r w:rsidRPr="004F779D">
        <w:rPr>
          <w:rFonts w:ascii="仿宋" w:eastAsia="仿宋" w:hAnsi="仿宋" w:hint="eastAsia"/>
          <w:sz w:val="24"/>
          <w:szCs w:val="24"/>
        </w:rPr>
        <w:t>如果把市场作为一个整体，决定其上涨或下跌的因素无外乎盈利增长、无风险利率和风险偏好，从经济自身来看，目前仍处于经济增速下行和转型期，盈利增长乏力，但也看不到超预期下滑的迹象，因此盈利增长很难成为驱动市场行情的主导力量。十八大之后，市场对改革的预期升温，风险偏好不断提升，典型的市场特征就是对以创业</w:t>
      </w:r>
      <w:proofErr w:type="gramStart"/>
      <w:r w:rsidRPr="004F779D">
        <w:rPr>
          <w:rFonts w:ascii="仿宋" w:eastAsia="仿宋" w:hAnsi="仿宋" w:hint="eastAsia"/>
          <w:sz w:val="24"/>
          <w:szCs w:val="24"/>
        </w:rPr>
        <w:t>板为主</w:t>
      </w:r>
      <w:proofErr w:type="gramEnd"/>
      <w:r w:rsidRPr="004F779D">
        <w:rPr>
          <w:rFonts w:ascii="仿宋" w:eastAsia="仿宋" w:hAnsi="仿宋" w:hint="eastAsia"/>
          <w:sz w:val="24"/>
          <w:szCs w:val="24"/>
        </w:rPr>
        <w:t>的新兴产业的估值容忍度大幅提升，但其边际提升幅度已经很有限了。因此，无论是过去的</w:t>
      </w:r>
      <w:r w:rsidR="003537D6">
        <w:rPr>
          <w:rFonts w:ascii="仿宋" w:eastAsia="仿宋" w:hAnsi="仿宋" w:hint="eastAsia"/>
          <w:sz w:val="24"/>
          <w:szCs w:val="24"/>
        </w:rPr>
        <w:t>20</w:t>
      </w:r>
      <w:r w:rsidRPr="004F779D">
        <w:rPr>
          <w:rFonts w:ascii="仿宋" w:eastAsia="仿宋" w:hAnsi="仿宋" w:hint="eastAsia"/>
          <w:sz w:val="24"/>
          <w:szCs w:val="24"/>
        </w:rPr>
        <w:t>14年还是未来的</w:t>
      </w:r>
      <w:r w:rsidR="003537D6">
        <w:rPr>
          <w:rFonts w:ascii="仿宋" w:eastAsia="仿宋" w:hAnsi="仿宋" w:hint="eastAsia"/>
          <w:sz w:val="24"/>
          <w:szCs w:val="24"/>
        </w:rPr>
        <w:t>20</w:t>
      </w:r>
      <w:r w:rsidRPr="004F779D">
        <w:rPr>
          <w:rFonts w:ascii="仿宋" w:eastAsia="仿宋" w:hAnsi="仿宋" w:hint="eastAsia"/>
          <w:sz w:val="24"/>
          <w:szCs w:val="24"/>
        </w:rPr>
        <w:t>15年市场行情的主线逻辑还是看无风险利率，但笔者想从另外一个大的宏观背景即利率市场化的视角来解析一下这个关键变量及其对股市的影响。</w:t>
      </w:r>
    </w:p>
    <w:p w:rsidR="004F779D" w:rsidRPr="004F779D" w:rsidRDefault="004F779D" w:rsidP="004F779D">
      <w:pPr>
        <w:spacing w:before="240" w:line="324" w:lineRule="auto"/>
        <w:ind w:leftChars="1080" w:left="2268" w:rightChars="471" w:right="989"/>
        <w:jc w:val="left"/>
        <w:rPr>
          <w:rFonts w:ascii="仿宋" w:eastAsia="仿宋" w:hAnsi="仿宋" w:hint="eastAsia"/>
          <w:sz w:val="24"/>
          <w:szCs w:val="24"/>
        </w:rPr>
      </w:pPr>
      <w:r w:rsidRPr="004F779D">
        <w:rPr>
          <w:rFonts w:ascii="仿宋" w:eastAsia="仿宋" w:hAnsi="仿宋" w:hint="eastAsia"/>
          <w:sz w:val="24"/>
          <w:szCs w:val="24"/>
        </w:rPr>
        <w:t>从2003年中国人民银行明确我国利率市场化改革的总体思路以来，贷款利率已经基本实现了市场化，存款</w:t>
      </w:r>
      <w:proofErr w:type="gramStart"/>
      <w:r w:rsidRPr="004F779D">
        <w:rPr>
          <w:rFonts w:ascii="仿宋" w:eastAsia="仿宋" w:hAnsi="仿宋" w:hint="eastAsia"/>
          <w:sz w:val="24"/>
          <w:szCs w:val="24"/>
        </w:rPr>
        <w:t>端利率</w:t>
      </w:r>
      <w:proofErr w:type="gramEnd"/>
      <w:r w:rsidRPr="004F779D">
        <w:rPr>
          <w:rFonts w:ascii="仿宋" w:eastAsia="仿宋" w:hAnsi="仿宋" w:hint="eastAsia"/>
          <w:sz w:val="24"/>
          <w:szCs w:val="24"/>
        </w:rPr>
        <w:t>市场化正处于最后的攻坚阶段。在存款</w:t>
      </w:r>
      <w:proofErr w:type="gramStart"/>
      <w:r w:rsidRPr="004F779D">
        <w:rPr>
          <w:rFonts w:ascii="仿宋" w:eastAsia="仿宋" w:hAnsi="仿宋" w:hint="eastAsia"/>
          <w:sz w:val="24"/>
          <w:szCs w:val="24"/>
        </w:rPr>
        <w:t>端利率</w:t>
      </w:r>
      <w:proofErr w:type="gramEnd"/>
      <w:r w:rsidRPr="004F779D">
        <w:rPr>
          <w:rFonts w:ascii="仿宋" w:eastAsia="仿宋" w:hAnsi="仿宋" w:hint="eastAsia"/>
          <w:sz w:val="24"/>
          <w:szCs w:val="24"/>
        </w:rPr>
        <w:t>市场化改革中具有标志性意义的事件当属2013年余额宝产品的推出，由于对活期存款的高度替代性，</w:t>
      </w:r>
      <w:proofErr w:type="gramStart"/>
      <w:r w:rsidRPr="004F779D">
        <w:rPr>
          <w:rFonts w:ascii="仿宋" w:eastAsia="仿宋" w:hAnsi="仿宋" w:hint="eastAsia"/>
          <w:sz w:val="24"/>
          <w:szCs w:val="24"/>
        </w:rPr>
        <w:t>各类理财宝</w:t>
      </w:r>
      <w:proofErr w:type="gramEnd"/>
      <w:r w:rsidRPr="004F779D">
        <w:rPr>
          <w:rFonts w:ascii="仿宋" w:eastAsia="仿宋" w:hAnsi="仿宋" w:hint="eastAsia"/>
          <w:sz w:val="24"/>
          <w:szCs w:val="24"/>
        </w:rPr>
        <w:t>产品规模迅速做大。最后,商业银行坐不住了，也加入了宝类产品大战，只不过银行这边统称为理财产品，其提供的产品也更加丰富。</w:t>
      </w:r>
      <w:r w:rsidR="001B33FE">
        <w:rPr>
          <w:rFonts w:ascii="仿宋" w:eastAsia="仿宋" w:hAnsi="仿宋" w:hint="eastAsia"/>
          <w:sz w:val="24"/>
          <w:szCs w:val="24"/>
        </w:rPr>
        <w:t>20</w:t>
      </w:r>
      <w:r w:rsidRPr="004F779D">
        <w:rPr>
          <w:rFonts w:ascii="仿宋" w:eastAsia="仿宋" w:hAnsi="仿宋" w:hint="eastAsia"/>
          <w:sz w:val="24"/>
          <w:szCs w:val="24"/>
        </w:rPr>
        <w:t>13年底银行理财产品余额在10</w:t>
      </w:r>
      <w:proofErr w:type="gramStart"/>
      <w:r w:rsidRPr="004F779D">
        <w:rPr>
          <w:rFonts w:ascii="仿宋" w:eastAsia="仿宋" w:hAnsi="仿宋" w:hint="eastAsia"/>
          <w:sz w:val="24"/>
          <w:szCs w:val="24"/>
        </w:rPr>
        <w:t>万亿</w:t>
      </w:r>
      <w:proofErr w:type="gramEnd"/>
      <w:r w:rsidRPr="004F779D">
        <w:rPr>
          <w:rFonts w:ascii="仿宋" w:eastAsia="仿宋" w:hAnsi="仿宋" w:hint="eastAsia"/>
          <w:sz w:val="24"/>
          <w:szCs w:val="24"/>
        </w:rPr>
        <w:t>左右，存款规模在100</w:t>
      </w:r>
      <w:proofErr w:type="gramStart"/>
      <w:r w:rsidRPr="004F779D">
        <w:rPr>
          <w:rFonts w:ascii="仿宋" w:eastAsia="仿宋" w:hAnsi="仿宋" w:hint="eastAsia"/>
          <w:sz w:val="24"/>
          <w:szCs w:val="24"/>
        </w:rPr>
        <w:t>万亿</w:t>
      </w:r>
      <w:proofErr w:type="gramEnd"/>
      <w:r w:rsidRPr="004F779D">
        <w:rPr>
          <w:rFonts w:ascii="仿宋" w:eastAsia="仿宋" w:hAnsi="仿宋" w:hint="eastAsia"/>
          <w:sz w:val="24"/>
          <w:szCs w:val="24"/>
        </w:rPr>
        <w:t>左右，而到</w:t>
      </w:r>
      <w:r w:rsidR="001B33FE">
        <w:rPr>
          <w:rFonts w:ascii="仿宋" w:eastAsia="仿宋" w:hAnsi="仿宋" w:hint="eastAsia"/>
          <w:sz w:val="24"/>
          <w:szCs w:val="24"/>
        </w:rPr>
        <w:t>20</w:t>
      </w:r>
      <w:r w:rsidRPr="004F779D">
        <w:rPr>
          <w:rFonts w:ascii="仿宋" w:eastAsia="仿宋" w:hAnsi="仿宋" w:hint="eastAsia"/>
          <w:sz w:val="24"/>
          <w:szCs w:val="24"/>
        </w:rPr>
        <w:t>14年底理财产品规模超过了17</w:t>
      </w:r>
      <w:proofErr w:type="gramStart"/>
      <w:r w:rsidRPr="004F779D">
        <w:rPr>
          <w:rFonts w:ascii="仿宋" w:eastAsia="仿宋" w:hAnsi="仿宋" w:hint="eastAsia"/>
          <w:sz w:val="24"/>
          <w:szCs w:val="24"/>
        </w:rPr>
        <w:t>万亿</w:t>
      </w:r>
      <w:proofErr w:type="gramEnd"/>
      <w:r w:rsidRPr="004F779D">
        <w:rPr>
          <w:rFonts w:ascii="仿宋" w:eastAsia="仿宋" w:hAnsi="仿宋" w:hint="eastAsia"/>
          <w:sz w:val="24"/>
          <w:szCs w:val="24"/>
        </w:rPr>
        <w:t>，从产业发展的经验来看，渗透率越过10%-20%之间时，将从导入期步入快速成长期，当渗透率达到一定程度时，基本可以说存款</w:t>
      </w:r>
      <w:proofErr w:type="gramStart"/>
      <w:r w:rsidRPr="004F779D">
        <w:rPr>
          <w:rFonts w:ascii="仿宋" w:eastAsia="仿宋" w:hAnsi="仿宋" w:hint="eastAsia"/>
          <w:sz w:val="24"/>
          <w:szCs w:val="24"/>
        </w:rPr>
        <w:t>端利率</w:t>
      </w:r>
      <w:proofErr w:type="gramEnd"/>
      <w:r w:rsidRPr="004F779D">
        <w:rPr>
          <w:rFonts w:ascii="仿宋" w:eastAsia="仿宋" w:hAnsi="仿宋" w:hint="eastAsia"/>
          <w:sz w:val="24"/>
          <w:szCs w:val="24"/>
        </w:rPr>
        <w:t>也就基本实现了市场化。因此,如果把与同期限存款类比的银行理财产品收益率作为无风险利率的话，分析其未来走势对股票市场的意义将是重大的。</w:t>
      </w:r>
    </w:p>
    <w:p w:rsidR="004F779D" w:rsidRPr="004F779D" w:rsidRDefault="004F779D" w:rsidP="004F779D">
      <w:pPr>
        <w:spacing w:before="240" w:line="324" w:lineRule="auto"/>
        <w:ind w:leftChars="1080" w:left="2268" w:rightChars="471" w:right="989"/>
        <w:jc w:val="left"/>
        <w:rPr>
          <w:rFonts w:ascii="仿宋" w:eastAsia="仿宋" w:hAnsi="仿宋" w:hint="eastAsia"/>
          <w:sz w:val="24"/>
          <w:szCs w:val="24"/>
        </w:rPr>
      </w:pPr>
      <w:r w:rsidRPr="004F779D">
        <w:rPr>
          <w:rFonts w:ascii="仿宋" w:eastAsia="仿宋" w:hAnsi="仿宋" w:hint="eastAsia"/>
          <w:sz w:val="24"/>
          <w:szCs w:val="24"/>
        </w:rPr>
        <w:lastRenderedPageBreak/>
        <w:t>理财产品的收益率是与其所投资的资产池的收益水平密切相关的，在地方融资平台和房地产行业大发展的时间，理财产品的收益率水平也是水涨船高的，就连准货币基金的宝类产品都一度出现过6%以上的收益率，在那个时间</w:t>
      </w:r>
      <w:proofErr w:type="gramStart"/>
      <w:r w:rsidRPr="004F779D">
        <w:rPr>
          <w:rFonts w:ascii="仿宋" w:eastAsia="仿宋" w:hAnsi="仿宋" w:hint="eastAsia"/>
          <w:sz w:val="24"/>
          <w:szCs w:val="24"/>
        </w:rPr>
        <w:t>段这些</w:t>
      </w:r>
      <w:proofErr w:type="gramEnd"/>
      <w:r w:rsidRPr="004F779D">
        <w:rPr>
          <w:rFonts w:ascii="仿宋" w:eastAsia="仿宋" w:hAnsi="仿宋" w:hint="eastAsia"/>
          <w:sz w:val="24"/>
          <w:szCs w:val="24"/>
        </w:rPr>
        <w:t>刚性兑付产品的投资吸引力是非常大的，股票资产作为一个整体的配置价值就会很差。但随着中央对地方融资平台的规范和房地产行业利润率的趋势性下滑，资产池的收益率也是逐步下滑的。此外，在2013年银监会下发的8号文的限制下，理财产品投资非标资产的比重不得超过35%，这意味着65%的资产必须配置在债券、股票等标准化的资产上，这种配置结构的变化让我们看到的一个结果就是</w:t>
      </w:r>
      <w:r w:rsidR="001B33FE">
        <w:rPr>
          <w:rFonts w:ascii="仿宋" w:eastAsia="仿宋" w:hAnsi="仿宋" w:hint="eastAsia"/>
          <w:sz w:val="24"/>
          <w:szCs w:val="24"/>
        </w:rPr>
        <w:t>20</w:t>
      </w:r>
      <w:r w:rsidRPr="004F779D">
        <w:rPr>
          <w:rFonts w:ascii="仿宋" w:eastAsia="仿宋" w:hAnsi="仿宋" w:hint="eastAsia"/>
          <w:sz w:val="24"/>
          <w:szCs w:val="24"/>
        </w:rPr>
        <w:t>14年初9%左右分红收益率的股票资产的年末分红收益率降到了6%左右，这直接造就了</w:t>
      </w:r>
      <w:r w:rsidR="001B33FE">
        <w:rPr>
          <w:rFonts w:ascii="仿宋" w:eastAsia="仿宋" w:hAnsi="仿宋" w:hint="eastAsia"/>
          <w:sz w:val="24"/>
          <w:szCs w:val="24"/>
        </w:rPr>
        <w:t>20</w:t>
      </w:r>
      <w:r w:rsidRPr="004F779D">
        <w:rPr>
          <w:rFonts w:ascii="仿宋" w:eastAsia="仿宋" w:hAnsi="仿宋" w:hint="eastAsia"/>
          <w:sz w:val="24"/>
          <w:szCs w:val="24"/>
        </w:rPr>
        <w:t>14年股票指数50%多的暴涨行情。如果把理财产品收益率与同期限银行存款利率接轨代表利率市场化发展的终极结果的话，将目前3%左右的一年期存款</w:t>
      </w:r>
      <w:r w:rsidR="001B33FE">
        <w:rPr>
          <w:rFonts w:ascii="仿宋" w:eastAsia="仿宋" w:hAnsi="仿宋" w:hint="eastAsia"/>
          <w:sz w:val="24"/>
          <w:szCs w:val="24"/>
        </w:rPr>
        <w:t>利率</w:t>
      </w:r>
      <w:r w:rsidRPr="004F779D">
        <w:rPr>
          <w:rFonts w:ascii="仿宋" w:eastAsia="仿宋" w:hAnsi="仿宋" w:hint="eastAsia"/>
          <w:sz w:val="24"/>
          <w:szCs w:val="24"/>
        </w:rPr>
        <w:t>做参照，再考虑到1%的理财产品中间费用率，理财产品收益率的下限预计在4%左右，与目前5%左右的水平相比还有下降空间。在4%</w:t>
      </w:r>
      <w:r w:rsidR="001B33FE">
        <w:rPr>
          <w:rFonts w:ascii="仿宋" w:eastAsia="仿宋" w:hAnsi="仿宋" w:hint="eastAsia"/>
          <w:sz w:val="24"/>
          <w:szCs w:val="24"/>
        </w:rPr>
        <w:t>的目标收益率下可纳入投资范围</w:t>
      </w:r>
      <w:r w:rsidRPr="004F779D">
        <w:rPr>
          <w:rFonts w:ascii="仿宋" w:eastAsia="仿宋" w:hAnsi="仿宋" w:hint="eastAsia"/>
          <w:sz w:val="24"/>
          <w:szCs w:val="24"/>
        </w:rPr>
        <w:t>的股票品种还很多，直到把股票资产的分红收益率水平从目前的6%拉低到4%左右，因此，只要经济</w:t>
      </w:r>
      <w:proofErr w:type="gramStart"/>
      <w:r w:rsidRPr="004F779D">
        <w:rPr>
          <w:rFonts w:ascii="仿宋" w:eastAsia="仿宋" w:hAnsi="仿宋" w:hint="eastAsia"/>
          <w:sz w:val="24"/>
          <w:szCs w:val="24"/>
        </w:rPr>
        <w:t>不</w:t>
      </w:r>
      <w:proofErr w:type="gramEnd"/>
      <w:r w:rsidRPr="004F779D">
        <w:rPr>
          <w:rFonts w:ascii="仿宋" w:eastAsia="仿宋" w:hAnsi="仿宋" w:hint="eastAsia"/>
          <w:sz w:val="24"/>
          <w:szCs w:val="24"/>
        </w:rPr>
        <w:t>失速、企业盈利增长</w:t>
      </w:r>
      <w:proofErr w:type="gramStart"/>
      <w:r w:rsidRPr="004F779D">
        <w:rPr>
          <w:rFonts w:ascii="仿宋" w:eastAsia="仿宋" w:hAnsi="仿宋" w:hint="eastAsia"/>
          <w:sz w:val="24"/>
          <w:szCs w:val="24"/>
        </w:rPr>
        <w:t>不</w:t>
      </w:r>
      <w:proofErr w:type="gramEnd"/>
      <w:r w:rsidRPr="004F779D">
        <w:rPr>
          <w:rFonts w:ascii="仿宋" w:eastAsia="仿宋" w:hAnsi="仿宋" w:hint="eastAsia"/>
          <w:sz w:val="24"/>
          <w:szCs w:val="24"/>
        </w:rPr>
        <w:t>大幅下滑，股票市场中期看依然是一个看涨的格局。</w:t>
      </w:r>
    </w:p>
    <w:p w:rsidR="00DA333F" w:rsidRPr="004F742F" w:rsidRDefault="004F779D" w:rsidP="004F779D">
      <w:pPr>
        <w:spacing w:before="240" w:line="324" w:lineRule="auto"/>
        <w:ind w:leftChars="1080" w:left="2268" w:rightChars="471" w:right="989"/>
        <w:jc w:val="left"/>
        <w:rPr>
          <w:rFonts w:ascii="仿宋" w:eastAsia="仿宋" w:hAnsi="仿宋"/>
          <w:sz w:val="24"/>
          <w:szCs w:val="24"/>
        </w:rPr>
      </w:pPr>
      <w:r w:rsidRPr="004F779D">
        <w:rPr>
          <w:rFonts w:ascii="仿宋" w:eastAsia="仿宋" w:hAnsi="仿宋" w:hint="eastAsia"/>
          <w:sz w:val="24"/>
          <w:szCs w:val="24"/>
        </w:rPr>
        <w:t>总结来看，利率市场化进程进入最后阶段，理财产品收益率向同期限存款产品靠近将是必然趋势，无风险利率水平仍有下降空间，从主导逻辑上看对股票市场进一步上涨形成有利支撑。路径上看，理财产品渗透率在突破10%之后进入快速成长期，对股票资产的配置需求加大，将进一步推升市场的整体估值水平。但也要看到，无风险利率下降对估值报复性修复的过程已经在2014年完成，未来市场上涨的空间虽在，但斜率必将是变小的。最后不得不提醒的一点是，以上所有的逻辑分析都是基于经济不出现超预期下滑为前提的，否则单纯的利率市场化视角下无风险利率水平的下降就不能成为主导市场的主线逻辑，市场一致</w:t>
      </w:r>
      <w:proofErr w:type="gramStart"/>
      <w:r w:rsidRPr="004F779D">
        <w:rPr>
          <w:rFonts w:ascii="仿宋" w:eastAsia="仿宋" w:hAnsi="仿宋" w:hint="eastAsia"/>
          <w:sz w:val="24"/>
          <w:szCs w:val="24"/>
        </w:rPr>
        <w:t>预期偏轨也</w:t>
      </w:r>
      <w:proofErr w:type="gramEnd"/>
      <w:r w:rsidRPr="004F779D">
        <w:rPr>
          <w:rFonts w:ascii="仿宋" w:eastAsia="仿宋" w:hAnsi="仿宋" w:hint="eastAsia"/>
          <w:sz w:val="24"/>
          <w:szCs w:val="24"/>
        </w:rPr>
        <w:t>将是大概率事件。</w:t>
      </w:r>
    </w:p>
    <w:p w:rsidR="00DA333F" w:rsidRDefault="00DA333F" w:rsidP="00DA333F">
      <w:pPr>
        <w:spacing w:before="240" w:line="324" w:lineRule="auto"/>
        <w:ind w:leftChars="1080" w:left="2268" w:rightChars="471" w:right="989"/>
        <w:jc w:val="left"/>
        <w:rPr>
          <w:rFonts w:ascii="仿宋" w:eastAsia="仿宋" w:hAnsi="仿宋"/>
          <w:sz w:val="24"/>
          <w:szCs w:val="24"/>
        </w:rPr>
      </w:pPr>
    </w:p>
    <w:p w:rsidR="000D524A" w:rsidRDefault="000D524A"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hint="eastAsia"/>
          <w:b/>
          <w:color w:val="082F6B"/>
          <w:sz w:val="44"/>
          <w:szCs w:val="44"/>
        </w:rPr>
      </w:pPr>
      <w:r w:rsidRPr="002D6A58">
        <w:rPr>
          <w:rFonts w:ascii="仿宋" w:eastAsia="仿宋" w:hAnsi="仿宋" w:hint="eastAsia"/>
          <w:b/>
          <w:color w:val="082F6B"/>
          <w:sz w:val="44"/>
          <w:szCs w:val="44"/>
        </w:rPr>
        <w:lastRenderedPageBreak/>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42A20">
        <w:rPr>
          <w:rFonts w:ascii="仿宋" w:eastAsia="仿宋" w:hAnsi="仿宋"/>
          <w:b/>
          <w:color w:val="082F6B"/>
          <w:sz w:val="36"/>
          <w:szCs w:val="36"/>
        </w:rPr>
        <w:t>502</w:t>
      </w:r>
      <w:r w:rsidR="000D524A">
        <w:rPr>
          <w:rFonts w:ascii="仿宋" w:eastAsia="仿宋" w:hAnsi="仿宋"/>
          <w:b/>
          <w:color w:val="082F6B"/>
          <w:sz w:val="36"/>
          <w:szCs w:val="36"/>
        </w:rPr>
        <w:t>09</w:t>
      </w:r>
      <w:r w:rsidR="005F54DF" w:rsidRPr="002D6A58">
        <w:rPr>
          <w:rFonts w:ascii="仿宋" w:eastAsia="仿宋" w:hAnsi="仿宋" w:hint="eastAsia"/>
          <w:b/>
          <w:color w:val="082F6B"/>
          <w:sz w:val="36"/>
          <w:szCs w:val="36"/>
        </w:rPr>
        <w:t>-201</w:t>
      </w:r>
      <w:r w:rsidR="00842A20">
        <w:rPr>
          <w:rFonts w:ascii="仿宋" w:eastAsia="仿宋" w:hAnsi="仿宋"/>
          <w:b/>
          <w:color w:val="082F6B"/>
          <w:sz w:val="36"/>
          <w:szCs w:val="36"/>
        </w:rPr>
        <w:t>502</w:t>
      </w:r>
      <w:r w:rsidR="000D524A">
        <w:rPr>
          <w:rFonts w:ascii="仿宋" w:eastAsia="仿宋" w:hAnsi="仿宋"/>
          <w:b/>
          <w:color w:val="082F6B"/>
          <w:sz w:val="36"/>
          <w:szCs w:val="36"/>
        </w:rPr>
        <w:t>13</w:t>
      </w:r>
      <w:r w:rsidR="000D524A">
        <w:rPr>
          <w:rFonts w:ascii="仿宋" w:eastAsia="仿宋" w:hAnsi="仿宋" w:hint="eastAsia"/>
          <w:b/>
          <w:color w:val="082F6B"/>
          <w:sz w:val="36"/>
          <w:szCs w:val="36"/>
        </w:rPr>
        <w:t>）</w:t>
      </w:r>
    </w:p>
    <w:p w:rsidR="00193960" w:rsidRPr="00567F50" w:rsidRDefault="00B7035E" w:rsidP="000D524A">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4E4C49">
        <w:rPr>
          <w:rFonts w:ascii="仿宋" w:eastAsia="仿宋" w:hAnsi="仿宋" w:hint="eastAsia"/>
          <w:sz w:val="24"/>
          <w:szCs w:val="24"/>
          <w:lang w:val="en-GB"/>
        </w:rPr>
        <w:t>上涨4.16</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0D524A">
        <w:rPr>
          <w:rFonts w:ascii="仿宋" w:eastAsia="仿宋" w:hAnsi="仿宋" w:hint="eastAsia"/>
          <w:sz w:val="24"/>
          <w:szCs w:val="24"/>
          <w:lang w:val="en-GB"/>
        </w:rPr>
        <w:t>上涨6.04</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0D524A">
        <w:rPr>
          <w:rFonts w:ascii="仿宋" w:eastAsia="仿宋" w:hAnsi="仿宋" w:hint="eastAsia"/>
          <w:sz w:val="24"/>
          <w:szCs w:val="24"/>
          <w:lang w:val="en-GB"/>
        </w:rPr>
        <w:t>上涨4.68</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0D524A">
        <w:rPr>
          <w:rFonts w:ascii="仿宋" w:eastAsia="仿宋" w:hAnsi="仿宋"/>
          <w:sz w:val="24"/>
          <w:szCs w:val="24"/>
          <w:lang w:val="en-GB"/>
        </w:rPr>
        <w:t>22,043.48</w:t>
      </w:r>
      <w:r w:rsidR="00193960" w:rsidRPr="00567F50">
        <w:rPr>
          <w:rFonts w:ascii="仿宋" w:eastAsia="仿宋" w:hAnsi="仿宋" w:hint="eastAsia"/>
          <w:sz w:val="24"/>
          <w:szCs w:val="24"/>
          <w:lang w:val="en-GB"/>
        </w:rPr>
        <w:t>亿元。</w:t>
      </w:r>
      <w:r w:rsidR="000D524A" w:rsidRPr="000D524A">
        <w:rPr>
          <w:rFonts w:ascii="仿宋" w:eastAsia="仿宋" w:hAnsi="仿宋" w:hint="eastAsia"/>
          <w:sz w:val="24"/>
          <w:szCs w:val="24"/>
          <w:lang w:val="en-GB"/>
        </w:rPr>
        <w:t>计算机</w:t>
      </w:r>
      <w:r w:rsidR="000D524A">
        <w:rPr>
          <w:rFonts w:ascii="仿宋" w:eastAsia="仿宋" w:hAnsi="仿宋" w:hint="eastAsia"/>
          <w:sz w:val="24"/>
          <w:szCs w:val="24"/>
          <w:lang w:val="en-GB"/>
        </w:rPr>
        <w:t>、</w:t>
      </w:r>
      <w:r w:rsidR="000D524A" w:rsidRPr="000D524A">
        <w:rPr>
          <w:rFonts w:ascii="仿宋" w:eastAsia="仿宋" w:hAnsi="仿宋" w:hint="eastAsia"/>
          <w:sz w:val="24"/>
          <w:szCs w:val="24"/>
          <w:lang w:val="en-GB"/>
        </w:rPr>
        <w:t>通信</w:t>
      </w:r>
      <w:r w:rsidR="000D524A">
        <w:rPr>
          <w:rFonts w:ascii="仿宋" w:eastAsia="仿宋" w:hAnsi="仿宋" w:hint="eastAsia"/>
          <w:sz w:val="24"/>
          <w:szCs w:val="24"/>
          <w:lang w:val="en-GB"/>
        </w:rPr>
        <w:t>、</w:t>
      </w:r>
      <w:r w:rsidR="000D524A" w:rsidRPr="000D524A">
        <w:rPr>
          <w:rFonts w:ascii="仿宋" w:eastAsia="仿宋" w:hAnsi="仿宋" w:hint="eastAsia"/>
          <w:sz w:val="24"/>
          <w:szCs w:val="24"/>
          <w:lang w:val="en-GB"/>
        </w:rPr>
        <w:t>非</w:t>
      </w:r>
      <w:proofErr w:type="gramStart"/>
      <w:r w:rsidR="000D524A" w:rsidRPr="000D524A">
        <w:rPr>
          <w:rFonts w:ascii="仿宋" w:eastAsia="仿宋" w:hAnsi="仿宋" w:hint="eastAsia"/>
          <w:sz w:val="24"/>
          <w:szCs w:val="24"/>
          <w:lang w:val="en-GB"/>
        </w:rPr>
        <w:t>银金融</w:t>
      </w:r>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0D524A" w:rsidRPr="000D524A">
        <w:rPr>
          <w:rFonts w:ascii="仿宋" w:eastAsia="仿宋" w:hAnsi="仿宋"/>
          <w:sz w:val="24"/>
          <w:szCs w:val="24"/>
          <w:lang w:val="en-GB"/>
        </w:rPr>
        <w:t>7.53%</w:t>
      </w:r>
      <w:r w:rsidR="000D524A">
        <w:rPr>
          <w:rFonts w:ascii="仿宋" w:eastAsia="仿宋" w:hAnsi="仿宋" w:hint="eastAsia"/>
          <w:sz w:val="24"/>
          <w:szCs w:val="24"/>
          <w:lang w:val="en-GB"/>
        </w:rPr>
        <w:t>、</w:t>
      </w:r>
      <w:r w:rsidR="000D524A" w:rsidRPr="000D524A">
        <w:rPr>
          <w:rFonts w:ascii="仿宋" w:eastAsia="仿宋" w:hAnsi="仿宋"/>
          <w:sz w:val="24"/>
          <w:szCs w:val="24"/>
          <w:lang w:val="en-GB"/>
        </w:rPr>
        <w:t>7.03%</w:t>
      </w:r>
      <w:r w:rsidR="000D524A">
        <w:rPr>
          <w:rFonts w:ascii="仿宋" w:eastAsia="仿宋" w:hAnsi="仿宋" w:hint="eastAsia"/>
          <w:sz w:val="24"/>
          <w:szCs w:val="24"/>
          <w:lang w:val="en-GB"/>
        </w:rPr>
        <w:t>、</w:t>
      </w:r>
      <w:r w:rsidR="000D524A" w:rsidRPr="000D524A">
        <w:rPr>
          <w:rFonts w:ascii="仿宋" w:eastAsia="仿宋" w:hAnsi="仿宋"/>
          <w:sz w:val="24"/>
          <w:szCs w:val="24"/>
          <w:lang w:val="en-GB"/>
        </w:rPr>
        <w:t>6.43%</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54B39">
        <w:rPr>
          <w:rFonts w:ascii="仿宋" w:eastAsia="仿宋" w:hAnsi="仿宋" w:hint="eastAsia"/>
          <w:sz w:val="24"/>
          <w:szCs w:val="24"/>
          <w:lang w:val="en-GB"/>
        </w:rPr>
        <w:t>计算机</w:t>
      </w:r>
      <w:r w:rsidR="00654B39">
        <w:rPr>
          <w:rFonts w:ascii="仿宋" w:eastAsia="仿宋" w:hAnsi="仿宋"/>
          <w:sz w:val="24"/>
          <w:szCs w:val="24"/>
          <w:lang w:val="en-GB"/>
        </w:rPr>
        <w:t>、</w:t>
      </w:r>
      <w:r w:rsidR="000D524A">
        <w:rPr>
          <w:rFonts w:ascii="仿宋" w:eastAsia="仿宋" w:hAnsi="仿宋" w:hint="eastAsia"/>
          <w:sz w:val="24"/>
          <w:szCs w:val="24"/>
          <w:lang w:val="en-GB"/>
        </w:rPr>
        <w:t>家用电器</w:t>
      </w:r>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094102">
        <w:rPr>
          <w:rFonts w:ascii="仿宋" w:eastAsia="仿宋" w:hAnsi="仿宋" w:hint="eastAsia"/>
          <w:sz w:val="24"/>
          <w:szCs w:val="24"/>
          <w:lang w:val="en-GB"/>
        </w:rPr>
        <w:t>1</w:t>
      </w:r>
      <w:r w:rsidR="005D4866">
        <w:rPr>
          <w:rFonts w:ascii="仿宋" w:eastAsia="仿宋" w:hAnsi="仿宋"/>
          <w:sz w:val="24"/>
          <w:szCs w:val="24"/>
          <w:lang w:val="en-GB"/>
        </w:rPr>
        <w:t>4</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F945B9">
        <w:rPr>
          <w:rFonts w:ascii="仿宋" w:eastAsia="仿宋" w:hAnsi="仿宋" w:hint="eastAsia"/>
          <w:sz w:val="24"/>
          <w:szCs w:val="24"/>
          <w:lang w:val="en-GB"/>
        </w:rPr>
        <w:t>高</w:t>
      </w:r>
      <w:proofErr w:type="gramStart"/>
      <w:r w:rsidR="00F945B9">
        <w:rPr>
          <w:rFonts w:ascii="仿宋" w:eastAsia="仿宋" w:hAnsi="仿宋" w:hint="eastAsia"/>
          <w:sz w:val="24"/>
          <w:szCs w:val="24"/>
          <w:lang w:val="en-GB"/>
        </w:rPr>
        <w:t>市净率</w:t>
      </w:r>
      <w:r w:rsidR="00193960" w:rsidRPr="00567F50">
        <w:rPr>
          <w:rFonts w:ascii="仿宋" w:eastAsia="仿宋" w:hAnsi="仿宋" w:hint="eastAsia"/>
          <w:sz w:val="24"/>
          <w:szCs w:val="24"/>
          <w:lang w:val="en-GB"/>
        </w:rPr>
        <w:t>指数</w:t>
      </w:r>
      <w:proofErr w:type="gramEnd"/>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0D524A">
        <w:rPr>
          <w:rFonts w:ascii="仿宋" w:eastAsia="仿宋" w:hAnsi="仿宋"/>
          <w:sz w:val="24"/>
          <w:szCs w:val="24"/>
          <w:lang w:val="en-GB"/>
        </w:rPr>
        <w:t>5.90</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4E4C49" w:rsidRPr="00842A20" w:rsidTr="00C62D3F">
        <w:trPr>
          <w:trHeight w:val="64"/>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上证综指</w:t>
            </w:r>
          </w:p>
        </w:tc>
        <w:tc>
          <w:tcPr>
            <w:tcW w:w="1021" w:type="dxa"/>
          </w:tcPr>
          <w:p w:rsidR="004E4C49" w:rsidRPr="004E4C49" w:rsidRDefault="004E4C49" w:rsidP="004E4C49">
            <w:pPr>
              <w:jc w:val="center"/>
              <w:rPr>
                <w:rFonts w:ascii="仿宋" w:eastAsia="仿宋" w:hAnsi="仿宋" w:cs="Arial"/>
              </w:rPr>
            </w:pPr>
            <w:r w:rsidRPr="004E4C49">
              <w:rPr>
                <w:rFonts w:ascii="仿宋" w:eastAsia="仿宋" w:hAnsi="仿宋" w:cs="Arial"/>
              </w:rPr>
              <w:t>4.16%</w:t>
            </w:r>
          </w:p>
        </w:tc>
        <w:tc>
          <w:tcPr>
            <w:tcW w:w="1134" w:type="dxa"/>
            <w:tcBorders>
              <w:right w:val="single" w:sz="4" w:space="0" w:color="1F497D"/>
            </w:tcBorders>
          </w:tcPr>
          <w:p w:rsidR="004E4C49" w:rsidRPr="004E4C49" w:rsidRDefault="004E4C49" w:rsidP="004E4C49">
            <w:pPr>
              <w:jc w:val="center"/>
              <w:rPr>
                <w:rFonts w:ascii="仿宋" w:eastAsia="仿宋" w:hAnsi="仿宋" w:cs="Arial"/>
              </w:rPr>
            </w:pPr>
            <w:r w:rsidRPr="004E4C49">
              <w:rPr>
                <w:rFonts w:ascii="仿宋" w:eastAsia="仿宋" w:hAnsi="仿宋" w:cs="Arial"/>
              </w:rPr>
              <w:t>11,993.8</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A股总市值（亿元）</w:t>
            </w:r>
          </w:p>
        </w:tc>
        <w:tc>
          <w:tcPr>
            <w:tcW w:w="1315" w:type="dxa"/>
          </w:tcPr>
          <w:p w:rsidR="004E4C49" w:rsidRPr="004E4C49" w:rsidRDefault="004E4C49" w:rsidP="004E4C49">
            <w:pPr>
              <w:jc w:val="center"/>
              <w:rPr>
                <w:rFonts w:ascii="仿宋" w:eastAsia="仿宋" w:hAnsi="仿宋" w:cs="Arial"/>
              </w:rPr>
            </w:pPr>
            <w:r w:rsidRPr="004E4C49">
              <w:rPr>
                <w:rFonts w:ascii="仿宋" w:eastAsia="仿宋" w:hAnsi="仿宋" w:cs="Arial"/>
              </w:rPr>
              <w:t>440,926.09</w:t>
            </w:r>
          </w:p>
        </w:tc>
      </w:tr>
      <w:tr w:rsidR="004E4C49" w:rsidRPr="00842A20" w:rsidTr="00C62D3F">
        <w:trPr>
          <w:trHeight w:val="7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上证180</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4.50%</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7,498.3</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A股流通市值（亿元）</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324,698.63</w:t>
            </w:r>
          </w:p>
        </w:tc>
      </w:tr>
      <w:tr w:rsidR="004E4C49" w:rsidRPr="00842A20" w:rsidTr="00C62D3F">
        <w:trPr>
          <w:trHeight w:val="2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上证50</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4.40%</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4,417.2</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A股市盈率（最新年报，剔除负值）</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18.18</w:t>
            </w:r>
          </w:p>
        </w:tc>
      </w:tr>
      <w:tr w:rsidR="004E4C49" w:rsidRPr="00842A20" w:rsidTr="00C62D3F">
        <w:trPr>
          <w:trHeight w:val="2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沪深300</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4.75%</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10,442.3</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A股市盈率（递推12个月，剔除负值）</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16.60</w:t>
            </w:r>
          </w:p>
        </w:tc>
      </w:tr>
      <w:tr w:rsidR="004E4C49" w:rsidRPr="00842A20" w:rsidTr="00C62D3F">
        <w:trPr>
          <w:trHeight w:val="2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深证成指</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6.04%</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1,647.0</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A股市净率（最新年报，剔除负值）</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2.50</w:t>
            </w:r>
          </w:p>
        </w:tc>
      </w:tr>
      <w:tr w:rsidR="004E4C49" w:rsidRPr="00842A20" w:rsidTr="00C62D3F">
        <w:trPr>
          <w:trHeight w:val="2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深证100</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5.49%</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2,928.7</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A股市净率（最新报告期，剔除负值）</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2.27</w:t>
            </w:r>
          </w:p>
        </w:tc>
      </w:tr>
      <w:tr w:rsidR="004E4C49" w:rsidRPr="00842A20" w:rsidTr="00C62D3F">
        <w:trPr>
          <w:trHeight w:val="20"/>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申万中小板</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4.68%</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3,924.5</w:t>
            </w:r>
          </w:p>
        </w:tc>
        <w:tc>
          <w:tcPr>
            <w:tcW w:w="283" w:type="dxa"/>
            <w:vMerge/>
            <w:tcBorders>
              <w:left w:val="single" w:sz="4" w:space="0" w:color="1F497D"/>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A股加权平均股价</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9.99</w:t>
            </w:r>
          </w:p>
        </w:tc>
      </w:tr>
      <w:tr w:rsidR="004E4C49" w:rsidRPr="00842A20" w:rsidTr="00C62D3F">
        <w:trPr>
          <w:trHeight w:val="138"/>
        </w:trPr>
        <w:tc>
          <w:tcPr>
            <w:tcW w:w="148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申万基金重仓</w:t>
            </w:r>
          </w:p>
        </w:tc>
        <w:tc>
          <w:tcPr>
            <w:tcW w:w="102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4.80%</w:t>
            </w:r>
          </w:p>
        </w:tc>
        <w:tc>
          <w:tcPr>
            <w:tcW w:w="1134" w:type="dxa"/>
            <w:tcBorders>
              <w:right w:val="single" w:sz="4" w:space="0" w:color="1F497D"/>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16,532.8</w:t>
            </w:r>
          </w:p>
        </w:tc>
        <w:tc>
          <w:tcPr>
            <w:tcW w:w="283" w:type="dxa"/>
            <w:vMerge/>
            <w:tcBorders>
              <w:left w:val="single" w:sz="4" w:space="0" w:color="1F497D"/>
              <w:bottom w:val="nil"/>
            </w:tcBorders>
            <w:vAlign w:val="center"/>
          </w:tcPr>
          <w:p w:rsidR="004E4C49" w:rsidRPr="00567F50" w:rsidRDefault="004E4C49" w:rsidP="004E4C49">
            <w:pPr>
              <w:widowControl/>
              <w:jc w:val="center"/>
              <w:rPr>
                <w:rFonts w:ascii="仿宋" w:eastAsia="仿宋" w:hAnsi="仿宋" w:cs="Arial"/>
              </w:rPr>
            </w:pPr>
          </w:p>
        </w:tc>
        <w:tc>
          <w:tcPr>
            <w:tcW w:w="3901"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两市A股成交金额(亿元)</w:t>
            </w:r>
          </w:p>
        </w:tc>
        <w:tc>
          <w:tcPr>
            <w:tcW w:w="1315"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22,043.48</w:t>
            </w:r>
          </w:p>
        </w:tc>
      </w:tr>
    </w:tbl>
    <w:p w:rsidR="00B7035E" w:rsidRPr="00842A20" w:rsidRDefault="00B7035E" w:rsidP="00842A20">
      <w:pPr>
        <w:spacing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计算机</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7.53%</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18.22%</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交通运输</w:t>
            </w:r>
          </w:p>
        </w:tc>
        <w:tc>
          <w:tcPr>
            <w:tcW w:w="1134" w:type="dxa"/>
          </w:tcPr>
          <w:p w:rsidR="004E4C49" w:rsidRPr="004E4C49" w:rsidRDefault="004E4C49" w:rsidP="004E4C49">
            <w:pPr>
              <w:jc w:val="center"/>
              <w:rPr>
                <w:rFonts w:ascii="仿宋" w:eastAsia="仿宋" w:hAnsi="仿宋" w:cs="Arial"/>
              </w:rPr>
            </w:pPr>
            <w:r w:rsidRPr="004E4C49">
              <w:rPr>
                <w:rFonts w:ascii="仿宋" w:eastAsia="仿宋" w:hAnsi="仿宋" w:cs="Arial"/>
              </w:rPr>
              <w:t>4.22%</w:t>
            </w:r>
          </w:p>
        </w:tc>
        <w:tc>
          <w:tcPr>
            <w:tcW w:w="1275" w:type="dxa"/>
            <w:tcBorders>
              <w:right w:val="single" w:sz="4" w:space="0" w:color="D9D9D9"/>
            </w:tcBorders>
          </w:tcPr>
          <w:p w:rsidR="004E4C49" w:rsidRPr="004E4C49" w:rsidRDefault="004E4C49" w:rsidP="004E4C49">
            <w:pPr>
              <w:jc w:val="center"/>
              <w:rPr>
                <w:rFonts w:ascii="仿宋" w:eastAsia="仿宋" w:hAnsi="仿宋" w:cs="Arial"/>
              </w:rPr>
            </w:pPr>
            <w:r w:rsidRPr="004E4C49">
              <w:rPr>
                <w:rFonts w:ascii="仿宋" w:eastAsia="仿宋" w:hAnsi="仿宋" w:cs="Arial"/>
              </w:rPr>
              <w:t>3.73%</w:t>
            </w:r>
          </w:p>
        </w:tc>
      </w:tr>
      <w:tr w:rsidR="004E4C49" w:rsidRPr="004E4C49" w:rsidTr="00383885">
        <w:trPr>
          <w:trHeight w:val="185"/>
        </w:trPr>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通信</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7.03%</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10.87%</w:t>
            </w:r>
          </w:p>
        </w:tc>
        <w:tc>
          <w:tcPr>
            <w:tcW w:w="518" w:type="dxa"/>
            <w:vMerge w:val="restart"/>
            <w:tcBorders>
              <w:top w:val="nil"/>
              <w:left w:val="single" w:sz="4" w:space="0" w:color="D9D9D9"/>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国防军工</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4.03%</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7.00%</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非</w:t>
            </w:r>
            <w:proofErr w:type="gramStart"/>
            <w:r w:rsidRPr="004E4C49">
              <w:rPr>
                <w:rFonts w:ascii="仿宋" w:eastAsia="仿宋" w:hAnsi="仿宋" w:cs="Arial"/>
              </w:rPr>
              <w:t>银金融</w:t>
            </w:r>
            <w:proofErr w:type="gramEnd"/>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6.43%</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12.81%</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电子</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4.01%</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10.43%</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传媒</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6.00%</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13.15%</w:t>
            </w:r>
          </w:p>
        </w:tc>
        <w:tc>
          <w:tcPr>
            <w:tcW w:w="518" w:type="dxa"/>
            <w:tcBorders>
              <w:top w:val="nil"/>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公用事业</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3.93%</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5.76%</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家用电器</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5.94%</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14.51%</w:t>
            </w:r>
          </w:p>
        </w:tc>
        <w:tc>
          <w:tcPr>
            <w:tcW w:w="518" w:type="dxa"/>
            <w:tcBorders>
              <w:top w:val="nil"/>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轻工制造</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3.59%</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8.89%</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建筑装饰</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5.80%</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7.30%</w:t>
            </w:r>
          </w:p>
        </w:tc>
        <w:tc>
          <w:tcPr>
            <w:tcW w:w="518" w:type="dxa"/>
            <w:vMerge w:val="restart"/>
            <w:tcBorders>
              <w:top w:val="nil"/>
              <w:left w:val="single" w:sz="4" w:space="0" w:color="D9D9D9"/>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建筑材料</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3.54%</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5.93%</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商业贸易</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5.74%</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9.20%</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有色金属</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3.48%</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6.17%</w:t>
            </w:r>
          </w:p>
        </w:tc>
      </w:tr>
      <w:tr w:rsidR="004E4C49" w:rsidRPr="004E4C49" w:rsidTr="0006381E">
        <w:trPr>
          <w:trHeight w:val="284"/>
        </w:trPr>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汽车</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5.66%</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6.31%</w:t>
            </w:r>
          </w:p>
        </w:tc>
        <w:tc>
          <w:tcPr>
            <w:tcW w:w="518" w:type="dxa"/>
            <w:vMerge w:val="restart"/>
            <w:tcBorders>
              <w:top w:val="nil"/>
              <w:left w:val="single" w:sz="4" w:space="0" w:color="D9D9D9"/>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机械设备</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3.25%</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7.09%</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休闲服务</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5.62%</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10.37%</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电气设备</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3.25%</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7.19%</w:t>
            </w:r>
          </w:p>
        </w:tc>
      </w:tr>
      <w:tr w:rsidR="004E4C49" w:rsidRPr="004E4C49" w:rsidTr="0006381E">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房地产</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5.15%</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5.99%</w:t>
            </w:r>
          </w:p>
        </w:tc>
        <w:tc>
          <w:tcPr>
            <w:tcW w:w="518" w:type="dxa"/>
            <w:vMerge w:val="restart"/>
            <w:tcBorders>
              <w:top w:val="nil"/>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农林牧渔</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3.21%</w:t>
            </w:r>
          </w:p>
        </w:tc>
        <w:tc>
          <w:tcPr>
            <w:tcW w:w="1275"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6.54%</w:t>
            </w:r>
          </w:p>
        </w:tc>
      </w:tr>
      <w:tr w:rsidR="004E4C49" w:rsidRPr="004E4C49" w:rsidTr="004B7E6A">
        <w:trPr>
          <w:trHeight w:val="251"/>
        </w:trPr>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医药生物</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4.77%</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7.82%</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采掘</w:t>
            </w:r>
          </w:p>
        </w:tc>
        <w:tc>
          <w:tcPr>
            <w:tcW w:w="1134" w:type="dxa"/>
            <w:tcBorders>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3.05%</w:t>
            </w:r>
          </w:p>
        </w:tc>
        <w:tc>
          <w:tcPr>
            <w:tcW w:w="1275" w:type="dxa"/>
            <w:tcBorders>
              <w:bottom w:val="single" w:sz="4" w:space="0" w:color="000000"/>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4.03%</w:t>
            </w:r>
          </w:p>
        </w:tc>
      </w:tr>
      <w:tr w:rsidR="004E4C49" w:rsidRPr="004E4C49" w:rsidTr="004B7E6A">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钢铁</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4.48%</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5.21%</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银行</w:t>
            </w:r>
          </w:p>
        </w:tc>
        <w:tc>
          <w:tcPr>
            <w:tcW w:w="1134" w:type="dxa"/>
            <w:tcBorders>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2.94%</w:t>
            </w:r>
          </w:p>
        </w:tc>
        <w:tc>
          <w:tcPr>
            <w:tcW w:w="1275" w:type="dxa"/>
            <w:tcBorders>
              <w:bottom w:val="single" w:sz="4" w:space="0" w:color="000000"/>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1.75%</w:t>
            </w:r>
          </w:p>
        </w:tc>
      </w:tr>
      <w:tr w:rsidR="004E4C49" w:rsidRPr="004E4C49" w:rsidTr="004B7E6A">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纺织服装</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4.45%</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7.22%</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化工</w:t>
            </w:r>
          </w:p>
        </w:tc>
        <w:tc>
          <w:tcPr>
            <w:tcW w:w="1134" w:type="dxa"/>
            <w:tcBorders>
              <w:top w:val="single" w:sz="4" w:space="0" w:color="000000"/>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2.89%</w:t>
            </w:r>
          </w:p>
        </w:tc>
        <w:tc>
          <w:tcPr>
            <w:tcW w:w="1275" w:type="dxa"/>
            <w:tcBorders>
              <w:top w:val="single" w:sz="4" w:space="0" w:color="000000"/>
              <w:bottom w:val="single" w:sz="4" w:space="0" w:color="000000"/>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3.06%</w:t>
            </w:r>
          </w:p>
        </w:tc>
      </w:tr>
      <w:tr w:rsidR="004E4C49" w:rsidRPr="004E4C49" w:rsidTr="005F67E3">
        <w:tc>
          <w:tcPr>
            <w:tcW w:w="1984" w:type="dxa"/>
            <w:tcBorders>
              <w:lef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食品饮料</w:t>
            </w:r>
          </w:p>
        </w:tc>
        <w:tc>
          <w:tcPr>
            <w:tcW w:w="1134" w:type="dxa"/>
          </w:tcPr>
          <w:p w:rsidR="004E4C49" w:rsidRPr="004E4C49" w:rsidRDefault="004E4C49" w:rsidP="004E4C49">
            <w:pPr>
              <w:widowControl/>
              <w:jc w:val="center"/>
              <w:rPr>
                <w:rFonts w:ascii="仿宋" w:eastAsia="仿宋" w:hAnsi="仿宋" w:cs="Arial"/>
              </w:rPr>
            </w:pPr>
            <w:r w:rsidRPr="004E4C49">
              <w:rPr>
                <w:rFonts w:ascii="仿宋" w:eastAsia="仿宋" w:hAnsi="仿宋" w:cs="Arial"/>
              </w:rPr>
              <w:t>4.25%</w:t>
            </w:r>
          </w:p>
        </w:tc>
        <w:tc>
          <w:tcPr>
            <w:tcW w:w="1134" w:type="dxa"/>
            <w:tcBorders>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5.51%</w:t>
            </w:r>
          </w:p>
        </w:tc>
        <w:tc>
          <w:tcPr>
            <w:tcW w:w="518" w:type="dxa"/>
            <w:vMerge/>
            <w:tcBorders>
              <w:left w:val="single" w:sz="4" w:space="0" w:color="D9D9D9"/>
              <w:bottom w:val="nil"/>
              <w:right w:val="single" w:sz="4" w:space="0" w:color="D9D9D9"/>
            </w:tcBorders>
            <w:vAlign w:val="center"/>
          </w:tcPr>
          <w:p w:rsidR="004E4C49" w:rsidRPr="00567F50" w:rsidRDefault="004E4C49" w:rsidP="004E4C49">
            <w:pPr>
              <w:widowControl/>
              <w:jc w:val="center"/>
              <w:rPr>
                <w:rFonts w:ascii="仿宋" w:eastAsia="仿宋" w:hAnsi="仿宋" w:cs="Arial"/>
              </w:rPr>
            </w:pPr>
          </w:p>
        </w:tc>
        <w:tc>
          <w:tcPr>
            <w:tcW w:w="1994" w:type="dxa"/>
            <w:tcBorders>
              <w:left w:val="single" w:sz="4" w:space="0" w:color="D9D9D9"/>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综合</w:t>
            </w:r>
          </w:p>
        </w:tc>
        <w:tc>
          <w:tcPr>
            <w:tcW w:w="1134" w:type="dxa"/>
            <w:tcBorders>
              <w:bottom w:val="single" w:sz="4" w:space="0" w:color="000000"/>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2.72%</w:t>
            </w:r>
          </w:p>
        </w:tc>
        <w:tc>
          <w:tcPr>
            <w:tcW w:w="1275" w:type="dxa"/>
            <w:tcBorders>
              <w:bottom w:val="single" w:sz="4" w:space="0" w:color="000000"/>
              <w:right w:val="single" w:sz="4" w:space="0" w:color="D9D9D9"/>
            </w:tcBorders>
          </w:tcPr>
          <w:p w:rsidR="004E4C49" w:rsidRPr="004E4C49" w:rsidRDefault="004E4C49" w:rsidP="004E4C49">
            <w:pPr>
              <w:widowControl/>
              <w:jc w:val="center"/>
              <w:rPr>
                <w:rFonts w:ascii="仿宋" w:eastAsia="仿宋" w:hAnsi="仿宋" w:cs="Arial"/>
              </w:rPr>
            </w:pPr>
            <w:r w:rsidRPr="004E4C49">
              <w:rPr>
                <w:rFonts w:ascii="仿宋" w:eastAsia="仿宋" w:hAnsi="仿宋" w:cs="Arial"/>
              </w:rPr>
              <w:t>5.52%</w:t>
            </w:r>
          </w:p>
        </w:tc>
      </w:tr>
    </w:tbl>
    <w:p w:rsidR="008F7C33" w:rsidRPr="004E4C49" w:rsidRDefault="008F7C33" w:rsidP="004E4C49">
      <w:pPr>
        <w:widowControl/>
        <w:jc w:val="center"/>
        <w:rPr>
          <w:rFonts w:ascii="仿宋" w:eastAsia="仿宋" w:hAnsi="仿宋" w:cs="Arial"/>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lastRenderedPageBreak/>
        <w:t>图1：风格特征</w:t>
      </w:r>
    </w:p>
    <w:p w:rsidR="004E4C49" w:rsidRDefault="004E4C49" w:rsidP="00DA333F">
      <w:pPr>
        <w:widowControl/>
        <w:ind w:firstLineChars="950" w:firstLine="1995"/>
        <w:jc w:val="left"/>
        <w:rPr>
          <w:rFonts w:ascii="仿宋" w:eastAsia="仿宋" w:hAnsi="仿宋" w:hint="eastAsia"/>
          <w:b/>
          <w:sz w:val="24"/>
          <w:szCs w:val="24"/>
        </w:rPr>
      </w:pPr>
      <w:r>
        <w:rPr>
          <w:noProof/>
        </w:rPr>
        <w:drawing>
          <wp:inline distT="0" distB="0" distL="0" distR="0" wp14:anchorId="6AEEC268" wp14:editId="747C6E6E">
            <wp:extent cx="3960794" cy="2613546"/>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7413" cy="2617914"/>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842A20">
        <w:rPr>
          <w:rFonts w:ascii="仿宋" w:eastAsia="仿宋" w:hAnsi="仿宋"/>
          <w:color w:val="7F7F7F"/>
          <w:sz w:val="18"/>
          <w:szCs w:val="18"/>
        </w:rPr>
        <w:t>502</w:t>
      </w:r>
      <w:r w:rsidR="004E4C49">
        <w:rPr>
          <w:rFonts w:ascii="仿宋" w:eastAsia="仿宋" w:hAnsi="仿宋"/>
          <w:color w:val="7F7F7F"/>
          <w:sz w:val="18"/>
          <w:szCs w:val="18"/>
        </w:rPr>
        <w:t>09</w:t>
      </w:r>
      <w:r w:rsidR="00A17215" w:rsidRPr="00567F50">
        <w:rPr>
          <w:rFonts w:ascii="仿宋" w:eastAsia="仿宋" w:hAnsi="仿宋" w:hint="eastAsia"/>
          <w:color w:val="7F7F7F"/>
          <w:sz w:val="18"/>
          <w:szCs w:val="18"/>
        </w:rPr>
        <w:t>-201</w:t>
      </w:r>
      <w:r w:rsidR="00842A20">
        <w:rPr>
          <w:rFonts w:ascii="仿宋" w:eastAsia="仿宋" w:hAnsi="仿宋"/>
          <w:color w:val="7F7F7F"/>
          <w:sz w:val="18"/>
          <w:szCs w:val="18"/>
        </w:rPr>
        <w:t>50</w:t>
      </w:r>
      <w:r w:rsidR="004E4C49">
        <w:rPr>
          <w:rFonts w:ascii="仿宋" w:eastAsia="仿宋" w:hAnsi="仿宋"/>
          <w:color w:val="7F7F7F"/>
          <w:sz w:val="18"/>
          <w:szCs w:val="18"/>
        </w:rPr>
        <w:t>213</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CD4C68">
        <w:rPr>
          <w:rFonts w:ascii="仿宋" w:eastAsia="仿宋" w:hAnsi="仿宋"/>
          <w:b/>
          <w:color w:val="082F6B"/>
          <w:sz w:val="36"/>
          <w:szCs w:val="36"/>
        </w:rPr>
        <w:t>20</w:t>
      </w:r>
      <w:r w:rsidR="000D524A">
        <w:rPr>
          <w:rFonts w:ascii="仿宋" w:eastAsia="仿宋" w:hAnsi="仿宋"/>
          <w:b/>
          <w:color w:val="082F6B"/>
          <w:sz w:val="36"/>
          <w:szCs w:val="36"/>
        </w:rPr>
        <w:t>9</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w:t>
      </w:r>
      <w:r w:rsidR="000D524A">
        <w:rPr>
          <w:rFonts w:ascii="仿宋" w:eastAsia="仿宋" w:hAnsi="仿宋"/>
          <w:b/>
          <w:color w:val="082F6B"/>
          <w:sz w:val="36"/>
          <w:szCs w:val="36"/>
        </w:rPr>
        <w:t>213</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0D524A" w:rsidRPr="000D524A">
        <w:rPr>
          <w:rFonts w:ascii="仿宋" w:eastAsia="仿宋" w:hAnsi="仿宋" w:hint="eastAsia"/>
          <w:sz w:val="24"/>
          <w:szCs w:val="24"/>
        </w:rPr>
        <w:t>1月我国外贸出口同比下滑3.3%，大幅不及预期。其中对美增4.8%，但对欧-4.6%，对日-20.6%，对港-11.0%，对东盟出口增速15%、为仅有的亮点。近期人民币对欧元、英镑、澳元、日元均大幅升值，而全球各大央行竞相推出宽松政策、纷纷降息贬值，人民币指数的大幅升值对</w:t>
      </w:r>
      <w:r w:rsidR="000D524A">
        <w:rPr>
          <w:rFonts w:ascii="仿宋" w:eastAsia="仿宋" w:hAnsi="仿宋" w:hint="eastAsia"/>
          <w:sz w:val="24"/>
          <w:szCs w:val="24"/>
        </w:rPr>
        <w:t>20</w:t>
      </w:r>
      <w:r w:rsidR="000D524A" w:rsidRPr="000D524A">
        <w:rPr>
          <w:rFonts w:ascii="仿宋" w:eastAsia="仿宋" w:hAnsi="仿宋" w:hint="eastAsia"/>
          <w:sz w:val="24"/>
          <w:szCs w:val="24"/>
        </w:rPr>
        <w:t>15 年出口不利。1月我国外贸总额约为3400 亿美元，同比下降10.9%，完成全年6%的外贸增长目标压力较大。当</w:t>
      </w:r>
      <w:proofErr w:type="gramStart"/>
      <w:r w:rsidR="000D524A" w:rsidRPr="000D524A">
        <w:rPr>
          <w:rFonts w:ascii="仿宋" w:eastAsia="仿宋" w:hAnsi="仿宋" w:hint="eastAsia"/>
          <w:sz w:val="24"/>
          <w:szCs w:val="24"/>
        </w:rPr>
        <w:t>通缩来敲门</w:t>
      </w:r>
      <w:proofErr w:type="gramEnd"/>
      <w:r w:rsidR="000D524A" w:rsidRPr="000D524A">
        <w:rPr>
          <w:rFonts w:ascii="仿宋" w:eastAsia="仿宋" w:hAnsi="仿宋" w:hint="eastAsia"/>
          <w:sz w:val="24"/>
          <w:szCs w:val="24"/>
        </w:rPr>
        <w:t>，宽松需加码：1月CPI 同比由12 月的1.5%大幅回落至0.8%，五年来首次跌破1%，其中食品</w:t>
      </w:r>
      <w:proofErr w:type="gramStart"/>
      <w:r w:rsidR="000D524A" w:rsidRPr="000D524A">
        <w:rPr>
          <w:rFonts w:ascii="仿宋" w:eastAsia="仿宋" w:hAnsi="仿宋" w:hint="eastAsia"/>
          <w:sz w:val="24"/>
          <w:szCs w:val="24"/>
        </w:rPr>
        <w:t>价格跳水</w:t>
      </w:r>
      <w:proofErr w:type="gramEnd"/>
      <w:r w:rsidR="000D524A" w:rsidRPr="000D524A">
        <w:rPr>
          <w:rFonts w:ascii="仿宋" w:eastAsia="仿宋" w:hAnsi="仿宋" w:hint="eastAsia"/>
          <w:sz w:val="24"/>
          <w:szCs w:val="24"/>
        </w:rPr>
        <w:t>至1.1%，源于鲜菜价格转跌、春节错位因素影响；而油价低迷、消费不振，非食品价格同比大降至0.6%。2月以来由于春节因素菜价上涨，但猪价因需求低迷继续下跌，食品价格涨幅有限，预测2月食品价格环比上涨3%，2月CPI 为1.1%。1月PPI同比降幅扩大至4.3%，受油价下跌和大宗原材料价格波动影响，工业品通</w:t>
      </w:r>
      <w:proofErr w:type="gramStart"/>
      <w:r w:rsidR="000D524A" w:rsidRPr="000D524A">
        <w:rPr>
          <w:rFonts w:ascii="仿宋" w:eastAsia="仿宋" w:hAnsi="仿宋" w:hint="eastAsia"/>
          <w:sz w:val="24"/>
          <w:szCs w:val="24"/>
        </w:rPr>
        <w:t>缩持续</w:t>
      </w:r>
      <w:proofErr w:type="gramEnd"/>
      <w:r w:rsidR="000D524A" w:rsidRPr="000D524A">
        <w:rPr>
          <w:rFonts w:ascii="仿宋" w:eastAsia="仿宋" w:hAnsi="仿宋" w:hint="eastAsia"/>
          <w:sz w:val="24"/>
          <w:szCs w:val="24"/>
        </w:rPr>
        <w:t>恶化。2月以来国际油价反弹，但国内油价仍低，且煤价、钢</w:t>
      </w:r>
      <w:proofErr w:type="gramStart"/>
      <w:r w:rsidR="000D524A" w:rsidRPr="000D524A">
        <w:rPr>
          <w:rFonts w:ascii="仿宋" w:eastAsia="仿宋" w:hAnsi="仿宋" w:hint="eastAsia"/>
          <w:sz w:val="24"/>
          <w:szCs w:val="24"/>
        </w:rPr>
        <w:t>价叠创新</w:t>
      </w:r>
      <w:proofErr w:type="gramEnd"/>
      <w:r w:rsidR="000D524A" w:rsidRPr="000D524A">
        <w:rPr>
          <w:rFonts w:ascii="仿宋" w:eastAsia="仿宋" w:hAnsi="仿宋" w:hint="eastAsia"/>
          <w:sz w:val="24"/>
          <w:szCs w:val="24"/>
        </w:rPr>
        <w:t xml:space="preserve">低，预测2月PPI </w:t>
      </w:r>
      <w:proofErr w:type="gramStart"/>
      <w:r w:rsidR="000D524A" w:rsidRPr="000D524A">
        <w:rPr>
          <w:rFonts w:ascii="仿宋" w:eastAsia="仿宋" w:hAnsi="仿宋" w:hint="eastAsia"/>
          <w:sz w:val="24"/>
          <w:szCs w:val="24"/>
        </w:rPr>
        <w:t>环降</w:t>
      </w:r>
      <w:proofErr w:type="gramEnd"/>
      <w:r w:rsidR="000D524A" w:rsidRPr="000D524A">
        <w:rPr>
          <w:rFonts w:ascii="仿宋" w:eastAsia="仿宋" w:hAnsi="仿宋" w:hint="eastAsia"/>
          <w:sz w:val="24"/>
          <w:szCs w:val="24"/>
        </w:rPr>
        <w:t>0.4%，2月PPI 降幅将扩大至4.5%。我们预测</w:t>
      </w:r>
      <w:r w:rsidR="00AF72C1">
        <w:rPr>
          <w:rFonts w:ascii="仿宋" w:eastAsia="仿宋" w:hAnsi="仿宋" w:hint="eastAsia"/>
          <w:sz w:val="24"/>
          <w:szCs w:val="24"/>
        </w:rPr>
        <w:t>20</w:t>
      </w:r>
      <w:bookmarkStart w:id="0" w:name="_GoBack"/>
      <w:bookmarkEnd w:id="0"/>
      <w:r w:rsidR="000D524A" w:rsidRPr="000D524A">
        <w:rPr>
          <w:rFonts w:ascii="仿宋" w:eastAsia="仿宋" w:hAnsi="仿宋" w:hint="eastAsia"/>
          <w:sz w:val="24"/>
          <w:szCs w:val="24"/>
        </w:rPr>
        <w:t>15年CPI为1.2%，PPI为-4.1%，通缩仍为主要风险。</w:t>
      </w:r>
    </w:p>
    <w:p w:rsidR="000D524A" w:rsidRPr="000D524A" w:rsidRDefault="000D524A" w:rsidP="000D524A">
      <w:pPr>
        <w:spacing w:after="240" w:line="300" w:lineRule="auto"/>
        <w:ind w:leftChars="1080" w:left="2268" w:rightChars="471" w:right="989"/>
        <w:jc w:val="left"/>
        <w:rPr>
          <w:rFonts w:ascii="仿宋" w:eastAsia="仿宋" w:hAnsi="仿宋" w:hint="eastAsia"/>
          <w:sz w:val="24"/>
          <w:szCs w:val="24"/>
        </w:rPr>
      </w:pPr>
      <w:r w:rsidRPr="000D524A">
        <w:rPr>
          <w:rFonts w:ascii="仿宋" w:eastAsia="仿宋" w:hAnsi="仿宋" w:hint="eastAsia"/>
          <w:sz w:val="24"/>
          <w:szCs w:val="24"/>
        </w:rPr>
        <w:lastRenderedPageBreak/>
        <w:t>1月新增融资总量2.05</w:t>
      </w:r>
      <w:proofErr w:type="gramStart"/>
      <w:r w:rsidRPr="000D524A">
        <w:rPr>
          <w:rFonts w:ascii="仿宋" w:eastAsia="仿宋" w:hAnsi="仿宋" w:hint="eastAsia"/>
          <w:sz w:val="24"/>
          <w:szCs w:val="24"/>
        </w:rPr>
        <w:t>万亿</w:t>
      </w:r>
      <w:proofErr w:type="gramEnd"/>
      <w:r w:rsidRPr="000D524A">
        <w:rPr>
          <w:rFonts w:ascii="仿宋" w:eastAsia="仿宋" w:hAnsi="仿宋" w:hint="eastAsia"/>
          <w:sz w:val="24"/>
          <w:szCs w:val="24"/>
        </w:rPr>
        <w:t>，表外融资</w:t>
      </w:r>
      <w:proofErr w:type="gramStart"/>
      <w:r w:rsidRPr="000D524A">
        <w:rPr>
          <w:rFonts w:ascii="仿宋" w:eastAsia="仿宋" w:hAnsi="仿宋" w:hint="eastAsia"/>
          <w:sz w:val="24"/>
          <w:szCs w:val="24"/>
        </w:rPr>
        <w:t>仍是社融总量</w:t>
      </w:r>
      <w:proofErr w:type="gramEnd"/>
      <w:r w:rsidRPr="000D524A">
        <w:rPr>
          <w:rFonts w:ascii="仿宋" w:eastAsia="仿宋" w:hAnsi="仿宋" w:hint="eastAsia"/>
          <w:sz w:val="24"/>
          <w:szCs w:val="24"/>
        </w:rPr>
        <w:t>缩水的主要拖累。1月新增贷款1.47 万亿，基建投资</w:t>
      </w:r>
      <w:proofErr w:type="gramStart"/>
      <w:r w:rsidRPr="000D524A">
        <w:rPr>
          <w:rFonts w:ascii="仿宋" w:eastAsia="仿宋" w:hAnsi="仿宋" w:hint="eastAsia"/>
          <w:sz w:val="24"/>
          <w:szCs w:val="24"/>
        </w:rPr>
        <w:t>稳增长</w:t>
      </w:r>
      <w:proofErr w:type="gramEnd"/>
      <w:r w:rsidRPr="000D524A">
        <w:rPr>
          <w:rFonts w:ascii="仿宋" w:eastAsia="仿宋" w:hAnsi="仿宋" w:hint="eastAsia"/>
          <w:sz w:val="24"/>
          <w:szCs w:val="24"/>
        </w:rPr>
        <w:t>持续发力，地产销量暂回暖。1月M2增速大幅回落至10.8%，创M2公布20年以来新低，</w:t>
      </w:r>
      <w:proofErr w:type="gramStart"/>
      <w:r w:rsidRPr="000D524A">
        <w:rPr>
          <w:rFonts w:ascii="仿宋" w:eastAsia="仿宋" w:hAnsi="仿宋" w:hint="eastAsia"/>
          <w:sz w:val="24"/>
          <w:szCs w:val="24"/>
        </w:rPr>
        <w:t>与社融余额</w:t>
      </w:r>
      <w:proofErr w:type="gramEnd"/>
      <w:r w:rsidRPr="000D524A">
        <w:rPr>
          <w:rFonts w:ascii="仿宋" w:eastAsia="仿宋" w:hAnsi="仿宋" w:hint="eastAsia"/>
          <w:sz w:val="24"/>
          <w:szCs w:val="24"/>
        </w:rPr>
        <w:t>增速的回落相呼应，反映经济整体信用创造萎缩。</w:t>
      </w:r>
      <w:proofErr w:type="gramStart"/>
      <w:r w:rsidRPr="000D524A">
        <w:rPr>
          <w:rFonts w:ascii="仿宋" w:eastAsia="仿宋" w:hAnsi="仿宋" w:hint="eastAsia"/>
          <w:sz w:val="24"/>
          <w:szCs w:val="24"/>
        </w:rPr>
        <w:t>社融总量</w:t>
      </w:r>
      <w:proofErr w:type="gramEnd"/>
      <w:r w:rsidRPr="000D524A">
        <w:rPr>
          <w:rFonts w:ascii="仿宋" w:eastAsia="仿宋" w:hAnsi="仿宋" w:hint="eastAsia"/>
          <w:sz w:val="24"/>
          <w:szCs w:val="24"/>
        </w:rPr>
        <w:t>增速的回落预示未来半年内经济仍难见底，而货币M2增速的下行也预示着通</w:t>
      </w:r>
      <w:proofErr w:type="gramStart"/>
      <w:r w:rsidRPr="000D524A">
        <w:rPr>
          <w:rFonts w:ascii="仿宋" w:eastAsia="仿宋" w:hAnsi="仿宋" w:hint="eastAsia"/>
          <w:sz w:val="24"/>
          <w:szCs w:val="24"/>
        </w:rPr>
        <w:t>缩风险</w:t>
      </w:r>
      <w:proofErr w:type="gramEnd"/>
      <w:r w:rsidRPr="000D524A">
        <w:rPr>
          <w:rFonts w:ascii="仿宋" w:eastAsia="仿宋" w:hAnsi="仿宋" w:hint="eastAsia"/>
          <w:sz w:val="24"/>
          <w:szCs w:val="24"/>
        </w:rPr>
        <w:t>继续加大，未来仍需加码降息、</w:t>
      </w:r>
      <w:proofErr w:type="gramStart"/>
      <w:r w:rsidRPr="000D524A">
        <w:rPr>
          <w:rFonts w:ascii="仿宋" w:eastAsia="仿宋" w:hAnsi="仿宋" w:hint="eastAsia"/>
          <w:sz w:val="24"/>
          <w:szCs w:val="24"/>
        </w:rPr>
        <w:t>降准等</w:t>
      </w:r>
      <w:proofErr w:type="gramEnd"/>
      <w:r w:rsidRPr="000D524A">
        <w:rPr>
          <w:rFonts w:ascii="仿宋" w:eastAsia="仿宋" w:hAnsi="仿宋" w:hint="eastAsia"/>
          <w:sz w:val="24"/>
          <w:szCs w:val="24"/>
        </w:rPr>
        <w:t>宽松货币政策。央行4 季度货币政策报告不再讲“定力”，此前</w:t>
      </w:r>
      <w:proofErr w:type="gramStart"/>
      <w:r w:rsidRPr="000D524A">
        <w:rPr>
          <w:rFonts w:ascii="仿宋" w:eastAsia="仿宋" w:hAnsi="仿宋" w:hint="eastAsia"/>
          <w:sz w:val="24"/>
          <w:szCs w:val="24"/>
        </w:rPr>
        <w:t>全面降准的</w:t>
      </w:r>
      <w:proofErr w:type="gramEnd"/>
      <w:r w:rsidRPr="000D524A">
        <w:rPr>
          <w:rFonts w:ascii="仿宋" w:eastAsia="仿宋" w:hAnsi="仿宋" w:hint="eastAsia"/>
          <w:sz w:val="24"/>
          <w:szCs w:val="24"/>
        </w:rPr>
        <w:t>启动有助于降低市场化的银行理财收益率，扫清降息障碍，而再次降息或已不远。</w:t>
      </w:r>
    </w:p>
    <w:p w:rsidR="00D17564" w:rsidRPr="000D524A"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0D524A" w:rsidRPr="000D524A">
        <w:rPr>
          <w:rFonts w:ascii="仿宋" w:eastAsia="仿宋" w:hAnsi="仿宋" w:hint="eastAsia"/>
          <w:sz w:val="24"/>
          <w:szCs w:val="24"/>
        </w:rPr>
        <w:t>瑞典负利率接力放水，关注下周希腊谈判：全球央行放水大赛再度升级，瑞典央行宣布降息至-0.1%，实施负利率，并推出100亿瑞典克朗的QE，希望借此帮助其摆脱通缩的恶性循环，这种宽松表态与一年半前声言退出的政策声音大相径庭。希腊政府发言人周四表示，在下周一的欧元区财长会议上，将竭尽全力同援助方就新的支援项目达成一致。希腊当前的国际救助项目于2月28日到期，下周一开始的会议能否带来政治性突破，成为市场关注的焦点。希腊政府希望获得过渡性贷款至六月，而多数</w:t>
      </w:r>
      <w:proofErr w:type="gramStart"/>
      <w:r w:rsidR="000D524A" w:rsidRPr="000D524A">
        <w:rPr>
          <w:rFonts w:ascii="仿宋" w:eastAsia="仿宋" w:hAnsi="仿宋" w:hint="eastAsia"/>
          <w:sz w:val="24"/>
          <w:szCs w:val="24"/>
        </w:rPr>
        <w:t>欧州</w:t>
      </w:r>
      <w:proofErr w:type="gramEnd"/>
      <w:r w:rsidR="000D524A" w:rsidRPr="000D524A">
        <w:rPr>
          <w:rFonts w:ascii="仿宋" w:eastAsia="仿宋" w:hAnsi="仿宋" w:hint="eastAsia"/>
          <w:sz w:val="24"/>
          <w:szCs w:val="24"/>
        </w:rPr>
        <w:t>国家拒绝放虎归山，政治上的不确定性依然存在。</w:t>
      </w:r>
    </w:p>
    <w:p w:rsidR="00EA4F19" w:rsidRPr="000D524A"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0D524A" w:rsidRPr="000D524A">
        <w:rPr>
          <w:rFonts w:ascii="仿宋" w:eastAsia="仿宋" w:hAnsi="仿宋" w:hint="eastAsia"/>
          <w:sz w:val="24"/>
          <w:szCs w:val="24"/>
        </w:rPr>
        <w:t>央行上周二进行了250亿元14天期逆回购操作以及550亿元21天期逆回购操作，上周四进行800亿元14天期逆回购操作和800亿元21天期逆回购操作，此外共有350亿元逆回购到期，公开市场实现2050亿元净投放。但上周资金面仍然持续偏紧，信用债融资成本依然较高，银行间加权整体上行。</w:t>
      </w:r>
    </w:p>
    <w:p w:rsidR="00EA4F19" w:rsidRPr="00FE2553"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0D524A" w:rsidRPr="000D524A">
        <w:rPr>
          <w:rFonts w:ascii="仿宋" w:eastAsia="仿宋" w:hAnsi="仿宋" w:hint="eastAsia"/>
          <w:sz w:val="24"/>
          <w:szCs w:val="24"/>
        </w:rPr>
        <w:t>上周债券收益率保持整体下行趋势。具体而言，国债方面，3个月与1年期品种小幅下行区间在2~4BP，3年期品种收益率下行6BP，而5年以及7年期品种下行幅度达到13~15BP，10年期品种下行幅度为7BP；政策性金融债方面，3个月和1年期收益率基本持平，3年以及5年期品种下行幅度在10BP左右，7年以及10年期品种下行幅度在6~8BP之间；</w:t>
      </w:r>
      <w:proofErr w:type="gramStart"/>
      <w:r w:rsidR="000D524A" w:rsidRPr="000D524A">
        <w:rPr>
          <w:rFonts w:ascii="仿宋" w:eastAsia="仿宋" w:hAnsi="仿宋" w:hint="eastAsia"/>
          <w:sz w:val="24"/>
          <w:szCs w:val="24"/>
        </w:rPr>
        <w:t>央票收益率</w:t>
      </w:r>
      <w:proofErr w:type="gramEnd"/>
      <w:r w:rsidR="000D524A" w:rsidRPr="000D524A">
        <w:rPr>
          <w:rFonts w:ascii="仿宋" w:eastAsia="仿宋" w:hAnsi="仿宋" w:hint="eastAsia"/>
          <w:sz w:val="24"/>
          <w:szCs w:val="24"/>
        </w:rPr>
        <w:t>方面，7天品种收益率上行36BP左右，14天品种收益率下行约5BP，1个月以及2个月品种收益率则小幅上行1~2BP左右，3个月品种收益率下行3BP，6个月以及9个月品种则小幅上行1BP左右，1年、2年以及3年期品种下行在2~5BP之间。</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C04DEF" w:rsidRPr="00567F50" w:rsidTr="004F779D">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0.8003</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3.0211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1.38%</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18.80%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23.69%</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12.36%</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290.15%</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15.62%</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1.4396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3.2206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33.52%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49.35%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41.26%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302.93%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17.43%</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3.5481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4.0691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1.41%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19.36%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23.05%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15.28%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323.35%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18.95%</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0.871</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0.886</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1.43%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17.62%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22.95%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14.54%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-11.69%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-1.64%</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1.0086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1.4906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0.21%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9.66%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17.76%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59.34%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7.01%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1.01</w:t>
            </w:r>
            <w:r>
              <w:t>00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1.458</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0.22%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9.44%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17.27%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54.63%</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6.54%</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1.583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1.843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0.89%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4.56%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89.55%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10.37%</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1.434</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1.538</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0.73%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14.11%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19.80%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21.92%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56.08%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7.91%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1.014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1.129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0.50%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39.86%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54.10%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65.15%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12.85%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2.27%</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1.129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0.44%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37.85%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51.14%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61.29%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12.90%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2.28%</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1.212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1.227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1.85%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40.44%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56.79%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51.31%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22.89%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4.55%</w:t>
            </w:r>
          </w:p>
        </w:tc>
      </w:tr>
      <w:tr w:rsidR="00C04DEF" w:rsidRPr="00567F50" w:rsidTr="004F779D">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1.075</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1.075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1.61%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22.30%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28.59%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32.39%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7.50%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1.76%</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1.148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1.259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0.53%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9.65%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15.03%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27.56%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6.20%</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1.538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1.538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16.69%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22.84%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27.63%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53.80%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12.52%</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1.343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1.343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1.21%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26.46%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36.21%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46.30%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34.30%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9.07%</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1.264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1.502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0.72%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13.81%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25.62%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34.13%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55.26%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13.87%</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04DEF" w:rsidRPr="00567F50" w:rsidRDefault="00C04DEF" w:rsidP="00C04DE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1.245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1.48</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0.73%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13.65%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25.26%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33.45%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52.83%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13.34%</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1.309</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1.309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25.87%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34.67%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43.85%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30.90%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8.29%</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1.655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1.795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1.41%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29.02%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C04DEF" w:rsidRPr="00EC2716" w:rsidRDefault="00C04DEF" w:rsidP="00C04DEF">
            <w:pPr>
              <w:jc w:val="center"/>
            </w:pPr>
            <w:r w:rsidRPr="00EC2716">
              <w:t>42.81%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49.04%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66.18%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18.25%</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1.104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1.01%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-11.75%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C04DEF" w:rsidRPr="00EC2716" w:rsidRDefault="00C04DEF" w:rsidP="00C04DEF">
            <w:pPr>
              <w:jc w:val="center"/>
            </w:pPr>
            <w:r w:rsidRPr="00EC2716">
              <w:t>-12.03%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-7.54%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12.47%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4.40%</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1.139</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1.3</w:t>
            </w:r>
            <w: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0.62%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17.27%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19.22%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32.81%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11.29%</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1.672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1.672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1.58%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37.05%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59.24%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60.31%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67.20%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22.51%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1.483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1.522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1.16%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24.62%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35.68%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40.97%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53.85%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20.91%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1.053</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1.105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-2.80%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3.51%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10.04%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10.58%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4.78%</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1.041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1.092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3.45%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9.50%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9.27%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4.20%</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1.048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1.11</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0.19%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-1.93%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3.95%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9.86%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C04DEF" w:rsidRPr="00EC2716" w:rsidRDefault="00C04DEF" w:rsidP="00C04DEF">
            <w:pPr>
              <w:jc w:val="center"/>
            </w:pPr>
            <w:r w:rsidRPr="00EC2716">
              <w:t>11.18%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5.98%</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1.041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1.1</w:t>
            </w:r>
            <w:r>
              <w:t>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-2.12%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3.58%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9.27%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C04DEF" w:rsidRPr="00EC2716" w:rsidRDefault="00C04DEF" w:rsidP="00C04DEF">
            <w:pPr>
              <w:jc w:val="center"/>
            </w:pPr>
            <w:r w:rsidRPr="00EC2716">
              <w:t>10.15%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5.44%</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1.056</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1.258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0.67%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11.97%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17.10%</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19.97%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27.68%</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14.47%</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1.265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1.265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0.40%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14.48%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19.91%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23.54%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26.50%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14.89%</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1.196</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1.196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0.08%</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2.31%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11.05%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17.03%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19.60%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12.66%</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1.188</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1.188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0.08%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10.82%</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16.58%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18.80%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12.16%</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1.364</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1.364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1.94%</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18.10%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25.25%</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33.33%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36.40%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23.99%</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lastRenderedPageBreak/>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1.137</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1.212</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0.62%</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11.80%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16.05%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18.43%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21.98%</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19.09%</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1.058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1.098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0.47%</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6.66%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9.64%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9.97%</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9.53%</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1.055</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1.095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0.38%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6.36%</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9.33%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9.66%</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9.23%</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1.258</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1.258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1.70%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25.05%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24.43%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25.80%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34.88%</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1.142</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1.222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0.88%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12.17%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20.91%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22.60%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32.13%</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jc w:val="center"/>
            </w:pPr>
            <w:r w:rsidRPr="00567F50">
              <w:rPr>
                <w:rFonts w:ascii="仿宋" w:eastAsia="仿宋" w:hAnsi="仿宋" w:cs="Arial" w:hint="eastAsia"/>
                <w:b/>
                <w:color w:val="002854"/>
                <w:kern w:val="0"/>
                <w:sz w:val="20"/>
              </w:rPr>
              <w:t>交银丰盈</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1.02</w:t>
            </w:r>
            <w:r>
              <w:t>00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1.04</w:t>
            </w:r>
            <w:r>
              <w:t>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-1.32%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4.01%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4.01%</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8.03%</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567F50" w:rsidRDefault="00C04DEF" w:rsidP="00C04DEF">
            <w:pPr>
              <w:jc w:val="center"/>
              <w:rPr>
                <w:rFonts w:ascii="仿宋" w:eastAsia="仿宋" w:hAnsi="仿宋" w:cs="Arial"/>
                <w:b/>
                <w:color w:val="002854"/>
                <w:kern w:val="0"/>
                <w:sz w:val="20"/>
              </w:rPr>
            </w:pPr>
            <w:hyperlink r:id="rId11" w:tgtFrame="_blank" w:history="1">
              <w:r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EC2716" w:rsidRDefault="00C04DEF" w:rsidP="00C04DEF">
            <w:pPr>
              <w:jc w:val="center"/>
            </w:pPr>
            <w:r w:rsidRPr="00EC2716">
              <w:t>0.999</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0.999</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Pr="00EC2716" w:rsidRDefault="00C04DEF" w:rsidP="00C04DEF">
            <w:pPr>
              <w:jc w:val="center"/>
            </w:pPr>
            <w:r w:rsidRPr="00EC2716">
              <w:t>-0.61%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04DEF" w:rsidRPr="00567F50" w:rsidRDefault="00C04DEF" w:rsidP="00C04DEF">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C04DEF" w:rsidRPr="00EC2716" w:rsidRDefault="00C04DEF" w:rsidP="00C04DEF">
            <w:pPr>
              <w:jc w:val="center"/>
            </w:pPr>
            <w:r w:rsidRPr="00EC2716">
              <w:t>0.998</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0.998</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tcPr>
          <w:p w:rsidR="00C04DEF" w:rsidRPr="00EC2716" w:rsidRDefault="00C04DEF" w:rsidP="00C04DEF">
            <w:pPr>
              <w:jc w:val="center"/>
            </w:pPr>
            <w:r w:rsidRPr="00EC2716">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tcPr>
          <w:p w:rsidR="00C04DEF" w:rsidRDefault="00C04DEF" w:rsidP="00C04DEF">
            <w:pPr>
              <w:jc w:val="center"/>
            </w:pPr>
            <w:r w:rsidRPr="00EC2716">
              <w:t>-1.21%</w:t>
            </w:r>
          </w:p>
        </w:tc>
      </w:tr>
      <w:tr w:rsidR="00C04DEF" w:rsidRPr="00567F50" w:rsidTr="004F779D">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04DEF" w:rsidRPr="00777819" w:rsidRDefault="00C04DEF" w:rsidP="00C04DEF">
            <w:pPr>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w:t>
            </w:r>
            <w:r>
              <w:rPr>
                <w:rFonts w:ascii="仿宋" w:eastAsia="仿宋" w:hAnsi="仿宋" w:cs="Arial"/>
                <w:b/>
                <w:color w:val="002854"/>
                <w:kern w:val="0"/>
                <w:sz w:val="20"/>
              </w:rPr>
              <w:t>丰享</w:t>
            </w:r>
            <w:proofErr w:type="gramEnd"/>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C04DEF" w:rsidRPr="00211832" w:rsidRDefault="00C04DEF" w:rsidP="00C04DEF">
            <w:pPr>
              <w:rPr>
                <w:rFonts w:hint="eastAsia"/>
              </w:rPr>
            </w:pPr>
            <w:r w:rsidRPr="00211832">
              <w:t>1</w:t>
            </w:r>
            <w:r>
              <w:t>.</w:t>
            </w:r>
            <w:r>
              <w:rPr>
                <w:rFonts w:hint="eastAsia"/>
              </w:rPr>
              <w:t>0000</w:t>
            </w:r>
          </w:p>
        </w:tc>
        <w:tc>
          <w:tcPr>
            <w:tcW w:w="860" w:type="dxa"/>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rPr>
                <w:rFonts w:hint="eastAsia"/>
              </w:rPr>
            </w:pPr>
            <w:r w:rsidRPr="00211832">
              <w:t>1</w:t>
            </w:r>
            <w:r>
              <w:t>.</w:t>
            </w:r>
            <w:r>
              <w:rPr>
                <w:rFonts w:hint="eastAsia"/>
              </w:rPr>
              <w:t>0000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jc w:val="center"/>
            </w:pPr>
            <w:r w:rsidRPr="00211832">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jc w:val="center"/>
            </w:pPr>
            <w:r w:rsidRPr="00211832">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jc w:val="center"/>
            </w:pPr>
            <w:r w:rsidRPr="00211832">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jc w:val="center"/>
            </w:pPr>
            <w:r w:rsidRPr="00211832">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tcPr>
          <w:p w:rsidR="00C04DEF" w:rsidRPr="00211832" w:rsidRDefault="00C04DEF" w:rsidP="00C04DEF">
            <w:pPr>
              <w:jc w:val="center"/>
            </w:pPr>
            <w:r w:rsidRPr="00211832">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tcPr>
          <w:p w:rsidR="00C04DEF" w:rsidRDefault="00C04DEF" w:rsidP="00C04DEF">
            <w:pPr>
              <w:jc w:val="center"/>
            </w:pPr>
            <w:r w:rsidRPr="00211832">
              <w:t>0.00%</w:t>
            </w:r>
          </w:p>
        </w:tc>
      </w:tr>
      <w:tr w:rsidR="005E6CAD" w:rsidRPr="00567F50" w:rsidTr="002C148D">
        <w:trPr>
          <w:trHeight w:val="255"/>
        </w:trPr>
        <w:tc>
          <w:tcPr>
            <w:tcW w:w="2161" w:type="dxa"/>
            <w:gridSpan w:val="2"/>
            <w:tcBorders>
              <w:top w:val="single" w:sz="4" w:space="0" w:color="AA9678"/>
            </w:tcBorders>
            <w:shd w:val="clear" w:color="auto" w:fill="auto"/>
            <w:noWrap/>
          </w:tcPr>
          <w:p w:rsidR="005E6CAD" w:rsidRPr="00567F50" w:rsidRDefault="005E6CAD" w:rsidP="002C148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12"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12"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12"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12"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837B07"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pct5" w:color="auto" w:fill="auto"/>
            <w:noWrap/>
            <w:vAlign w:val="center"/>
            <w:hideMark/>
          </w:tcPr>
          <w:p w:rsidR="00837B07" w:rsidRPr="00567F50" w:rsidRDefault="00837B07" w:rsidP="00837B07">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pct5" w:color="auto" w:fill="auto"/>
            <w:noWrap/>
            <w:vAlign w:val="center"/>
            <w:hideMark/>
          </w:tcPr>
          <w:p w:rsidR="00837B07" w:rsidRPr="00837B07" w:rsidRDefault="00837B07" w:rsidP="00837B07">
            <w:pPr>
              <w:jc w:val="center"/>
            </w:pPr>
            <w:r w:rsidRPr="00837B07">
              <w:rPr>
                <w:rFonts w:hint="eastAsia"/>
              </w:rPr>
              <w:t xml:space="preserve">1.1159 </w:t>
            </w:r>
          </w:p>
        </w:tc>
        <w:tc>
          <w:tcPr>
            <w:tcW w:w="1736" w:type="dxa"/>
            <w:gridSpan w:val="3"/>
            <w:tcBorders>
              <w:top w:val="single" w:sz="12" w:space="0" w:color="AA9678"/>
              <w:left w:val="single" w:sz="2" w:space="0" w:color="001E3E"/>
              <w:bottom w:val="single" w:sz="2" w:space="0" w:color="001E3E"/>
              <w:right w:val="single" w:sz="4" w:space="0" w:color="FFFFFF"/>
            </w:tcBorders>
            <w:shd w:val="pct5" w:color="auto" w:fill="auto"/>
            <w:noWrap/>
            <w:vAlign w:val="center"/>
            <w:hideMark/>
          </w:tcPr>
          <w:p w:rsidR="00837B07" w:rsidRPr="00837B07" w:rsidRDefault="00837B07" w:rsidP="00837B07">
            <w:pPr>
              <w:jc w:val="center"/>
              <w:rPr>
                <w:rFonts w:hint="eastAsia"/>
              </w:rPr>
            </w:pPr>
            <w:r w:rsidRPr="00837B07">
              <w:rPr>
                <w:rFonts w:hint="eastAsia"/>
              </w:rPr>
              <w:t>4.465 %</w:t>
            </w:r>
          </w:p>
        </w:tc>
        <w:tc>
          <w:tcPr>
            <w:tcW w:w="2428" w:type="dxa"/>
            <w:gridSpan w:val="3"/>
            <w:tcBorders>
              <w:top w:val="single" w:sz="12" w:space="0" w:color="AA9678"/>
              <w:left w:val="single" w:sz="2" w:space="0" w:color="001E3E"/>
              <w:bottom w:val="single" w:sz="2" w:space="0" w:color="001E3E"/>
              <w:right w:val="single" w:sz="4" w:space="0" w:color="FFFFFF"/>
            </w:tcBorders>
            <w:shd w:val="pct5" w:color="auto" w:fill="auto"/>
            <w:vAlign w:val="center"/>
          </w:tcPr>
          <w:p w:rsidR="00837B07" w:rsidRPr="009476C8" w:rsidRDefault="00837B07" w:rsidP="00837B07">
            <w:pPr>
              <w:jc w:val="center"/>
            </w:pPr>
            <w:r w:rsidRPr="002D0CC4">
              <w:rPr>
                <w:rFonts w:hint="eastAsia"/>
              </w:rPr>
              <w:t>--</w:t>
            </w:r>
          </w:p>
        </w:tc>
      </w:tr>
      <w:tr w:rsidR="00837B07" w:rsidRPr="00567F50" w:rsidTr="002C148D">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37B07" w:rsidRPr="00837B07" w:rsidRDefault="00837B07" w:rsidP="00837B07">
            <w:pPr>
              <w:jc w:val="center"/>
            </w:pPr>
            <w:r w:rsidRPr="00837B07">
              <w:rPr>
                <w:rFonts w:hint="eastAsia"/>
              </w:rPr>
              <w:t xml:space="preserve">0.8811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837B07" w:rsidRPr="00837B07" w:rsidRDefault="00837B07" w:rsidP="00837B07">
            <w:pPr>
              <w:jc w:val="center"/>
              <w:rPr>
                <w:rFonts w:hint="eastAsia"/>
              </w:rPr>
            </w:pPr>
            <w:r w:rsidRPr="00837B07">
              <w:rPr>
                <w:rFonts w:hint="eastAsia"/>
              </w:rPr>
              <w:t>3.726 %</w:t>
            </w:r>
          </w:p>
        </w:tc>
        <w:tc>
          <w:tcPr>
            <w:tcW w:w="2428" w:type="dxa"/>
            <w:gridSpan w:val="3"/>
            <w:tcBorders>
              <w:top w:val="single" w:sz="2" w:space="0" w:color="001E3E"/>
              <w:left w:val="single" w:sz="4" w:space="0" w:color="AA9678"/>
              <w:bottom w:val="single" w:sz="4" w:space="0" w:color="AA9678"/>
            </w:tcBorders>
            <w:vAlign w:val="center"/>
          </w:tcPr>
          <w:p w:rsidR="00837B07" w:rsidRPr="009476C8" w:rsidRDefault="00837B07" w:rsidP="00837B07">
            <w:pPr>
              <w:jc w:val="center"/>
            </w:pPr>
            <w:r w:rsidRPr="002D0CC4">
              <w:rPr>
                <w:rFonts w:hint="eastAsia"/>
              </w:rPr>
              <w:t>--</w:t>
            </w:r>
          </w:p>
        </w:tc>
      </w:tr>
      <w:tr w:rsidR="00837B07" w:rsidRPr="00567F50" w:rsidTr="002C148D">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37B07" w:rsidRPr="00837B07" w:rsidRDefault="00837B07" w:rsidP="00837B07">
            <w:pPr>
              <w:jc w:val="center"/>
            </w:pPr>
            <w:r w:rsidRPr="00837B07">
              <w:rPr>
                <w:rFonts w:hint="eastAsia"/>
              </w:rPr>
              <w:t xml:space="preserve">0.9466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37B07" w:rsidRPr="00837B07" w:rsidRDefault="00837B07" w:rsidP="00837B07">
            <w:pPr>
              <w:jc w:val="center"/>
              <w:rPr>
                <w:rFonts w:hint="eastAsia"/>
              </w:rPr>
            </w:pPr>
            <w:r w:rsidRPr="00837B07">
              <w:rPr>
                <w:rFonts w:hint="eastAsia"/>
              </w:rPr>
              <w:t>3.968 %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37B07" w:rsidRPr="009476C8" w:rsidRDefault="00837B07" w:rsidP="00837B07">
            <w:pPr>
              <w:jc w:val="center"/>
            </w:pPr>
            <w:r w:rsidRPr="002D0CC4">
              <w:rPr>
                <w:rFonts w:hint="eastAsia"/>
              </w:rPr>
              <w:t>--</w:t>
            </w:r>
          </w:p>
        </w:tc>
      </w:tr>
      <w:tr w:rsidR="00837B07"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37B07" w:rsidRPr="00837B07" w:rsidRDefault="00837B07" w:rsidP="00837B07">
            <w:pPr>
              <w:jc w:val="center"/>
            </w:pPr>
            <w:r w:rsidRPr="00837B07">
              <w:rPr>
                <w:rFonts w:hint="eastAsia"/>
              </w:rPr>
              <w:t xml:space="preserve">0.9021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837B07" w:rsidRPr="00837B07" w:rsidRDefault="00837B07" w:rsidP="00837B07">
            <w:pPr>
              <w:jc w:val="center"/>
              <w:rPr>
                <w:rFonts w:hint="eastAsia"/>
              </w:rPr>
            </w:pPr>
            <w:r w:rsidRPr="00837B07">
              <w:rPr>
                <w:rFonts w:hint="eastAsia"/>
              </w:rPr>
              <w:t xml:space="preserve">3.580 % </w:t>
            </w:r>
          </w:p>
        </w:tc>
        <w:tc>
          <w:tcPr>
            <w:tcW w:w="2428" w:type="dxa"/>
            <w:gridSpan w:val="3"/>
            <w:tcBorders>
              <w:top w:val="single" w:sz="4" w:space="0" w:color="AA9678"/>
              <w:left w:val="single" w:sz="4" w:space="0" w:color="AA9678"/>
              <w:bottom w:val="single" w:sz="4" w:space="0" w:color="AA9678"/>
            </w:tcBorders>
            <w:vAlign w:val="center"/>
          </w:tcPr>
          <w:p w:rsidR="00837B07" w:rsidRPr="00837B07" w:rsidRDefault="00837B07" w:rsidP="00837B07">
            <w:pPr>
              <w:jc w:val="center"/>
              <w:rPr>
                <w:rFonts w:hint="eastAsia"/>
              </w:rPr>
            </w:pPr>
            <w:r w:rsidRPr="00837B07">
              <w:rPr>
                <w:rFonts w:hint="eastAsia"/>
              </w:rPr>
              <w:t xml:space="preserve">3.612% </w:t>
            </w:r>
          </w:p>
        </w:tc>
      </w:tr>
      <w:tr w:rsidR="00837B07"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37B07" w:rsidRPr="00837B07" w:rsidRDefault="00837B07" w:rsidP="00837B07">
            <w:pPr>
              <w:jc w:val="center"/>
            </w:pPr>
            <w:r w:rsidRPr="00837B07">
              <w:rPr>
                <w:rFonts w:hint="eastAsia"/>
              </w:rPr>
              <w:t xml:space="preserve">0.9814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37B07" w:rsidRPr="00837B07" w:rsidRDefault="00837B07" w:rsidP="00837B07">
            <w:pPr>
              <w:jc w:val="center"/>
              <w:rPr>
                <w:rFonts w:hint="eastAsia"/>
              </w:rPr>
            </w:pPr>
            <w:r w:rsidRPr="00837B07">
              <w:rPr>
                <w:rFonts w:hint="eastAsia"/>
              </w:rPr>
              <w:t xml:space="preserve">3.870 %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37B07" w:rsidRPr="00837B07" w:rsidRDefault="00837B07" w:rsidP="00837B07">
            <w:pPr>
              <w:jc w:val="center"/>
              <w:rPr>
                <w:rFonts w:hint="eastAsia"/>
              </w:rPr>
            </w:pPr>
            <w:r w:rsidRPr="00837B07">
              <w:rPr>
                <w:rFonts w:hint="eastAsia"/>
              </w:rPr>
              <w:t xml:space="preserve">6.060% </w:t>
            </w:r>
          </w:p>
        </w:tc>
      </w:tr>
      <w:tr w:rsidR="00837B07"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837B07" w:rsidRPr="00837B07" w:rsidRDefault="00837B07" w:rsidP="00837B07">
            <w:pPr>
              <w:jc w:val="center"/>
            </w:pPr>
            <w:r w:rsidRPr="00837B07">
              <w:rPr>
                <w:rFonts w:hint="eastAsia"/>
              </w:rPr>
              <w:t xml:space="preserve">1.1888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837B07" w:rsidRPr="00837B07" w:rsidRDefault="00837B07" w:rsidP="00837B07">
            <w:pPr>
              <w:jc w:val="center"/>
              <w:rPr>
                <w:rFonts w:hint="eastAsia"/>
              </w:rPr>
            </w:pPr>
            <w:r w:rsidRPr="00837B07">
              <w:rPr>
                <w:rFonts w:hint="eastAsia"/>
              </w:rPr>
              <w:t xml:space="preserve">4.346 %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837B07" w:rsidRPr="00837B07" w:rsidRDefault="00837B07" w:rsidP="00837B07">
            <w:pPr>
              <w:jc w:val="center"/>
              <w:rPr>
                <w:rFonts w:hint="eastAsia"/>
              </w:rPr>
            </w:pPr>
            <w:r w:rsidRPr="00837B07">
              <w:rPr>
                <w:rFonts w:hint="eastAsia"/>
              </w:rPr>
              <w:t xml:space="preserve">4.067% </w:t>
            </w:r>
          </w:p>
        </w:tc>
      </w:tr>
      <w:tr w:rsidR="00837B07"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37B07" w:rsidRPr="00567F50" w:rsidRDefault="00837B07" w:rsidP="00837B07">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37B07" w:rsidRPr="00837B07" w:rsidRDefault="00837B07" w:rsidP="00837B07">
            <w:pPr>
              <w:jc w:val="center"/>
            </w:pPr>
            <w:r w:rsidRPr="00837B07">
              <w:rPr>
                <w:rFonts w:hint="eastAsia"/>
              </w:rPr>
              <w:t xml:space="preserve">1.2682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837B07" w:rsidRPr="00837B07" w:rsidRDefault="00837B07" w:rsidP="00837B07">
            <w:pPr>
              <w:jc w:val="center"/>
              <w:rPr>
                <w:rFonts w:hint="eastAsia"/>
              </w:rPr>
            </w:pPr>
            <w:r w:rsidRPr="00837B07">
              <w:rPr>
                <w:rFonts w:hint="eastAsia"/>
              </w:rPr>
              <w:t xml:space="preserve">4.637 %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37B07" w:rsidRPr="00837B07" w:rsidRDefault="00837B07" w:rsidP="00837B07">
            <w:pPr>
              <w:jc w:val="center"/>
              <w:rPr>
                <w:rFonts w:hint="eastAsia"/>
              </w:rPr>
            </w:pPr>
            <w:r w:rsidRPr="00837B07">
              <w:rPr>
                <w:rFonts w:hint="eastAsia"/>
              </w:rPr>
              <w:t xml:space="preserve">4.109% </w:t>
            </w:r>
          </w:p>
        </w:tc>
      </w:tr>
    </w:tbl>
    <w:p w:rsidR="00B7035E" w:rsidRPr="00A94D2A" w:rsidRDefault="00B7035E" w:rsidP="008001D1">
      <w:pPr>
        <w:spacing w:line="360" w:lineRule="auto"/>
        <w:ind w:leftChars="404" w:left="848" w:rightChars="471" w:right="989" w:firstLineChars="80" w:firstLine="120"/>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w:t>
      </w:r>
      <w:r w:rsidR="00B1287C" w:rsidRPr="00A94D2A">
        <w:rPr>
          <w:rFonts w:ascii="仿宋" w:eastAsia="仿宋" w:hAnsi="仿宋" w:hint="eastAsia"/>
          <w:color w:val="808080"/>
          <w:sz w:val="15"/>
          <w:szCs w:val="15"/>
        </w:rPr>
        <w:t>万得</w:t>
      </w:r>
      <w:r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F73CEC">
        <w:rPr>
          <w:rFonts w:ascii="仿宋" w:eastAsia="仿宋" w:hAnsi="仿宋"/>
          <w:color w:val="808080"/>
          <w:sz w:val="15"/>
          <w:szCs w:val="15"/>
        </w:rPr>
        <w:t>2</w:t>
      </w:r>
      <w:r w:rsidRPr="00A94D2A">
        <w:rPr>
          <w:rFonts w:ascii="仿宋" w:eastAsia="仿宋" w:hAnsi="仿宋" w:hint="eastAsia"/>
          <w:color w:val="808080"/>
          <w:sz w:val="15"/>
          <w:szCs w:val="15"/>
        </w:rPr>
        <w:t>月</w:t>
      </w:r>
      <w:r w:rsidR="00837B07">
        <w:rPr>
          <w:rFonts w:ascii="仿宋" w:eastAsia="仿宋" w:hAnsi="仿宋"/>
          <w:color w:val="808080"/>
          <w:sz w:val="15"/>
          <w:szCs w:val="15"/>
        </w:rPr>
        <w:t>13</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F73CEC">
        <w:rPr>
          <w:rFonts w:ascii="仿宋" w:eastAsia="仿宋" w:hAnsi="仿宋" w:hint="eastAsia"/>
          <w:color w:val="808080"/>
          <w:sz w:val="15"/>
          <w:szCs w:val="15"/>
        </w:rPr>
        <w:t>2</w:t>
      </w:r>
      <w:r w:rsidR="000661EB" w:rsidRPr="00A94D2A">
        <w:rPr>
          <w:rFonts w:ascii="仿宋" w:eastAsia="仿宋" w:hAnsi="仿宋" w:hint="eastAsia"/>
          <w:color w:val="808080"/>
          <w:sz w:val="15"/>
          <w:szCs w:val="15"/>
        </w:rPr>
        <w:t>月</w:t>
      </w:r>
      <w:r w:rsidR="00837B07">
        <w:rPr>
          <w:rFonts w:ascii="仿宋" w:eastAsia="仿宋" w:hAnsi="仿宋"/>
          <w:color w:val="808080"/>
          <w:sz w:val="15"/>
          <w:szCs w:val="15"/>
        </w:rPr>
        <w:t>12</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752" w:rsidRDefault="00B75752" w:rsidP="000E7112">
      <w:r>
        <w:separator/>
      </w:r>
    </w:p>
  </w:endnote>
  <w:endnote w:type="continuationSeparator" w:id="0">
    <w:p w:rsidR="00B75752" w:rsidRDefault="00B75752"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9D" w:rsidRDefault="004F779D" w:rsidP="00210641">
    <w:pPr>
      <w:pStyle w:val="a3"/>
    </w:pPr>
  </w:p>
  <w:p w:rsidR="004F779D" w:rsidRDefault="004F779D"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4F779D" w:rsidRDefault="004F779D"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8E7848">
      <w:rPr>
        <w:b/>
        <w:noProof/>
        <w:color w:val="0088CC"/>
      </w:rPr>
      <w:t>9</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8E7848">
      <w:rPr>
        <w:b/>
        <w:noProof/>
        <w:color w:val="7F7F7F"/>
      </w:rPr>
      <w:t>9</w:t>
    </w:r>
    <w:r w:rsidRPr="006A5CE8">
      <w:rPr>
        <w:b/>
        <w:color w:val="7F7F7F"/>
        <w:sz w:val="24"/>
        <w:szCs w:val="24"/>
      </w:rPr>
      <w:fldChar w:fldCharType="end"/>
    </w:r>
  </w:p>
  <w:p w:rsidR="004F779D" w:rsidRDefault="004F779D" w:rsidP="00210641">
    <w:pPr>
      <w:pStyle w:val="a3"/>
    </w:pPr>
  </w:p>
  <w:p w:rsidR="004F779D" w:rsidRDefault="004F779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752" w:rsidRDefault="00B75752" w:rsidP="000E7112">
      <w:r>
        <w:separator/>
      </w:r>
    </w:p>
  </w:footnote>
  <w:footnote w:type="continuationSeparator" w:id="0">
    <w:p w:rsidR="00B75752" w:rsidRDefault="00B75752"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9D" w:rsidRDefault="004F779D"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779D" w:rsidRPr="009830F8" w:rsidRDefault="004F779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b/>
                              <w:color w:val="FFFFFF"/>
                              <w:sz w:val="18"/>
                              <w:szCs w:val="18"/>
                            </w:rPr>
                            <w:t>1</w:t>
                          </w:r>
                          <w:r w:rsidR="002F1005">
                            <w:rPr>
                              <w:rFonts w:ascii="Arial" w:hAnsi="宋体" w:cs="Arial"/>
                              <w:b/>
                              <w:color w:val="FFFFFF"/>
                              <w:sz w:val="18"/>
                              <w:szCs w:val="18"/>
                            </w:rPr>
                            <w:t>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10</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4F779D" w:rsidRPr="009830F8" w:rsidRDefault="004F779D">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b/>
                        <w:color w:val="FFFFFF"/>
                        <w:sz w:val="18"/>
                        <w:szCs w:val="18"/>
                      </w:rPr>
                      <w:t>1</w:t>
                    </w:r>
                    <w:r w:rsidR="002F1005">
                      <w:rPr>
                        <w:rFonts w:ascii="Arial" w:hAnsi="宋体" w:cs="Arial"/>
                        <w:b/>
                        <w:color w:val="FFFFFF"/>
                        <w:sz w:val="18"/>
                        <w:szCs w:val="18"/>
                      </w:rPr>
                      <w:t>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10</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4F779D" w:rsidRDefault="004F779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79D" w:rsidRDefault="004F779D" w:rsidP="00655522">
    <w:pPr>
      <w:pStyle w:val="a3"/>
      <w:ind w:rightChars="-857" w:right="-1800"/>
      <w:rPr>
        <w:noProof/>
      </w:rPr>
    </w:pPr>
  </w:p>
  <w:p w:rsidR="004F779D" w:rsidRDefault="004F779D"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F779D" w:rsidRPr="004F0FD3" w:rsidRDefault="004F779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10</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4F779D" w:rsidRPr="004F0FD3" w:rsidRDefault="004F779D"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16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10</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4F779D" w:rsidRDefault="004F77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878F7"/>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2EE9"/>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4A24"/>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677"/>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4AA"/>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4DEF"/>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C92AB-7F1F-4325-A38F-CEB22199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1164</Words>
  <Characters>6638</Characters>
  <Application>Microsoft Office Word</Application>
  <DocSecurity>0</DocSecurity>
  <Lines>55</Lines>
  <Paragraphs>15</Paragraphs>
  <ScaleCrop>false</ScaleCrop>
  <Company>Microsoft</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11</cp:revision>
  <cp:lastPrinted>2015-02-16T06:44:00Z</cp:lastPrinted>
  <dcterms:created xsi:type="dcterms:W3CDTF">2015-02-16T02:51:00Z</dcterms:created>
  <dcterms:modified xsi:type="dcterms:W3CDTF">2015-02-16T06:46:00Z</dcterms:modified>
</cp:coreProperties>
</file>