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D032A2" w:rsidRDefault="00AC2F03" w:rsidP="00274C7A">
            <w:pPr>
              <w:snapToGrid w:val="0"/>
              <w:ind w:rightChars="20" w:right="42"/>
              <w:jc w:val="right"/>
              <w:rPr>
                <w:rFonts w:ascii="仿宋" w:eastAsia="仿宋" w:hAnsi="仿宋"/>
                <w:b/>
                <w:color w:val="004186"/>
                <w:sz w:val="52"/>
                <w:szCs w:val="52"/>
              </w:rPr>
            </w:pPr>
            <w:r w:rsidRPr="00AC2F03">
              <w:rPr>
                <w:rFonts w:ascii="仿宋" w:eastAsia="仿宋" w:hAnsi="仿宋" w:hint="eastAsia"/>
                <w:b/>
                <w:color w:val="004186"/>
                <w:sz w:val="52"/>
                <w:szCs w:val="52"/>
              </w:rPr>
              <w:t>估值的艺术</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B4206A" w:rsidRPr="00D032A2" w:rsidRDefault="00AC2F03" w:rsidP="000B465D">
      <w:pPr>
        <w:spacing w:before="240" w:line="324" w:lineRule="auto"/>
        <w:ind w:leftChars="1080" w:left="2268" w:rightChars="471" w:right="989"/>
        <w:jc w:val="left"/>
        <w:rPr>
          <w:rFonts w:ascii="仿宋" w:eastAsia="仿宋" w:hAnsi="仿宋"/>
          <w:b/>
          <w:color w:val="082F6B"/>
          <w:sz w:val="44"/>
          <w:szCs w:val="44"/>
        </w:rPr>
      </w:pPr>
      <w:r w:rsidRPr="00AC2F03">
        <w:rPr>
          <w:rFonts w:ascii="仿宋" w:eastAsia="仿宋" w:hAnsi="仿宋" w:hint="eastAsia"/>
          <w:b/>
          <w:color w:val="082F6B"/>
          <w:sz w:val="44"/>
          <w:szCs w:val="44"/>
        </w:rPr>
        <w:t>估值的艺术</w:t>
      </w:r>
    </w:p>
    <w:p w:rsidR="00BC3282" w:rsidRDefault="00BC2F16" w:rsidP="00EB596B">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上市公司</w:t>
      </w:r>
      <w:r w:rsidRPr="001F5693">
        <w:rPr>
          <w:rFonts w:ascii="仿宋" w:eastAsia="仿宋" w:hAnsi="仿宋" w:hint="eastAsia"/>
          <w:sz w:val="24"/>
          <w:szCs w:val="24"/>
        </w:rPr>
        <w:t>股价</w:t>
      </w:r>
      <w:r>
        <w:rPr>
          <w:rFonts w:ascii="仿宋" w:eastAsia="仿宋" w:hAnsi="仿宋" w:hint="eastAsia"/>
          <w:sz w:val="24"/>
          <w:szCs w:val="24"/>
        </w:rPr>
        <w:t>在短期内</w:t>
      </w:r>
      <w:r>
        <w:rPr>
          <w:rFonts w:ascii="仿宋" w:eastAsia="仿宋" w:hAnsi="仿宋" w:hint="eastAsia"/>
          <w:sz w:val="24"/>
          <w:szCs w:val="24"/>
        </w:rPr>
        <w:t>波动</w:t>
      </w:r>
      <w:r>
        <w:rPr>
          <w:rFonts w:ascii="仿宋" w:eastAsia="仿宋" w:hAnsi="仿宋" w:hint="eastAsia"/>
          <w:sz w:val="24"/>
          <w:szCs w:val="24"/>
        </w:rPr>
        <w:t>的大致原因，除了</w:t>
      </w:r>
      <w:r w:rsidRPr="001F5693">
        <w:rPr>
          <w:rFonts w:ascii="仿宋" w:eastAsia="仿宋" w:hAnsi="仿宋" w:hint="eastAsia"/>
          <w:sz w:val="24"/>
          <w:szCs w:val="24"/>
        </w:rPr>
        <w:t>公司战略</w:t>
      </w:r>
      <w:r>
        <w:rPr>
          <w:rFonts w:ascii="仿宋" w:eastAsia="仿宋" w:hAnsi="仿宋" w:hint="eastAsia"/>
          <w:sz w:val="24"/>
          <w:szCs w:val="24"/>
        </w:rPr>
        <w:t>、</w:t>
      </w:r>
      <w:r w:rsidRPr="001F5693">
        <w:rPr>
          <w:rFonts w:ascii="仿宋" w:eastAsia="仿宋" w:hAnsi="仿宋" w:hint="eastAsia"/>
          <w:sz w:val="24"/>
          <w:szCs w:val="24"/>
        </w:rPr>
        <w:t>盈利前景有较大变化</w:t>
      </w:r>
      <w:r>
        <w:rPr>
          <w:rFonts w:ascii="仿宋" w:eastAsia="仿宋" w:hAnsi="仿宋" w:hint="eastAsia"/>
          <w:sz w:val="24"/>
          <w:szCs w:val="24"/>
        </w:rPr>
        <w:t>以外，</w:t>
      </w:r>
      <w:r w:rsidRPr="001F5693">
        <w:rPr>
          <w:rFonts w:ascii="仿宋" w:eastAsia="仿宋" w:hAnsi="仿宋" w:hint="eastAsia"/>
          <w:sz w:val="24"/>
          <w:szCs w:val="24"/>
        </w:rPr>
        <w:t>投资者</w:t>
      </w:r>
      <w:r>
        <w:rPr>
          <w:rFonts w:ascii="仿宋" w:eastAsia="仿宋" w:hAnsi="仿宋" w:hint="eastAsia"/>
          <w:sz w:val="24"/>
          <w:szCs w:val="24"/>
        </w:rPr>
        <w:t>对</w:t>
      </w:r>
      <w:r>
        <w:rPr>
          <w:rFonts w:ascii="仿宋" w:eastAsia="仿宋" w:hAnsi="仿宋"/>
          <w:sz w:val="24"/>
          <w:szCs w:val="24"/>
        </w:rPr>
        <w:t>公司</w:t>
      </w:r>
      <w:r w:rsidRPr="001F5693">
        <w:rPr>
          <w:rFonts w:ascii="仿宋" w:eastAsia="仿宋" w:hAnsi="仿宋" w:hint="eastAsia"/>
          <w:sz w:val="24"/>
          <w:szCs w:val="24"/>
        </w:rPr>
        <w:t>的理解有</w:t>
      </w:r>
      <w:r>
        <w:rPr>
          <w:rFonts w:ascii="仿宋" w:eastAsia="仿宋" w:hAnsi="仿宋" w:hint="eastAsia"/>
          <w:sz w:val="24"/>
          <w:szCs w:val="24"/>
        </w:rPr>
        <w:t>较</w:t>
      </w:r>
      <w:r w:rsidRPr="001F5693">
        <w:rPr>
          <w:rFonts w:ascii="仿宋" w:eastAsia="仿宋" w:hAnsi="仿宋" w:hint="eastAsia"/>
          <w:sz w:val="24"/>
          <w:szCs w:val="24"/>
        </w:rPr>
        <w:t>大变</w:t>
      </w:r>
      <w:r>
        <w:rPr>
          <w:rFonts w:ascii="仿宋" w:eastAsia="仿宋" w:hAnsi="仿宋" w:hint="eastAsia"/>
          <w:sz w:val="24"/>
          <w:szCs w:val="24"/>
        </w:rPr>
        <w:t>化</w:t>
      </w:r>
      <w:r>
        <w:rPr>
          <w:rFonts w:ascii="仿宋" w:eastAsia="仿宋" w:hAnsi="仿宋" w:hint="eastAsia"/>
          <w:sz w:val="24"/>
          <w:szCs w:val="24"/>
        </w:rPr>
        <w:t>也</w:t>
      </w:r>
      <w:r>
        <w:rPr>
          <w:rFonts w:ascii="仿宋" w:eastAsia="仿宋" w:hAnsi="仿宋"/>
          <w:sz w:val="24"/>
          <w:szCs w:val="24"/>
        </w:rPr>
        <w:t>是不可忽视的一点</w:t>
      </w:r>
      <w:r>
        <w:rPr>
          <w:rFonts w:ascii="仿宋" w:eastAsia="仿宋" w:hAnsi="仿宋" w:hint="eastAsia"/>
          <w:sz w:val="24"/>
          <w:szCs w:val="24"/>
        </w:rPr>
        <w:t>。</w:t>
      </w:r>
      <w:r w:rsidRPr="001F5693">
        <w:rPr>
          <w:rFonts w:ascii="仿宋" w:eastAsia="仿宋" w:hAnsi="仿宋" w:hint="eastAsia"/>
          <w:sz w:val="24"/>
          <w:szCs w:val="24"/>
        </w:rPr>
        <w:t>今年以来最热的互联网板</w:t>
      </w:r>
      <w:r>
        <w:rPr>
          <w:rFonts w:ascii="仿宋" w:eastAsia="仿宋" w:hAnsi="仿宋" w:hint="eastAsia"/>
          <w:sz w:val="24"/>
          <w:szCs w:val="24"/>
        </w:rPr>
        <w:t>块</w:t>
      </w:r>
      <w:r>
        <w:rPr>
          <w:rFonts w:ascii="仿宋" w:eastAsia="仿宋" w:hAnsi="仿宋"/>
          <w:sz w:val="24"/>
          <w:szCs w:val="24"/>
        </w:rPr>
        <w:t>就是很好的例子</w:t>
      </w:r>
      <w:r w:rsidRPr="001F5693">
        <w:rPr>
          <w:rFonts w:ascii="仿宋" w:eastAsia="仿宋" w:hAnsi="仿宋" w:hint="eastAsia"/>
          <w:sz w:val="24"/>
          <w:szCs w:val="24"/>
        </w:rPr>
        <w:t>。由于国内资本市场涉猎互联网行业的</w:t>
      </w:r>
      <w:r>
        <w:rPr>
          <w:rFonts w:ascii="仿宋" w:eastAsia="仿宋" w:hAnsi="仿宋" w:hint="eastAsia"/>
          <w:sz w:val="24"/>
          <w:szCs w:val="24"/>
        </w:rPr>
        <w:t>公司</w:t>
      </w:r>
      <w:r w:rsidRPr="001F5693">
        <w:rPr>
          <w:rFonts w:ascii="仿宋" w:eastAsia="仿宋" w:hAnsi="仿宋" w:hint="eastAsia"/>
          <w:sz w:val="24"/>
          <w:szCs w:val="24"/>
        </w:rPr>
        <w:t>不少处于初创期，没有盈利乃至收入的支持，用</w:t>
      </w:r>
      <w:r>
        <w:rPr>
          <w:rFonts w:ascii="仿宋" w:eastAsia="仿宋" w:hAnsi="仿宋" w:hint="eastAsia"/>
          <w:sz w:val="24"/>
          <w:szCs w:val="24"/>
        </w:rPr>
        <w:t>传统</w:t>
      </w:r>
      <w:r>
        <w:rPr>
          <w:rFonts w:ascii="仿宋" w:eastAsia="仿宋" w:hAnsi="仿宋"/>
          <w:sz w:val="24"/>
          <w:szCs w:val="24"/>
        </w:rPr>
        <w:t>的</w:t>
      </w:r>
      <w:r w:rsidRPr="001F5693">
        <w:rPr>
          <w:rFonts w:ascii="仿宋" w:eastAsia="仿宋" w:hAnsi="仿宋" w:hint="eastAsia"/>
          <w:sz w:val="24"/>
          <w:szCs w:val="24"/>
        </w:rPr>
        <w:t>市盈率和</w:t>
      </w:r>
      <w:proofErr w:type="gramStart"/>
      <w:r w:rsidRPr="001F5693">
        <w:rPr>
          <w:rFonts w:ascii="仿宋" w:eastAsia="仿宋" w:hAnsi="仿宋" w:hint="eastAsia"/>
          <w:sz w:val="24"/>
          <w:szCs w:val="24"/>
        </w:rPr>
        <w:t>市净率</w:t>
      </w:r>
      <w:proofErr w:type="gramEnd"/>
      <w:r w:rsidRPr="001F5693">
        <w:rPr>
          <w:rFonts w:ascii="仿宋" w:eastAsia="仿宋" w:hAnsi="仿宋" w:hint="eastAsia"/>
          <w:sz w:val="24"/>
          <w:szCs w:val="24"/>
        </w:rPr>
        <w:t>来估值对这类公司基本无效。理论上而言，目前很多国</w:t>
      </w:r>
      <w:r>
        <w:rPr>
          <w:rFonts w:ascii="仿宋" w:eastAsia="仿宋" w:hAnsi="仿宋" w:hint="eastAsia"/>
          <w:sz w:val="24"/>
          <w:szCs w:val="24"/>
        </w:rPr>
        <w:t>内市场的上市公司在某些领域的互联网战略已经有所进展，对这类公司</w:t>
      </w:r>
      <w:r w:rsidRPr="001F5693">
        <w:rPr>
          <w:rFonts w:ascii="仿宋" w:eastAsia="仿宋" w:hAnsi="仿宋" w:hint="eastAsia"/>
          <w:sz w:val="24"/>
          <w:szCs w:val="24"/>
        </w:rPr>
        <w:t>应该从市值、用户、长远前景等方面去估值。</w:t>
      </w:r>
      <w:r>
        <w:rPr>
          <w:rFonts w:ascii="仿宋" w:eastAsia="仿宋" w:hAnsi="仿宋" w:hint="eastAsia"/>
          <w:sz w:val="24"/>
          <w:szCs w:val="24"/>
        </w:rPr>
        <w:t>同时，</w:t>
      </w:r>
      <w:r w:rsidRPr="001F5693">
        <w:rPr>
          <w:rFonts w:ascii="仿宋" w:eastAsia="仿宋" w:hAnsi="仿宋" w:hint="eastAsia"/>
          <w:sz w:val="24"/>
          <w:szCs w:val="24"/>
        </w:rPr>
        <w:t>稀缺性、投资者的结构和偏好等方方面面的因素</w:t>
      </w:r>
      <w:r>
        <w:rPr>
          <w:rFonts w:ascii="仿宋" w:eastAsia="仿宋" w:hAnsi="仿宋" w:hint="eastAsia"/>
          <w:sz w:val="24"/>
          <w:szCs w:val="24"/>
        </w:rPr>
        <w:t>也需要加以</w:t>
      </w:r>
      <w:r>
        <w:rPr>
          <w:rFonts w:ascii="仿宋" w:eastAsia="仿宋" w:hAnsi="仿宋"/>
          <w:sz w:val="24"/>
          <w:szCs w:val="24"/>
        </w:rPr>
        <w:t>考虑</w:t>
      </w:r>
      <w:r w:rsidRPr="001F5693">
        <w:rPr>
          <w:rFonts w:ascii="仿宋" w:eastAsia="仿宋" w:hAnsi="仿宋" w:hint="eastAsia"/>
          <w:sz w:val="24"/>
          <w:szCs w:val="24"/>
        </w:rPr>
        <w:t>。</w:t>
      </w:r>
    </w:p>
    <w:p w:rsidR="00BC2F16" w:rsidRDefault="00BC2F16" w:rsidP="00EB596B">
      <w:pPr>
        <w:spacing w:before="240" w:line="324" w:lineRule="auto"/>
        <w:ind w:leftChars="1080" w:left="2268" w:rightChars="471" w:right="989"/>
        <w:jc w:val="left"/>
        <w:rPr>
          <w:rFonts w:ascii="仿宋" w:eastAsia="仿宋" w:hAnsi="仿宋"/>
          <w:sz w:val="24"/>
          <w:szCs w:val="24"/>
        </w:rPr>
      </w:pPr>
    </w:p>
    <w:p w:rsidR="00BC2F16" w:rsidRPr="00844C34" w:rsidRDefault="00BC2F16" w:rsidP="00EB596B">
      <w:pPr>
        <w:spacing w:before="240" w:line="324" w:lineRule="auto"/>
        <w:ind w:leftChars="1080" w:left="2268" w:rightChars="471" w:right="989"/>
        <w:jc w:val="left"/>
        <w:rPr>
          <w:rFonts w:ascii="仿宋" w:eastAsia="仿宋" w:hAnsi="仿宋" w:hint="eastAsia"/>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2A2EE9">
        <w:rPr>
          <w:rFonts w:ascii="仿宋" w:eastAsia="仿宋" w:hAnsi="仿宋"/>
          <w:b/>
          <w:color w:val="0088CC"/>
          <w:sz w:val="24"/>
          <w:szCs w:val="24"/>
        </w:rPr>
        <w:t>50202</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w:t>
      </w:r>
      <w:r w:rsidR="002A2EE9">
        <w:rPr>
          <w:rFonts w:ascii="仿宋" w:eastAsia="仿宋" w:hAnsi="仿宋"/>
          <w:b/>
          <w:color w:val="0088CC"/>
          <w:sz w:val="24"/>
          <w:szCs w:val="24"/>
        </w:rPr>
        <w:t>206</w:t>
      </w:r>
    </w:p>
    <w:p w:rsidR="002A2EE9" w:rsidRPr="00567F50" w:rsidRDefault="002A2EE9" w:rsidP="002A2EE9">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下跌</w:t>
      </w:r>
      <w:r>
        <w:rPr>
          <w:rFonts w:ascii="仿宋" w:eastAsia="仿宋" w:hAnsi="仿宋"/>
          <w:sz w:val="24"/>
          <w:szCs w:val="24"/>
          <w:lang w:val="en-GB"/>
        </w:rPr>
        <w:t>4.19</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下跌</w:t>
      </w:r>
      <w:r>
        <w:rPr>
          <w:rFonts w:ascii="仿宋" w:eastAsia="仿宋" w:hAnsi="仿宋"/>
          <w:sz w:val="24"/>
          <w:szCs w:val="24"/>
          <w:lang w:val="en-GB"/>
        </w:rPr>
        <w:t>3.22</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下跌0.40</w:t>
      </w:r>
      <w:r>
        <w:rPr>
          <w:rFonts w:ascii="仿宋" w:eastAsia="仿宋" w:hAnsi="仿宋"/>
          <w:sz w:val="24"/>
          <w:szCs w:val="24"/>
          <w:lang w:val="en-GB"/>
        </w:rPr>
        <w:tab/>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Pr="006E4A24">
        <w:rPr>
          <w:rFonts w:ascii="仿宋" w:eastAsia="仿宋" w:hAnsi="仿宋"/>
          <w:sz w:val="24"/>
          <w:szCs w:val="24"/>
          <w:lang w:val="en-GB"/>
        </w:rPr>
        <w:t>25,939.13</w:t>
      </w:r>
      <w:r w:rsidRPr="00567F50">
        <w:rPr>
          <w:rFonts w:ascii="仿宋" w:eastAsia="仿宋" w:hAnsi="仿宋" w:hint="eastAsia"/>
          <w:sz w:val="24"/>
          <w:szCs w:val="24"/>
          <w:lang w:val="en-GB"/>
        </w:rPr>
        <w:t>亿元。</w:t>
      </w:r>
      <w:r w:rsidRPr="006E4A24">
        <w:rPr>
          <w:rFonts w:ascii="仿宋" w:eastAsia="仿宋" w:hAnsi="仿宋" w:hint="eastAsia"/>
          <w:sz w:val="24"/>
          <w:szCs w:val="24"/>
          <w:lang w:val="en-GB"/>
        </w:rPr>
        <w:t>计算机</w:t>
      </w:r>
      <w:r>
        <w:rPr>
          <w:rFonts w:ascii="仿宋" w:eastAsia="仿宋" w:hAnsi="仿宋" w:hint="eastAsia"/>
          <w:sz w:val="24"/>
          <w:szCs w:val="24"/>
          <w:lang w:val="en-GB"/>
        </w:rPr>
        <w:t>、</w:t>
      </w:r>
      <w:r w:rsidRPr="006E4A24">
        <w:rPr>
          <w:rFonts w:ascii="仿宋" w:eastAsia="仿宋" w:hAnsi="仿宋" w:hint="eastAsia"/>
          <w:sz w:val="24"/>
          <w:szCs w:val="24"/>
          <w:lang w:val="en-GB"/>
        </w:rPr>
        <w:t>传媒</w:t>
      </w:r>
      <w:r>
        <w:rPr>
          <w:rFonts w:ascii="仿宋" w:eastAsia="仿宋" w:hAnsi="仿宋" w:hint="eastAsia"/>
          <w:sz w:val="24"/>
          <w:szCs w:val="24"/>
          <w:lang w:val="en-GB"/>
        </w:rPr>
        <w:t>、</w:t>
      </w:r>
      <w:r w:rsidRPr="006E4A24">
        <w:rPr>
          <w:rFonts w:ascii="仿宋" w:eastAsia="仿宋" w:hAnsi="仿宋" w:hint="eastAsia"/>
          <w:sz w:val="24"/>
          <w:szCs w:val="24"/>
          <w:lang w:val="en-GB"/>
        </w:rPr>
        <w:t>轻工制造</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0878F7">
        <w:rPr>
          <w:rFonts w:ascii="仿宋" w:eastAsia="仿宋" w:hAnsi="仿宋"/>
          <w:sz w:val="24"/>
          <w:szCs w:val="24"/>
          <w:lang w:val="en-GB"/>
        </w:rPr>
        <w:t>5.79%</w:t>
      </w:r>
      <w:r>
        <w:rPr>
          <w:rFonts w:ascii="仿宋" w:eastAsia="仿宋" w:hAnsi="仿宋" w:hint="eastAsia"/>
          <w:sz w:val="24"/>
          <w:szCs w:val="24"/>
          <w:lang w:val="en-GB"/>
        </w:rPr>
        <w:t>、</w:t>
      </w:r>
      <w:r w:rsidRPr="000878F7">
        <w:rPr>
          <w:rFonts w:ascii="仿宋" w:eastAsia="仿宋" w:hAnsi="仿宋"/>
          <w:sz w:val="24"/>
          <w:szCs w:val="24"/>
          <w:lang w:val="en-GB"/>
        </w:rPr>
        <w:t>3.35%</w:t>
      </w:r>
      <w:r>
        <w:rPr>
          <w:rFonts w:ascii="仿宋" w:eastAsia="仿宋" w:hAnsi="仿宋" w:hint="eastAsia"/>
          <w:sz w:val="24"/>
          <w:szCs w:val="24"/>
          <w:lang w:val="en-GB"/>
        </w:rPr>
        <w:t>、</w:t>
      </w:r>
      <w:r w:rsidRPr="000878F7">
        <w:rPr>
          <w:rFonts w:ascii="仿宋" w:eastAsia="仿宋" w:hAnsi="仿宋"/>
          <w:sz w:val="24"/>
          <w:szCs w:val="24"/>
          <w:lang w:val="en-GB"/>
        </w:rPr>
        <w:t>0.47%</w:t>
      </w:r>
      <w:r>
        <w:rPr>
          <w:rFonts w:ascii="仿宋" w:eastAsia="仿宋" w:hAnsi="仿宋" w:hint="eastAsia"/>
          <w:sz w:val="24"/>
          <w:szCs w:val="24"/>
          <w:lang w:val="en-GB"/>
        </w:rPr>
        <w:t>；公用事业</w:t>
      </w:r>
      <w:r>
        <w:rPr>
          <w:rFonts w:ascii="仿宋" w:eastAsia="仿宋" w:hAnsi="仿宋"/>
          <w:sz w:val="24"/>
          <w:szCs w:val="24"/>
          <w:lang w:val="en-GB"/>
        </w:rPr>
        <w:t>、银行、</w:t>
      </w:r>
      <w:r>
        <w:rPr>
          <w:rFonts w:ascii="仿宋" w:eastAsia="仿宋" w:hAnsi="仿宋" w:hint="eastAsia"/>
          <w:sz w:val="24"/>
          <w:szCs w:val="24"/>
          <w:lang w:val="en-GB"/>
        </w:rPr>
        <w:t>交通运输</w:t>
      </w:r>
      <w:r>
        <w:rPr>
          <w:rFonts w:ascii="仿宋" w:eastAsia="仿宋" w:hAnsi="仿宋"/>
          <w:sz w:val="24"/>
          <w:szCs w:val="24"/>
          <w:lang w:val="en-GB"/>
        </w:rPr>
        <w:t>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hint="eastAsia"/>
          <w:sz w:val="24"/>
          <w:szCs w:val="24"/>
          <w:lang w:val="en-GB"/>
        </w:rPr>
        <w:t>6.43</w:t>
      </w:r>
      <w:r>
        <w:rPr>
          <w:rFonts w:ascii="仿宋" w:eastAsia="仿宋" w:hAnsi="仿宋"/>
          <w:sz w:val="24"/>
          <w:szCs w:val="24"/>
          <w:lang w:val="en-GB"/>
        </w:rPr>
        <w:t>%</w:t>
      </w:r>
      <w:r>
        <w:rPr>
          <w:rFonts w:ascii="仿宋" w:eastAsia="仿宋" w:hAnsi="仿宋" w:hint="eastAsia"/>
          <w:sz w:val="24"/>
          <w:szCs w:val="24"/>
          <w:lang w:val="en-GB"/>
        </w:rPr>
        <w:t>、5.71</w:t>
      </w:r>
      <w:r>
        <w:rPr>
          <w:rFonts w:ascii="仿宋" w:eastAsia="仿宋" w:hAnsi="仿宋"/>
          <w:sz w:val="24"/>
          <w:szCs w:val="24"/>
          <w:lang w:val="en-GB"/>
        </w:rPr>
        <w:t>%、</w:t>
      </w:r>
      <w:r>
        <w:rPr>
          <w:rFonts w:ascii="仿宋" w:eastAsia="仿宋" w:hAnsi="仿宋" w:hint="eastAsia"/>
          <w:sz w:val="24"/>
          <w:szCs w:val="24"/>
          <w:lang w:val="en-GB"/>
        </w:rPr>
        <w:t>5.55</w:t>
      </w:r>
      <w:r>
        <w:rPr>
          <w:rFonts w:ascii="仿宋" w:eastAsia="仿宋" w:hAnsi="仿宋"/>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w:t>
      </w:r>
      <w:r>
        <w:rPr>
          <w:rFonts w:ascii="仿宋" w:eastAsia="仿宋" w:hAnsi="仿宋"/>
          <w:sz w:val="24"/>
          <w:szCs w:val="24"/>
          <w:lang w:val="en-GB"/>
        </w:rPr>
        <w:t>、国防军工</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超过1</w:t>
      </w:r>
      <w:r>
        <w:rPr>
          <w:rFonts w:ascii="仿宋" w:eastAsia="仿宋" w:hAnsi="仿宋"/>
          <w:sz w:val="24"/>
          <w:szCs w:val="24"/>
          <w:lang w:val="en-GB"/>
        </w:rPr>
        <w:t>4%</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高</w:t>
      </w:r>
      <w:proofErr w:type="gramStart"/>
      <w:r>
        <w:rPr>
          <w:rFonts w:ascii="仿宋" w:eastAsia="仿宋" w:hAnsi="仿宋" w:hint="eastAsia"/>
          <w:sz w:val="24"/>
          <w:szCs w:val="24"/>
          <w:lang w:val="en-GB"/>
        </w:rPr>
        <w:t>市净率</w:t>
      </w:r>
      <w:r w:rsidRPr="00567F50">
        <w:rPr>
          <w:rFonts w:ascii="仿宋" w:eastAsia="仿宋" w:hAnsi="仿宋" w:hint="eastAsia"/>
          <w:sz w:val="24"/>
          <w:szCs w:val="24"/>
          <w:lang w:val="en-GB"/>
        </w:rPr>
        <w:t>指数</w:t>
      </w:r>
      <w:proofErr w:type="gramEnd"/>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0.49</w:t>
      </w:r>
      <w:r w:rsidRPr="00567F50">
        <w:rPr>
          <w:rFonts w:ascii="仿宋" w:eastAsia="仿宋" w:hAnsi="仿宋" w:hint="eastAsia"/>
          <w:sz w:val="24"/>
          <w:szCs w:val="24"/>
          <w:lang w:val="en-GB"/>
        </w:rPr>
        <w:t>%，</w:t>
      </w:r>
      <w:r>
        <w:rPr>
          <w:rFonts w:ascii="仿宋" w:eastAsia="仿宋" w:hAnsi="仿宋" w:hint="eastAsia"/>
          <w:sz w:val="24"/>
          <w:szCs w:val="24"/>
          <w:lang w:val="en-GB"/>
        </w:rPr>
        <w:t>低价股指数跌幅最大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跌幅为</w:t>
      </w:r>
      <w:r>
        <w:rPr>
          <w:rFonts w:ascii="仿宋" w:eastAsia="仿宋" w:hAnsi="仿宋"/>
          <w:sz w:val="24"/>
          <w:szCs w:val="24"/>
          <w:lang w:val="en-GB"/>
        </w:rPr>
        <w:t>5.33%</w:t>
      </w:r>
      <w:r w:rsidRPr="00567F50">
        <w:rPr>
          <w:rFonts w:ascii="仿宋" w:eastAsia="仿宋" w:hAnsi="仿宋" w:hint="eastAsia"/>
          <w:sz w:val="24"/>
          <w:szCs w:val="24"/>
          <w:lang w:val="en-GB"/>
        </w:rPr>
        <w:t>。</w:t>
      </w:r>
    </w:p>
    <w:p w:rsidR="000144FB" w:rsidRPr="00D032A2"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AC2F03" w:rsidRPr="00AC2F03">
        <w:rPr>
          <w:rFonts w:ascii="仿宋" w:eastAsia="仿宋" w:hAnsi="仿宋" w:hint="eastAsia"/>
          <w:b/>
          <w:color w:val="082F6B"/>
          <w:sz w:val="44"/>
          <w:szCs w:val="44"/>
        </w:rPr>
        <w:lastRenderedPageBreak/>
        <w:t>估值的艺术</w:t>
      </w:r>
    </w:p>
    <w:p w:rsidR="00D21E6F" w:rsidRPr="00335227" w:rsidRDefault="00D032A2" w:rsidP="00B4206A">
      <w:pPr>
        <w:adjustRightInd w:val="0"/>
        <w:snapToGrid w:val="0"/>
        <w:spacing w:beforeLines="50" w:before="156" w:afterLines="50" w:after="156" w:line="300" w:lineRule="auto"/>
        <w:ind w:leftChars="1080" w:left="2268" w:rightChars="471" w:right="989"/>
        <w:jc w:val="left"/>
        <w:rPr>
          <w:rFonts w:ascii="仿宋" w:eastAsia="仿宋" w:hAnsi="仿宋" w:hint="eastAsia"/>
          <w:b/>
          <w:color w:val="0088CC"/>
          <w:sz w:val="24"/>
          <w:szCs w:val="24"/>
        </w:rPr>
      </w:pPr>
      <w:r>
        <w:rPr>
          <w:rFonts w:ascii="仿宋" w:eastAsia="仿宋" w:hAnsi="仿宋" w:hint="eastAsia"/>
          <w:b/>
          <w:color w:val="0088CC"/>
          <w:sz w:val="24"/>
          <w:szCs w:val="24"/>
        </w:rPr>
        <w:t>交银</w:t>
      </w:r>
      <w:r w:rsidR="00AC2F03">
        <w:rPr>
          <w:rFonts w:ascii="仿宋" w:eastAsia="仿宋" w:hAnsi="仿宋" w:hint="eastAsia"/>
          <w:b/>
          <w:color w:val="0088CC"/>
          <w:sz w:val="24"/>
          <w:szCs w:val="24"/>
        </w:rPr>
        <w:t>稳健</w:t>
      </w:r>
      <w:r w:rsidR="004F742F">
        <w:rPr>
          <w:rFonts w:ascii="仿宋" w:eastAsia="仿宋" w:hAnsi="仿宋" w:hint="eastAsia"/>
          <w:b/>
          <w:color w:val="0088CC"/>
          <w:sz w:val="24"/>
          <w:szCs w:val="24"/>
        </w:rPr>
        <w:t>基金</w:t>
      </w:r>
      <w:r w:rsidR="004F742F">
        <w:rPr>
          <w:rFonts w:ascii="仿宋" w:eastAsia="仿宋" w:hAnsi="仿宋"/>
          <w:b/>
          <w:color w:val="0088CC"/>
          <w:sz w:val="24"/>
          <w:szCs w:val="24"/>
        </w:rPr>
        <w:t>经理</w:t>
      </w:r>
      <w:r w:rsidR="004F742F">
        <w:rPr>
          <w:rFonts w:ascii="仿宋" w:eastAsia="仿宋" w:hAnsi="仿宋" w:hint="eastAsia"/>
          <w:b/>
          <w:color w:val="0088CC"/>
          <w:sz w:val="24"/>
          <w:szCs w:val="24"/>
        </w:rPr>
        <w:t xml:space="preserve"> </w:t>
      </w:r>
      <w:r w:rsidR="00AC2F03">
        <w:rPr>
          <w:rFonts w:ascii="仿宋" w:eastAsia="仿宋" w:hAnsi="仿宋" w:hint="eastAsia"/>
          <w:b/>
          <w:color w:val="0088CC"/>
          <w:sz w:val="24"/>
          <w:szCs w:val="24"/>
        </w:rPr>
        <w:t>唐倩</w:t>
      </w:r>
      <w:r w:rsidR="001F5693">
        <w:rPr>
          <w:rFonts w:ascii="仿宋" w:eastAsia="仿宋" w:hAnsi="仿宋" w:hint="eastAsia"/>
          <w:b/>
          <w:color w:val="0088CC"/>
          <w:sz w:val="24"/>
          <w:szCs w:val="24"/>
        </w:rPr>
        <w:t xml:space="preserve"> </w:t>
      </w:r>
    </w:p>
    <w:p w:rsidR="001F5693" w:rsidRPr="001F5693" w:rsidRDefault="00360A7D" w:rsidP="001F5693">
      <w:pPr>
        <w:spacing w:before="240" w:line="324" w:lineRule="auto"/>
        <w:ind w:leftChars="1080" w:left="2268" w:rightChars="471" w:right="989"/>
        <w:jc w:val="left"/>
        <w:rPr>
          <w:rFonts w:ascii="仿宋" w:eastAsia="仿宋" w:hAnsi="仿宋" w:hint="eastAsia"/>
          <w:sz w:val="24"/>
          <w:szCs w:val="24"/>
        </w:rPr>
      </w:pPr>
      <w:r>
        <w:rPr>
          <w:rFonts w:ascii="仿宋" w:eastAsia="仿宋" w:hAnsi="仿宋" w:hint="eastAsia"/>
          <w:sz w:val="24"/>
          <w:szCs w:val="24"/>
        </w:rPr>
        <w:t>在投资过程中，</w:t>
      </w:r>
      <w:r>
        <w:rPr>
          <w:rFonts w:ascii="仿宋" w:eastAsia="仿宋" w:hAnsi="仿宋"/>
          <w:sz w:val="24"/>
          <w:szCs w:val="24"/>
        </w:rPr>
        <w:t>我们</w:t>
      </w:r>
      <w:r>
        <w:rPr>
          <w:rFonts w:ascii="仿宋" w:eastAsia="仿宋" w:hAnsi="仿宋" w:hint="eastAsia"/>
          <w:sz w:val="24"/>
          <w:szCs w:val="24"/>
        </w:rPr>
        <w:t>经常会遇</w:t>
      </w:r>
      <w:r>
        <w:rPr>
          <w:rFonts w:ascii="仿宋" w:eastAsia="仿宋" w:hAnsi="仿宋"/>
          <w:sz w:val="24"/>
          <w:szCs w:val="24"/>
        </w:rPr>
        <w:t>到疑惑：</w:t>
      </w:r>
      <w:r>
        <w:rPr>
          <w:rFonts w:ascii="仿宋" w:eastAsia="仿宋" w:hAnsi="仿宋" w:hint="eastAsia"/>
          <w:sz w:val="24"/>
          <w:szCs w:val="24"/>
        </w:rPr>
        <w:t>基本面</w:t>
      </w:r>
      <w:r>
        <w:rPr>
          <w:rFonts w:ascii="仿宋" w:eastAsia="仿宋" w:hAnsi="仿宋"/>
          <w:sz w:val="24"/>
          <w:szCs w:val="24"/>
        </w:rPr>
        <w:t>没有发生重大变化，</w:t>
      </w:r>
      <w:r>
        <w:rPr>
          <w:rFonts w:ascii="仿宋" w:eastAsia="仿宋" w:hAnsi="仿宋" w:hint="eastAsia"/>
          <w:sz w:val="24"/>
          <w:szCs w:val="24"/>
        </w:rPr>
        <w:t>而</w:t>
      </w:r>
      <w:r w:rsidR="001F5693">
        <w:rPr>
          <w:rFonts w:ascii="仿宋" w:eastAsia="仿宋" w:hAnsi="仿宋" w:hint="eastAsia"/>
          <w:sz w:val="24"/>
          <w:szCs w:val="24"/>
        </w:rPr>
        <w:t>上市公司</w:t>
      </w:r>
      <w:r w:rsidR="001F5693">
        <w:rPr>
          <w:rFonts w:ascii="仿宋" w:eastAsia="仿宋" w:hAnsi="仿宋"/>
          <w:sz w:val="24"/>
          <w:szCs w:val="24"/>
        </w:rPr>
        <w:t>的</w:t>
      </w:r>
      <w:r w:rsidR="001F5693" w:rsidRPr="001F5693">
        <w:rPr>
          <w:rFonts w:ascii="仿宋" w:eastAsia="仿宋" w:hAnsi="仿宋" w:hint="eastAsia"/>
          <w:sz w:val="24"/>
          <w:szCs w:val="24"/>
        </w:rPr>
        <w:t>股价在</w:t>
      </w:r>
      <w:r>
        <w:rPr>
          <w:rFonts w:ascii="仿宋" w:eastAsia="仿宋" w:hAnsi="仿宋" w:hint="eastAsia"/>
          <w:sz w:val="24"/>
          <w:szCs w:val="24"/>
        </w:rPr>
        <w:t>短期</w:t>
      </w:r>
      <w:r w:rsidR="001F5693" w:rsidRPr="001F5693">
        <w:rPr>
          <w:rFonts w:ascii="仿宋" w:eastAsia="仿宋" w:hAnsi="仿宋" w:hint="eastAsia"/>
          <w:sz w:val="24"/>
          <w:szCs w:val="24"/>
        </w:rPr>
        <w:t>内</w:t>
      </w:r>
      <w:r>
        <w:rPr>
          <w:rFonts w:ascii="仿宋" w:eastAsia="仿宋" w:hAnsi="仿宋" w:hint="eastAsia"/>
          <w:sz w:val="24"/>
          <w:szCs w:val="24"/>
        </w:rPr>
        <w:t>却有</w:t>
      </w:r>
      <w:r>
        <w:rPr>
          <w:rFonts w:ascii="仿宋" w:eastAsia="仿宋" w:hAnsi="仿宋"/>
          <w:sz w:val="24"/>
          <w:szCs w:val="24"/>
        </w:rPr>
        <w:t>大幅波动，这是为什么</w:t>
      </w:r>
      <w:r w:rsidR="001F5693" w:rsidRPr="001F5693">
        <w:rPr>
          <w:rFonts w:ascii="仿宋" w:eastAsia="仿宋" w:hAnsi="仿宋" w:hint="eastAsia"/>
          <w:sz w:val="24"/>
          <w:szCs w:val="24"/>
        </w:rPr>
        <w:t>？</w:t>
      </w:r>
      <w:r>
        <w:rPr>
          <w:rFonts w:ascii="仿宋" w:eastAsia="仿宋" w:hAnsi="仿宋" w:hint="eastAsia"/>
          <w:sz w:val="24"/>
          <w:szCs w:val="24"/>
        </w:rPr>
        <w:t>也许这就是</w:t>
      </w:r>
      <w:r>
        <w:rPr>
          <w:rFonts w:ascii="仿宋" w:eastAsia="仿宋" w:hAnsi="仿宋"/>
          <w:sz w:val="24"/>
          <w:szCs w:val="24"/>
        </w:rPr>
        <w:t>估值的艺术。</w:t>
      </w:r>
    </w:p>
    <w:p w:rsidR="001F5693" w:rsidRPr="001F5693" w:rsidRDefault="001F5693" w:rsidP="001F5693">
      <w:pPr>
        <w:spacing w:before="240" w:line="324" w:lineRule="auto"/>
        <w:ind w:leftChars="1080" w:left="2268" w:rightChars="471" w:right="989"/>
        <w:jc w:val="left"/>
        <w:rPr>
          <w:rFonts w:ascii="仿宋" w:eastAsia="仿宋" w:hAnsi="仿宋"/>
          <w:sz w:val="24"/>
          <w:szCs w:val="24"/>
        </w:rPr>
      </w:pPr>
      <w:r w:rsidRPr="001F5693">
        <w:rPr>
          <w:rFonts w:ascii="仿宋" w:eastAsia="仿宋" w:hAnsi="仿宋" w:hint="eastAsia"/>
          <w:sz w:val="24"/>
          <w:szCs w:val="24"/>
        </w:rPr>
        <w:t>首先，估值是什么？简单而言，就是投资者的预期。我们看到经典投资学理论中，把这个因素总结为两方面，朝大里讲，就是经济的预期收益率、风险溢价，社会资金的资产配置等。简单而言，就是大家对于经济、社会信心有没有变化。就去年底的一波行情而言，诱因是央行的突然降息。实际上，这一变化是很多综合因素所带来的，包括蓝筹股的长期低估、信托和地产投资受限、未来体制改革的良好预期等等。当然，事后分析总是容易的。就当时而言，为什么蓝筹股的这波行情如此之迅猛和强烈，个人认为这就是资本市场令人迷惘</w:t>
      </w:r>
      <w:r w:rsidR="00112F45">
        <w:rPr>
          <w:rFonts w:ascii="仿宋" w:eastAsia="仿宋" w:hAnsi="仿宋" w:hint="eastAsia"/>
          <w:sz w:val="24"/>
          <w:szCs w:val="24"/>
        </w:rPr>
        <w:t>、</w:t>
      </w:r>
      <w:r w:rsidRPr="001F5693">
        <w:rPr>
          <w:rFonts w:ascii="仿宋" w:eastAsia="仿宋" w:hAnsi="仿宋" w:hint="eastAsia"/>
          <w:sz w:val="24"/>
          <w:szCs w:val="24"/>
        </w:rPr>
        <w:t>同时也充满魅力的原因，估值是一门艺术、并不是严格的科学，没有明确的边界和公式。</w:t>
      </w:r>
    </w:p>
    <w:p w:rsidR="000A6DD7" w:rsidRDefault="001F5693" w:rsidP="001F5693">
      <w:pPr>
        <w:spacing w:before="240" w:line="324" w:lineRule="auto"/>
        <w:ind w:leftChars="1080" w:left="2268" w:rightChars="471" w:right="989"/>
        <w:jc w:val="left"/>
        <w:rPr>
          <w:rFonts w:ascii="仿宋" w:eastAsia="仿宋" w:hAnsi="仿宋"/>
          <w:sz w:val="24"/>
          <w:szCs w:val="24"/>
        </w:rPr>
      </w:pPr>
      <w:r w:rsidRPr="001F5693">
        <w:rPr>
          <w:rFonts w:ascii="仿宋" w:eastAsia="仿宋" w:hAnsi="仿宋" w:hint="eastAsia"/>
          <w:sz w:val="24"/>
          <w:szCs w:val="24"/>
        </w:rPr>
        <w:t>另一方面，</w:t>
      </w:r>
      <w:r w:rsidR="00112F45">
        <w:rPr>
          <w:rFonts w:ascii="仿宋" w:eastAsia="仿宋" w:hAnsi="仿宋" w:hint="eastAsia"/>
          <w:sz w:val="24"/>
          <w:szCs w:val="24"/>
        </w:rPr>
        <w:t>从</w:t>
      </w:r>
      <w:r w:rsidR="00112F45">
        <w:rPr>
          <w:rFonts w:ascii="仿宋" w:eastAsia="仿宋" w:hAnsi="仿宋"/>
          <w:sz w:val="24"/>
          <w:szCs w:val="24"/>
        </w:rPr>
        <w:t>微观层面讲，</w:t>
      </w:r>
      <w:r w:rsidR="00112F45">
        <w:rPr>
          <w:rFonts w:ascii="仿宋" w:eastAsia="仿宋" w:hAnsi="仿宋" w:hint="eastAsia"/>
          <w:sz w:val="24"/>
          <w:szCs w:val="24"/>
        </w:rPr>
        <w:t>上市公司</w:t>
      </w:r>
      <w:r w:rsidRPr="001F5693">
        <w:rPr>
          <w:rFonts w:ascii="仿宋" w:eastAsia="仿宋" w:hAnsi="仿宋" w:hint="eastAsia"/>
          <w:sz w:val="24"/>
          <w:szCs w:val="24"/>
        </w:rPr>
        <w:t>股价</w:t>
      </w:r>
      <w:r w:rsidR="00112F45">
        <w:rPr>
          <w:rFonts w:ascii="仿宋" w:eastAsia="仿宋" w:hAnsi="仿宋" w:hint="eastAsia"/>
          <w:sz w:val="24"/>
          <w:szCs w:val="24"/>
        </w:rPr>
        <w:t>为何</w:t>
      </w:r>
      <w:r w:rsidR="00D9163E">
        <w:rPr>
          <w:rFonts w:ascii="仿宋" w:eastAsia="仿宋" w:hAnsi="仿宋" w:hint="eastAsia"/>
          <w:sz w:val="24"/>
          <w:szCs w:val="24"/>
        </w:rPr>
        <w:t>在短期内有巨大的波动，</w:t>
      </w:r>
      <w:r w:rsidRPr="001F5693">
        <w:rPr>
          <w:rFonts w:ascii="仿宋" w:eastAsia="仿宋" w:hAnsi="仿宋" w:hint="eastAsia"/>
          <w:sz w:val="24"/>
          <w:szCs w:val="24"/>
        </w:rPr>
        <w:t>大致有几种可能。第一，公司战略有了较大的变化；第二，盈利前景有了较大变化；第三，投资者的理解有了很大变</w:t>
      </w:r>
      <w:r w:rsidR="00112F45">
        <w:rPr>
          <w:rFonts w:ascii="仿宋" w:eastAsia="仿宋" w:hAnsi="仿宋" w:hint="eastAsia"/>
          <w:sz w:val="24"/>
          <w:szCs w:val="24"/>
        </w:rPr>
        <w:t>化。对于传统研究而言，第一点和第二点是比较容易让人理解的。比如</w:t>
      </w:r>
      <w:r w:rsidRPr="001F5693">
        <w:rPr>
          <w:rFonts w:ascii="仿宋" w:eastAsia="仿宋" w:hAnsi="仿宋" w:hint="eastAsia"/>
          <w:sz w:val="24"/>
          <w:szCs w:val="24"/>
        </w:rPr>
        <w:t>，公司新任管理层到位后，拟定了面目一新的公司战略；或者，公司的研发产品正式进入销售，原材料价格有大幅下跌。比较有趣的是第三点：投资者的理解。作为从业人员，我们经常发现有很多有趣的案例</w:t>
      </w:r>
      <w:r w:rsidR="00112F45">
        <w:rPr>
          <w:rFonts w:ascii="仿宋" w:eastAsia="仿宋" w:hAnsi="仿宋" w:hint="eastAsia"/>
          <w:sz w:val="24"/>
          <w:szCs w:val="24"/>
        </w:rPr>
        <w:t>，</w:t>
      </w:r>
      <w:r w:rsidRPr="001F5693">
        <w:rPr>
          <w:rFonts w:ascii="仿宋" w:eastAsia="仿宋" w:hAnsi="仿宋" w:hint="eastAsia"/>
          <w:sz w:val="24"/>
          <w:szCs w:val="24"/>
        </w:rPr>
        <w:t>比如今年以来最热的互联网板块</w:t>
      </w:r>
      <w:r w:rsidR="00112F45">
        <w:rPr>
          <w:rFonts w:ascii="仿宋" w:eastAsia="仿宋" w:hAnsi="仿宋" w:hint="eastAsia"/>
          <w:sz w:val="24"/>
          <w:szCs w:val="24"/>
        </w:rPr>
        <w:t>就是很好</w:t>
      </w:r>
      <w:r w:rsidR="00112F45">
        <w:rPr>
          <w:rFonts w:ascii="仿宋" w:eastAsia="仿宋" w:hAnsi="仿宋"/>
          <w:sz w:val="24"/>
          <w:szCs w:val="24"/>
        </w:rPr>
        <w:t>的例子</w:t>
      </w:r>
      <w:r w:rsidRPr="001F5693">
        <w:rPr>
          <w:rFonts w:ascii="仿宋" w:eastAsia="仿宋" w:hAnsi="仿宋" w:hint="eastAsia"/>
          <w:sz w:val="24"/>
          <w:szCs w:val="24"/>
        </w:rPr>
        <w:t>。</w:t>
      </w:r>
    </w:p>
    <w:p w:rsidR="000A6DD7" w:rsidRDefault="001F5693" w:rsidP="001F5693">
      <w:pPr>
        <w:spacing w:before="240" w:line="324" w:lineRule="auto"/>
        <w:ind w:leftChars="1080" w:left="2268" w:rightChars="471" w:right="989"/>
        <w:jc w:val="left"/>
        <w:rPr>
          <w:rFonts w:ascii="仿宋" w:eastAsia="仿宋" w:hAnsi="仿宋"/>
          <w:sz w:val="24"/>
          <w:szCs w:val="24"/>
        </w:rPr>
      </w:pPr>
      <w:r w:rsidRPr="001F5693">
        <w:rPr>
          <w:rFonts w:ascii="仿宋" w:eastAsia="仿宋" w:hAnsi="仿宋" w:hint="eastAsia"/>
          <w:sz w:val="24"/>
          <w:szCs w:val="24"/>
        </w:rPr>
        <w:t>由于国内资本市场长期缺乏优质互联网公司，因此就算是机构投资者，对于这类公司的估值有很大的波动空间。</w:t>
      </w:r>
      <w:r w:rsidR="0014032E">
        <w:rPr>
          <w:rFonts w:ascii="仿宋" w:eastAsia="仿宋" w:hAnsi="仿宋" w:hint="eastAsia"/>
          <w:sz w:val="24"/>
          <w:szCs w:val="24"/>
        </w:rPr>
        <w:t>而</w:t>
      </w:r>
      <w:r w:rsidR="0014032E">
        <w:rPr>
          <w:rFonts w:ascii="仿宋" w:eastAsia="仿宋" w:hAnsi="仿宋"/>
          <w:sz w:val="24"/>
          <w:szCs w:val="24"/>
        </w:rPr>
        <w:t>估值波动大的原因在于：</w:t>
      </w:r>
      <w:r w:rsidRPr="001F5693">
        <w:rPr>
          <w:rFonts w:ascii="仿宋" w:eastAsia="仿宋" w:hAnsi="仿宋" w:hint="eastAsia"/>
          <w:sz w:val="24"/>
          <w:szCs w:val="24"/>
        </w:rPr>
        <w:t>国内资本市场涉猎互联网行业的</w:t>
      </w:r>
      <w:r w:rsidR="00112F45">
        <w:rPr>
          <w:rFonts w:ascii="仿宋" w:eastAsia="仿宋" w:hAnsi="仿宋" w:hint="eastAsia"/>
          <w:sz w:val="24"/>
          <w:szCs w:val="24"/>
        </w:rPr>
        <w:t>公司</w:t>
      </w:r>
      <w:r w:rsidRPr="001F5693">
        <w:rPr>
          <w:rFonts w:ascii="仿宋" w:eastAsia="仿宋" w:hAnsi="仿宋" w:hint="eastAsia"/>
          <w:sz w:val="24"/>
          <w:szCs w:val="24"/>
        </w:rPr>
        <w:t>不少处于初创期，没有盈利乃至收入的支持，用</w:t>
      </w:r>
      <w:r w:rsidR="00D9163E">
        <w:rPr>
          <w:rFonts w:ascii="仿宋" w:eastAsia="仿宋" w:hAnsi="仿宋" w:hint="eastAsia"/>
          <w:sz w:val="24"/>
          <w:szCs w:val="24"/>
        </w:rPr>
        <w:t>传统</w:t>
      </w:r>
      <w:r w:rsidR="00D9163E">
        <w:rPr>
          <w:rFonts w:ascii="仿宋" w:eastAsia="仿宋" w:hAnsi="仿宋"/>
          <w:sz w:val="24"/>
          <w:szCs w:val="24"/>
        </w:rPr>
        <w:t>的</w:t>
      </w:r>
      <w:r w:rsidRPr="001F5693">
        <w:rPr>
          <w:rFonts w:ascii="仿宋" w:eastAsia="仿宋" w:hAnsi="仿宋" w:hint="eastAsia"/>
          <w:sz w:val="24"/>
          <w:szCs w:val="24"/>
        </w:rPr>
        <w:t>市盈率和</w:t>
      </w:r>
      <w:proofErr w:type="gramStart"/>
      <w:r w:rsidRPr="001F5693">
        <w:rPr>
          <w:rFonts w:ascii="仿宋" w:eastAsia="仿宋" w:hAnsi="仿宋" w:hint="eastAsia"/>
          <w:sz w:val="24"/>
          <w:szCs w:val="24"/>
        </w:rPr>
        <w:t>市净率</w:t>
      </w:r>
      <w:proofErr w:type="gramEnd"/>
      <w:r w:rsidRPr="001F5693">
        <w:rPr>
          <w:rFonts w:ascii="仿宋" w:eastAsia="仿宋" w:hAnsi="仿宋" w:hint="eastAsia"/>
          <w:sz w:val="24"/>
          <w:szCs w:val="24"/>
        </w:rPr>
        <w:t>来估值对这类公司基本无效。但就整个市场的大发展趋势而言，目前中国的互联网公司已经形成了BAT为接近上万亿市值的第一梯队，京东、</w:t>
      </w:r>
      <w:proofErr w:type="gramStart"/>
      <w:r w:rsidRPr="001F5693">
        <w:rPr>
          <w:rFonts w:ascii="仿宋" w:eastAsia="仿宋" w:hAnsi="仿宋" w:hint="eastAsia"/>
          <w:sz w:val="24"/>
          <w:szCs w:val="24"/>
        </w:rPr>
        <w:t>唯品会</w:t>
      </w:r>
      <w:proofErr w:type="gramEnd"/>
      <w:r w:rsidRPr="001F5693">
        <w:rPr>
          <w:rFonts w:ascii="仿宋" w:eastAsia="仿宋" w:hAnsi="仿宋" w:hint="eastAsia"/>
          <w:sz w:val="24"/>
          <w:szCs w:val="24"/>
        </w:rPr>
        <w:t>等有望上千亿市值，大批垂直互联网公司在百亿市值的格局。在这样的大背景下，互联网行业的巨</w:t>
      </w:r>
      <w:r w:rsidRPr="001F5693">
        <w:rPr>
          <w:rFonts w:ascii="仿宋" w:eastAsia="仿宋" w:hAnsi="仿宋" w:hint="eastAsia"/>
          <w:sz w:val="24"/>
          <w:szCs w:val="24"/>
        </w:rPr>
        <w:lastRenderedPageBreak/>
        <w:t>大潜力毋庸置疑，加上国内资本市场的制度也在变革，会吸引优秀的互联网公司在国内上市和发展。从理论上而言，目前很多国内市场的上市公司在某些领域的互联网战略已经有所进展，对这类公司就应该从市值、用户、长远前景等方面去估值。</w:t>
      </w:r>
      <w:r w:rsidR="000A6DD7">
        <w:rPr>
          <w:rFonts w:ascii="仿宋" w:eastAsia="仿宋" w:hAnsi="仿宋" w:hint="eastAsia"/>
          <w:sz w:val="24"/>
          <w:szCs w:val="24"/>
        </w:rPr>
        <w:t>同时，</w:t>
      </w:r>
      <w:r w:rsidRPr="001F5693">
        <w:rPr>
          <w:rFonts w:ascii="仿宋" w:eastAsia="仿宋" w:hAnsi="仿宋" w:hint="eastAsia"/>
          <w:sz w:val="24"/>
          <w:szCs w:val="24"/>
        </w:rPr>
        <w:t>稀缺性、投资者的结构和偏好等方方面面的因素</w:t>
      </w:r>
      <w:r w:rsidR="000A6DD7">
        <w:rPr>
          <w:rFonts w:ascii="仿宋" w:eastAsia="仿宋" w:hAnsi="仿宋" w:hint="eastAsia"/>
          <w:sz w:val="24"/>
          <w:szCs w:val="24"/>
        </w:rPr>
        <w:t>也需要加以</w:t>
      </w:r>
      <w:r w:rsidR="000A6DD7">
        <w:rPr>
          <w:rFonts w:ascii="仿宋" w:eastAsia="仿宋" w:hAnsi="仿宋"/>
          <w:sz w:val="24"/>
          <w:szCs w:val="24"/>
        </w:rPr>
        <w:t>考虑</w:t>
      </w:r>
      <w:r w:rsidRPr="001F5693">
        <w:rPr>
          <w:rFonts w:ascii="仿宋" w:eastAsia="仿宋" w:hAnsi="仿宋" w:hint="eastAsia"/>
          <w:sz w:val="24"/>
          <w:szCs w:val="24"/>
        </w:rPr>
        <w:t>。</w:t>
      </w:r>
    </w:p>
    <w:p w:rsidR="00DA333F" w:rsidRPr="004F742F" w:rsidRDefault="001F5693" w:rsidP="001F5693">
      <w:pPr>
        <w:spacing w:before="240" w:line="324" w:lineRule="auto"/>
        <w:ind w:leftChars="1080" w:left="2268" w:rightChars="471" w:right="989"/>
        <w:jc w:val="left"/>
        <w:rPr>
          <w:rFonts w:ascii="仿宋" w:eastAsia="仿宋" w:hAnsi="仿宋"/>
          <w:sz w:val="24"/>
          <w:szCs w:val="24"/>
        </w:rPr>
      </w:pPr>
      <w:r w:rsidRPr="001F5693">
        <w:rPr>
          <w:rFonts w:ascii="仿宋" w:eastAsia="仿宋" w:hAnsi="仿宋" w:hint="eastAsia"/>
          <w:sz w:val="24"/>
          <w:szCs w:val="24"/>
        </w:rPr>
        <w:t>总之，估值是一门艺术，就像资本市场永远是不确定性远远高于确定性。掌握这门艺术，是专业投资者必须经历的考验。</w:t>
      </w:r>
    </w:p>
    <w:p w:rsidR="00DA333F" w:rsidRDefault="00DA333F" w:rsidP="00DA333F">
      <w:pPr>
        <w:spacing w:before="240" w:line="324" w:lineRule="auto"/>
        <w:ind w:leftChars="1080" w:left="2268" w:rightChars="471" w:right="989"/>
        <w:jc w:val="left"/>
        <w:rPr>
          <w:rFonts w:ascii="仿宋" w:eastAsia="仿宋" w:hAnsi="仿宋"/>
          <w:sz w:val="24"/>
          <w:szCs w:val="2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50202</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50206</w:t>
      </w:r>
      <w:r w:rsidRPr="002D6A58">
        <w:rPr>
          <w:rFonts w:ascii="仿宋" w:eastAsia="仿宋" w:hAnsi="仿宋" w:hint="eastAsia"/>
          <w:b/>
          <w:color w:val="082F6B"/>
          <w:sz w:val="36"/>
          <w:szCs w:val="36"/>
        </w:rPr>
        <w:t>）</w:t>
      </w:r>
    </w:p>
    <w:p w:rsidR="00193960" w:rsidRPr="00567F50" w:rsidRDefault="00B7035E" w:rsidP="000878F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654B39">
        <w:rPr>
          <w:rFonts w:ascii="仿宋" w:eastAsia="仿宋" w:hAnsi="仿宋" w:hint="eastAsia"/>
          <w:sz w:val="24"/>
          <w:szCs w:val="24"/>
          <w:lang w:val="en-GB"/>
        </w:rPr>
        <w:t>下跌</w:t>
      </w:r>
      <w:r w:rsidR="006E4A24">
        <w:rPr>
          <w:rFonts w:ascii="仿宋" w:eastAsia="仿宋" w:hAnsi="仿宋"/>
          <w:sz w:val="24"/>
          <w:szCs w:val="24"/>
          <w:lang w:val="en-GB"/>
        </w:rPr>
        <w:t>4.19</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654B39">
        <w:rPr>
          <w:rFonts w:ascii="仿宋" w:eastAsia="仿宋" w:hAnsi="仿宋" w:hint="eastAsia"/>
          <w:sz w:val="24"/>
          <w:szCs w:val="24"/>
          <w:lang w:val="en-GB"/>
        </w:rPr>
        <w:t>下跌</w:t>
      </w:r>
      <w:r w:rsidR="006E4A24">
        <w:rPr>
          <w:rFonts w:ascii="仿宋" w:eastAsia="仿宋" w:hAnsi="仿宋"/>
          <w:sz w:val="24"/>
          <w:szCs w:val="24"/>
          <w:lang w:val="en-GB"/>
        </w:rPr>
        <w:t>3.22</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6E4A24">
        <w:rPr>
          <w:rFonts w:ascii="仿宋" w:eastAsia="仿宋" w:hAnsi="仿宋" w:hint="eastAsia"/>
          <w:sz w:val="24"/>
          <w:szCs w:val="24"/>
          <w:lang w:val="en-GB"/>
        </w:rPr>
        <w:t>下跌0.40</w:t>
      </w:r>
      <w:r w:rsidR="00654B39">
        <w:rPr>
          <w:rFonts w:ascii="仿宋" w:eastAsia="仿宋" w:hAnsi="仿宋"/>
          <w:sz w:val="24"/>
          <w:szCs w:val="24"/>
          <w:lang w:val="en-GB"/>
        </w:rPr>
        <w:tab/>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6E4A24" w:rsidRPr="006E4A24">
        <w:rPr>
          <w:rFonts w:ascii="仿宋" w:eastAsia="仿宋" w:hAnsi="仿宋"/>
          <w:sz w:val="24"/>
          <w:szCs w:val="24"/>
          <w:lang w:val="en-GB"/>
        </w:rPr>
        <w:t>25,939.13</w:t>
      </w:r>
      <w:r w:rsidR="00193960" w:rsidRPr="00567F50">
        <w:rPr>
          <w:rFonts w:ascii="仿宋" w:eastAsia="仿宋" w:hAnsi="仿宋" w:hint="eastAsia"/>
          <w:sz w:val="24"/>
          <w:szCs w:val="24"/>
          <w:lang w:val="en-GB"/>
        </w:rPr>
        <w:t>亿元。</w:t>
      </w:r>
      <w:r w:rsidR="006E4A24" w:rsidRPr="006E4A24">
        <w:rPr>
          <w:rFonts w:ascii="仿宋" w:eastAsia="仿宋" w:hAnsi="仿宋" w:hint="eastAsia"/>
          <w:sz w:val="24"/>
          <w:szCs w:val="24"/>
          <w:lang w:val="en-GB"/>
        </w:rPr>
        <w:t>计算机</w:t>
      </w:r>
      <w:r w:rsidR="006E4A24">
        <w:rPr>
          <w:rFonts w:ascii="仿宋" w:eastAsia="仿宋" w:hAnsi="仿宋" w:hint="eastAsia"/>
          <w:sz w:val="24"/>
          <w:szCs w:val="24"/>
          <w:lang w:val="en-GB"/>
        </w:rPr>
        <w:t>、</w:t>
      </w:r>
      <w:r w:rsidR="006E4A24" w:rsidRPr="006E4A24">
        <w:rPr>
          <w:rFonts w:ascii="仿宋" w:eastAsia="仿宋" w:hAnsi="仿宋" w:hint="eastAsia"/>
          <w:sz w:val="24"/>
          <w:szCs w:val="24"/>
          <w:lang w:val="en-GB"/>
        </w:rPr>
        <w:t>传媒</w:t>
      </w:r>
      <w:r w:rsidR="006E4A24">
        <w:rPr>
          <w:rFonts w:ascii="仿宋" w:eastAsia="仿宋" w:hAnsi="仿宋" w:hint="eastAsia"/>
          <w:sz w:val="24"/>
          <w:szCs w:val="24"/>
          <w:lang w:val="en-GB"/>
        </w:rPr>
        <w:t>、</w:t>
      </w:r>
      <w:r w:rsidR="006E4A24" w:rsidRPr="006E4A24">
        <w:rPr>
          <w:rFonts w:ascii="仿宋" w:eastAsia="仿宋" w:hAnsi="仿宋" w:hint="eastAsia"/>
          <w:sz w:val="24"/>
          <w:szCs w:val="24"/>
          <w:lang w:val="en-GB"/>
        </w:rPr>
        <w:t>轻工制造</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0878F7" w:rsidRPr="000878F7">
        <w:rPr>
          <w:rFonts w:ascii="仿宋" w:eastAsia="仿宋" w:hAnsi="仿宋"/>
          <w:sz w:val="24"/>
          <w:szCs w:val="24"/>
          <w:lang w:val="en-GB"/>
        </w:rPr>
        <w:t>5.79%</w:t>
      </w:r>
      <w:r w:rsidR="000878F7">
        <w:rPr>
          <w:rFonts w:ascii="仿宋" w:eastAsia="仿宋" w:hAnsi="仿宋" w:hint="eastAsia"/>
          <w:sz w:val="24"/>
          <w:szCs w:val="24"/>
          <w:lang w:val="en-GB"/>
        </w:rPr>
        <w:t>、</w:t>
      </w:r>
      <w:r w:rsidR="000878F7" w:rsidRPr="000878F7">
        <w:rPr>
          <w:rFonts w:ascii="仿宋" w:eastAsia="仿宋" w:hAnsi="仿宋"/>
          <w:sz w:val="24"/>
          <w:szCs w:val="24"/>
          <w:lang w:val="en-GB"/>
        </w:rPr>
        <w:t>3.35%</w:t>
      </w:r>
      <w:r w:rsidR="000878F7">
        <w:rPr>
          <w:rFonts w:ascii="仿宋" w:eastAsia="仿宋" w:hAnsi="仿宋" w:hint="eastAsia"/>
          <w:sz w:val="24"/>
          <w:szCs w:val="24"/>
          <w:lang w:val="en-GB"/>
        </w:rPr>
        <w:t>、</w:t>
      </w:r>
      <w:r w:rsidR="000878F7" w:rsidRPr="000878F7">
        <w:rPr>
          <w:rFonts w:ascii="仿宋" w:eastAsia="仿宋" w:hAnsi="仿宋"/>
          <w:sz w:val="24"/>
          <w:szCs w:val="24"/>
          <w:lang w:val="en-GB"/>
        </w:rPr>
        <w:t>0.47%</w:t>
      </w:r>
      <w:r w:rsidR="00193960">
        <w:rPr>
          <w:rFonts w:ascii="仿宋" w:eastAsia="仿宋" w:hAnsi="仿宋" w:hint="eastAsia"/>
          <w:sz w:val="24"/>
          <w:szCs w:val="24"/>
          <w:lang w:val="en-GB"/>
        </w:rPr>
        <w:t>；</w:t>
      </w:r>
      <w:r w:rsidR="000878F7">
        <w:rPr>
          <w:rFonts w:ascii="仿宋" w:eastAsia="仿宋" w:hAnsi="仿宋" w:hint="eastAsia"/>
          <w:sz w:val="24"/>
          <w:szCs w:val="24"/>
          <w:lang w:val="en-GB"/>
        </w:rPr>
        <w:t>公用事业</w:t>
      </w:r>
      <w:r w:rsidR="000878F7">
        <w:rPr>
          <w:rFonts w:ascii="仿宋" w:eastAsia="仿宋" w:hAnsi="仿宋"/>
          <w:sz w:val="24"/>
          <w:szCs w:val="24"/>
          <w:lang w:val="en-GB"/>
        </w:rPr>
        <w:t>、银行、</w:t>
      </w:r>
      <w:r w:rsidR="000878F7">
        <w:rPr>
          <w:rFonts w:ascii="仿宋" w:eastAsia="仿宋" w:hAnsi="仿宋" w:hint="eastAsia"/>
          <w:sz w:val="24"/>
          <w:szCs w:val="24"/>
          <w:lang w:val="en-GB"/>
        </w:rPr>
        <w:t>交通运输</w:t>
      </w:r>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0878F7">
        <w:rPr>
          <w:rFonts w:ascii="仿宋" w:eastAsia="仿宋" w:hAnsi="仿宋" w:hint="eastAsia"/>
          <w:sz w:val="24"/>
          <w:szCs w:val="24"/>
          <w:lang w:val="en-GB"/>
        </w:rPr>
        <w:t>6.43</w:t>
      </w:r>
      <w:r w:rsidR="00503B64">
        <w:rPr>
          <w:rFonts w:ascii="仿宋" w:eastAsia="仿宋" w:hAnsi="仿宋"/>
          <w:sz w:val="24"/>
          <w:szCs w:val="24"/>
          <w:lang w:val="en-GB"/>
        </w:rPr>
        <w:t>%</w:t>
      </w:r>
      <w:r w:rsidR="000878F7">
        <w:rPr>
          <w:rFonts w:ascii="仿宋" w:eastAsia="仿宋" w:hAnsi="仿宋" w:hint="eastAsia"/>
          <w:sz w:val="24"/>
          <w:szCs w:val="24"/>
          <w:lang w:val="en-GB"/>
        </w:rPr>
        <w:t>、5.71</w:t>
      </w:r>
      <w:r w:rsidR="000878F7">
        <w:rPr>
          <w:rFonts w:ascii="仿宋" w:eastAsia="仿宋" w:hAnsi="仿宋"/>
          <w:sz w:val="24"/>
          <w:szCs w:val="24"/>
          <w:lang w:val="en-GB"/>
        </w:rPr>
        <w:t>%、</w:t>
      </w:r>
      <w:r w:rsidR="000878F7">
        <w:rPr>
          <w:rFonts w:ascii="仿宋" w:eastAsia="仿宋" w:hAnsi="仿宋" w:hint="eastAsia"/>
          <w:sz w:val="24"/>
          <w:szCs w:val="24"/>
          <w:lang w:val="en-GB"/>
        </w:rPr>
        <w:t>5.55</w:t>
      </w:r>
      <w:r w:rsidR="000878F7">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654B39">
        <w:rPr>
          <w:rFonts w:ascii="仿宋" w:eastAsia="仿宋" w:hAnsi="仿宋" w:hint="eastAsia"/>
          <w:sz w:val="24"/>
          <w:szCs w:val="24"/>
          <w:lang w:val="en-GB"/>
        </w:rPr>
        <w:t>计算机</w:t>
      </w:r>
      <w:r w:rsidR="00654B39">
        <w:rPr>
          <w:rFonts w:ascii="仿宋" w:eastAsia="仿宋" w:hAnsi="仿宋"/>
          <w:sz w:val="24"/>
          <w:szCs w:val="24"/>
          <w:lang w:val="en-GB"/>
        </w:rPr>
        <w:t>、国防军工</w:t>
      </w:r>
      <w:r w:rsidR="00193960" w:rsidRPr="00567F50">
        <w:rPr>
          <w:rFonts w:ascii="仿宋" w:eastAsia="仿宋" w:hAnsi="仿宋" w:hint="eastAsia"/>
          <w:sz w:val="24"/>
          <w:szCs w:val="24"/>
          <w:lang w:val="en-GB"/>
        </w:rPr>
        <w:t>换手率最大，换手率</w:t>
      </w:r>
      <w:r w:rsidR="00193960">
        <w:rPr>
          <w:rFonts w:ascii="仿宋" w:eastAsia="仿宋" w:hAnsi="仿宋" w:hint="eastAsia"/>
          <w:sz w:val="24"/>
          <w:szCs w:val="24"/>
          <w:lang w:val="en-GB"/>
        </w:rPr>
        <w:t>超过</w:t>
      </w:r>
      <w:r w:rsidR="00094102">
        <w:rPr>
          <w:rFonts w:ascii="仿宋" w:eastAsia="仿宋" w:hAnsi="仿宋" w:hint="eastAsia"/>
          <w:sz w:val="24"/>
          <w:szCs w:val="24"/>
          <w:lang w:val="en-GB"/>
        </w:rPr>
        <w:t>1</w:t>
      </w:r>
      <w:r w:rsidR="005D4866">
        <w:rPr>
          <w:rFonts w:ascii="仿宋" w:eastAsia="仿宋" w:hAnsi="仿宋"/>
          <w:sz w:val="24"/>
          <w:szCs w:val="24"/>
          <w:lang w:val="en-GB"/>
        </w:rPr>
        <w:t>4</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F945B9">
        <w:rPr>
          <w:rFonts w:ascii="仿宋" w:eastAsia="仿宋" w:hAnsi="仿宋" w:hint="eastAsia"/>
          <w:sz w:val="24"/>
          <w:szCs w:val="24"/>
          <w:lang w:val="en-GB"/>
        </w:rPr>
        <w:t>高</w:t>
      </w:r>
      <w:proofErr w:type="gramStart"/>
      <w:r w:rsidR="00F945B9">
        <w:rPr>
          <w:rFonts w:ascii="仿宋" w:eastAsia="仿宋" w:hAnsi="仿宋" w:hint="eastAsia"/>
          <w:sz w:val="24"/>
          <w:szCs w:val="24"/>
          <w:lang w:val="en-GB"/>
        </w:rPr>
        <w:t>市净率</w:t>
      </w:r>
      <w:r w:rsidR="00193960" w:rsidRPr="00567F50">
        <w:rPr>
          <w:rFonts w:ascii="仿宋" w:eastAsia="仿宋" w:hAnsi="仿宋" w:hint="eastAsia"/>
          <w:sz w:val="24"/>
          <w:szCs w:val="24"/>
          <w:lang w:val="en-GB"/>
        </w:rPr>
        <w:t>指数</w:t>
      </w:r>
      <w:proofErr w:type="gramEnd"/>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F945B9">
        <w:rPr>
          <w:rFonts w:ascii="仿宋" w:eastAsia="仿宋" w:hAnsi="仿宋"/>
          <w:sz w:val="24"/>
          <w:szCs w:val="24"/>
          <w:lang w:val="en-GB"/>
        </w:rPr>
        <w:t>0.49</w:t>
      </w:r>
      <w:r w:rsidR="00193960" w:rsidRPr="00567F50">
        <w:rPr>
          <w:rFonts w:ascii="仿宋" w:eastAsia="仿宋" w:hAnsi="仿宋" w:hint="eastAsia"/>
          <w:sz w:val="24"/>
          <w:szCs w:val="24"/>
          <w:lang w:val="en-GB"/>
        </w:rPr>
        <w:t>%，</w:t>
      </w:r>
      <w:r w:rsidR="00F945B9">
        <w:rPr>
          <w:rFonts w:ascii="仿宋" w:eastAsia="仿宋" w:hAnsi="仿宋" w:hint="eastAsia"/>
          <w:sz w:val="24"/>
          <w:szCs w:val="24"/>
          <w:lang w:val="en-GB"/>
        </w:rPr>
        <w:t>低价</w:t>
      </w:r>
      <w:r w:rsidR="005D4866">
        <w:rPr>
          <w:rFonts w:ascii="仿宋" w:eastAsia="仿宋" w:hAnsi="仿宋" w:hint="eastAsia"/>
          <w:sz w:val="24"/>
          <w:szCs w:val="24"/>
          <w:lang w:val="en-GB"/>
        </w:rPr>
        <w:t>股</w:t>
      </w:r>
      <w:r w:rsidR="006D4BCF">
        <w:rPr>
          <w:rFonts w:ascii="仿宋" w:eastAsia="仿宋" w:hAnsi="仿宋" w:hint="eastAsia"/>
          <w:sz w:val="24"/>
          <w:szCs w:val="24"/>
          <w:lang w:val="en-GB"/>
        </w:rPr>
        <w:t>指数</w:t>
      </w:r>
      <w:r w:rsidR="00654B39">
        <w:rPr>
          <w:rFonts w:ascii="仿宋" w:eastAsia="仿宋" w:hAnsi="仿宋" w:hint="eastAsia"/>
          <w:sz w:val="24"/>
          <w:szCs w:val="24"/>
          <w:lang w:val="en-GB"/>
        </w:rPr>
        <w:t>跌幅最大</w:t>
      </w:r>
      <w:r w:rsidR="00193960" w:rsidRPr="00567F50">
        <w:rPr>
          <w:rFonts w:ascii="仿宋" w:eastAsia="仿宋" w:hAnsi="仿宋" w:hint="eastAsia"/>
          <w:sz w:val="24"/>
          <w:szCs w:val="24"/>
          <w:lang w:val="en-GB"/>
        </w:rPr>
        <w:t>，</w:t>
      </w:r>
      <w:r w:rsidR="00654B39">
        <w:rPr>
          <w:rFonts w:ascii="仿宋" w:eastAsia="仿宋" w:hAnsi="仿宋" w:hint="eastAsia"/>
          <w:sz w:val="24"/>
          <w:szCs w:val="24"/>
          <w:lang w:val="en-GB"/>
        </w:rPr>
        <w:t>跌幅为</w:t>
      </w:r>
      <w:r w:rsidR="00F945B9">
        <w:rPr>
          <w:rFonts w:ascii="仿宋" w:eastAsia="仿宋" w:hAnsi="仿宋"/>
          <w:sz w:val="24"/>
          <w:szCs w:val="24"/>
          <w:lang w:val="en-GB"/>
        </w:rPr>
        <w:t>5.33</w:t>
      </w:r>
      <w:r w:rsidR="00654B39">
        <w:rPr>
          <w:rFonts w:ascii="仿宋" w:eastAsia="仿宋" w:hAnsi="仿宋"/>
          <w:sz w:val="24"/>
          <w:szCs w:val="24"/>
          <w:lang w:val="en-GB"/>
        </w:rPr>
        <w:t>%</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842A20" w:rsidRPr="00842A20" w:rsidTr="00C62D3F">
        <w:trPr>
          <w:trHeight w:val="64"/>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上证综指</w:t>
            </w:r>
          </w:p>
        </w:tc>
        <w:tc>
          <w:tcPr>
            <w:tcW w:w="1021"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4.19%)</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14,551.3</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A股总市值（亿元）</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422,075.01</w:t>
            </w:r>
          </w:p>
        </w:tc>
      </w:tr>
      <w:tr w:rsidR="00842A20" w:rsidRPr="00842A20" w:rsidTr="00C62D3F">
        <w:trPr>
          <w:trHeight w:val="70"/>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上证180</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(3.42%)</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9,212.2</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A股流通市值（亿元）</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310,617.17</w:t>
            </w:r>
          </w:p>
        </w:tc>
      </w:tr>
      <w:tr w:rsidR="00842A20" w:rsidRPr="00842A20" w:rsidTr="00C62D3F">
        <w:trPr>
          <w:trHeight w:val="20"/>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上证50</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(3.33%)</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5,479.8</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A股市盈率（最新年报，剔除负值）</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17.43</w:t>
            </w:r>
          </w:p>
        </w:tc>
      </w:tr>
      <w:tr w:rsidR="00842A20" w:rsidRPr="00842A20" w:rsidTr="00C62D3F">
        <w:trPr>
          <w:trHeight w:val="20"/>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沪深300</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(3.55%)</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12,429.3</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A股市盈率（递推12个月，剔除负值）</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15.89</w:t>
            </w:r>
          </w:p>
        </w:tc>
      </w:tr>
      <w:tr w:rsidR="00842A20" w:rsidRPr="00842A20" w:rsidTr="00C62D3F">
        <w:trPr>
          <w:trHeight w:val="20"/>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深证成指</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(3.22%)</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1,891.2</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A股市净率（最新年报，剔除负值）</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2.40</w:t>
            </w:r>
          </w:p>
        </w:tc>
      </w:tr>
      <w:tr w:rsidR="00842A20" w:rsidRPr="00842A20" w:rsidTr="00C62D3F">
        <w:trPr>
          <w:trHeight w:val="20"/>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深证100</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(2.78%)</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3,269.0</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A股市净率（最新报告期，剔除负值）</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2.18</w:t>
            </w:r>
          </w:p>
        </w:tc>
      </w:tr>
      <w:tr w:rsidR="00842A20" w:rsidRPr="00842A20" w:rsidTr="00C62D3F">
        <w:trPr>
          <w:trHeight w:val="20"/>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申万中小板</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(0.40%)</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4,272.8</w:t>
            </w:r>
          </w:p>
        </w:tc>
        <w:tc>
          <w:tcPr>
            <w:tcW w:w="283" w:type="dxa"/>
            <w:vMerge/>
            <w:tcBorders>
              <w:left w:val="single" w:sz="4" w:space="0" w:color="1F497D"/>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A股加权平均股价</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9.57</w:t>
            </w:r>
          </w:p>
        </w:tc>
      </w:tr>
      <w:tr w:rsidR="00842A20" w:rsidRPr="00842A20" w:rsidTr="00C62D3F">
        <w:trPr>
          <w:trHeight w:val="138"/>
        </w:trPr>
        <w:tc>
          <w:tcPr>
            <w:tcW w:w="148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申万基金重仓</w:t>
            </w:r>
          </w:p>
        </w:tc>
        <w:tc>
          <w:tcPr>
            <w:tcW w:w="102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(2.57%)</w:t>
            </w:r>
          </w:p>
        </w:tc>
        <w:tc>
          <w:tcPr>
            <w:tcW w:w="1134" w:type="dxa"/>
            <w:tcBorders>
              <w:right w:val="single" w:sz="4" w:space="0" w:color="1F497D"/>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19,340.3</w:t>
            </w:r>
          </w:p>
        </w:tc>
        <w:tc>
          <w:tcPr>
            <w:tcW w:w="283" w:type="dxa"/>
            <w:vMerge/>
            <w:tcBorders>
              <w:left w:val="single" w:sz="4" w:space="0" w:color="1F497D"/>
              <w:bottom w:val="nil"/>
            </w:tcBorders>
            <w:vAlign w:val="center"/>
          </w:tcPr>
          <w:p w:rsidR="00842A20" w:rsidRPr="00567F50" w:rsidRDefault="00842A20" w:rsidP="00842A20">
            <w:pPr>
              <w:widowControl/>
              <w:jc w:val="center"/>
              <w:rPr>
                <w:rFonts w:ascii="仿宋" w:eastAsia="仿宋" w:hAnsi="仿宋" w:cs="Arial"/>
              </w:rPr>
            </w:pPr>
          </w:p>
        </w:tc>
        <w:tc>
          <w:tcPr>
            <w:tcW w:w="3901"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两市A股成交金额(亿元)</w:t>
            </w:r>
          </w:p>
        </w:tc>
        <w:tc>
          <w:tcPr>
            <w:tcW w:w="1315"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25,939.13</w:t>
            </w:r>
          </w:p>
        </w:tc>
      </w:tr>
    </w:tbl>
    <w:p w:rsidR="00B7035E" w:rsidRPr="00842A20" w:rsidRDefault="00B7035E" w:rsidP="00842A20">
      <w:pPr>
        <w:spacing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lastRenderedPageBreak/>
              <w:t>计算机</w:t>
            </w:r>
          </w:p>
        </w:tc>
        <w:tc>
          <w:tcPr>
            <w:tcW w:w="1134" w:type="dxa"/>
          </w:tcPr>
          <w:p w:rsidR="00842A20" w:rsidRPr="00842A20" w:rsidRDefault="00842A20" w:rsidP="00842A20">
            <w:pPr>
              <w:jc w:val="center"/>
              <w:rPr>
                <w:rFonts w:ascii="仿宋" w:eastAsia="仿宋" w:hAnsi="仿宋" w:cs="Arial"/>
              </w:rPr>
            </w:pPr>
            <w:r w:rsidRPr="00842A20">
              <w:rPr>
                <w:rFonts w:ascii="仿宋" w:eastAsia="仿宋" w:hAnsi="仿宋" w:cs="Arial"/>
              </w:rPr>
              <w:t>5.79%</w:t>
            </w:r>
          </w:p>
        </w:tc>
        <w:tc>
          <w:tcPr>
            <w:tcW w:w="1134" w:type="dxa"/>
            <w:tcBorders>
              <w:right w:val="single" w:sz="4" w:space="0" w:color="D9D9D9"/>
            </w:tcBorders>
          </w:tcPr>
          <w:p w:rsidR="00842A20" w:rsidRPr="00842A20" w:rsidRDefault="00842A20" w:rsidP="00842A20">
            <w:pPr>
              <w:jc w:val="center"/>
              <w:rPr>
                <w:rFonts w:ascii="仿宋" w:eastAsia="仿宋" w:hAnsi="仿宋" w:cs="Arial"/>
              </w:rPr>
            </w:pPr>
            <w:r w:rsidRPr="00842A20">
              <w:rPr>
                <w:rFonts w:ascii="仿宋" w:eastAsia="仿宋" w:hAnsi="仿宋" w:cs="Arial"/>
              </w:rPr>
              <w:t>17.89%</w:t>
            </w:r>
          </w:p>
        </w:tc>
        <w:tc>
          <w:tcPr>
            <w:tcW w:w="518" w:type="dxa"/>
            <w:vMerge/>
            <w:tcBorders>
              <w:left w:val="single" w:sz="4" w:space="0" w:color="D9D9D9"/>
              <w:bottom w:val="nil"/>
              <w:right w:val="single" w:sz="4" w:space="0" w:color="D9D9D9"/>
            </w:tcBorders>
            <w:vAlign w:val="center"/>
          </w:tcPr>
          <w:p w:rsidR="00842A20" w:rsidRPr="00567F50" w:rsidRDefault="00842A20" w:rsidP="00842A20">
            <w:pPr>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食品饮料</w:t>
            </w:r>
          </w:p>
        </w:tc>
        <w:tc>
          <w:tcPr>
            <w:tcW w:w="1134" w:type="dxa"/>
          </w:tcPr>
          <w:p w:rsidR="00842A20" w:rsidRPr="00842A20" w:rsidRDefault="00842A20" w:rsidP="00842A20">
            <w:pPr>
              <w:jc w:val="center"/>
              <w:rPr>
                <w:rFonts w:ascii="仿宋" w:eastAsia="仿宋" w:hAnsi="仿宋" w:cs="Arial"/>
              </w:rPr>
            </w:pPr>
            <w:r>
              <w:rPr>
                <w:rFonts w:ascii="仿宋" w:eastAsia="仿宋" w:hAnsi="仿宋" w:cs="Arial"/>
              </w:rPr>
              <w:t>(</w:t>
            </w:r>
            <w:r w:rsidRPr="00842A20">
              <w:rPr>
                <w:rFonts w:ascii="仿宋" w:eastAsia="仿宋" w:hAnsi="仿宋" w:cs="Arial"/>
              </w:rPr>
              <w:t>2.81%)</w:t>
            </w:r>
          </w:p>
        </w:tc>
        <w:tc>
          <w:tcPr>
            <w:tcW w:w="1275" w:type="dxa"/>
            <w:tcBorders>
              <w:right w:val="single" w:sz="4" w:space="0" w:color="D9D9D9"/>
            </w:tcBorders>
          </w:tcPr>
          <w:p w:rsidR="00842A20" w:rsidRPr="00842A20" w:rsidRDefault="00842A20" w:rsidP="00842A20">
            <w:pPr>
              <w:jc w:val="center"/>
              <w:rPr>
                <w:rFonts w:ascii="仿宋" w:eastAsia="仿宋" w:hAnsi="仿宋" w:cs="Arial"/>
              </w:rPr>
            </w:pPr>
            <w:r w:rsidRPr="00842A20">
              <w:rPr>
                <w:rFonts w:ascii="仿宋" w:eastAsia="仿宋" w:hAnsi="仿宋" w:cs="Arial"/>
              </w:rPr>
              <w:t>6.05%</w:t>
            </w:r>
          </w:p>
        </w:tc>
      </w:tr>
      <w:tr w:rsidR="00842A20" w:rsidRPr="00C62D3F" w:rsidTr="00383885">
        <w:trPr>
          <w:trHeight w:val="185"/>
        </w:trPr>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传媒</w:t>
            </w:r>
          </w:p>
        </w:tc>
        <w:tc>
          <w:tcPr>
            <w:tcW w:w="113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3.35%</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14.34%</w:t>
            </w:r>
          </w:p>
        </w:tc>
        <w:tc>
          <w:tcPr>
            <w:tcW w:w="518" w:type="dxa"/>
            <w:vMerge w:val="restart"/>
            <w:tcBorders>
              <w:top w:val="nil"/>
              <w:left w:val="single" w:sz="4" w:space="0" w:color="D9D9D9"/>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电气设备</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3.24%)</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9.37%</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轻工制造</w:t>
            </w:r>
          </w:p>
        </w:tc>
        <w:tc>
          <w:tcPr>
            <w:tcW w:w="1134" w:type="dxa"/>
          </w:tcPr>
          <w:p w:rsidR="00842A20" w:rsidRPr="00842A20" w:rsidRDefault="00842A20" w:rsidP="00842A20">
            <w:pPr>
              <w:widowControl/>
              <w:jc w:val="center"/>
              <w:rPr>
                <w:rFonts w:ascii="仿宋" w:eastAsia="仿宋" w:hAnsi="仿宋" w:cs="Arial"/>
              </w:rPr>
            </w:pPr>
            <w:r w:rsidRPr="00842A20">
              <w:rPr>
                <w:rFonts w:ascii="仿宋" w:eastAsia="仿宋" w:hAnsi="仿宋" w:cs="Arial"/>
              </w:rPr>
              <w:t>0.47%</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11.20%</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汽车</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3.43%)</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7.64%</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休闲服务</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0.31%)</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10.36%</w:t>
            </w:r>
          </w:p>
        </w:tc>
        <w:tc>
          <w:tcPr>
            <w:tcW w:w="518" w:type="dxa"/>
            <w:tcBorders>
              <w:top w:val="nil"/>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家用电器</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3.59%)</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10.63%</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纺织服装</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0.53%)</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8.60%</w:t>
            </w:r>
          </w:p>
        </w:tc>
        <w:tc>
          <w:tcPr>
            <w:tcW w:w="518" w:type="dxa"/>
            <w:tcBorders>
              <w:top w:val="nil"/>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房地产</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4.07%)</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8.45%</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电子</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1.19%)</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11.71%</w:t>
            </w:r>
          </w:p>
        </w:tc>
        <w:tc>
          <w:tcPr>
            <w:tcW w:w="518" w:type="dxa"/>
            <w:vMerge w:val="restart"/>
            <w:tcBorders>
              <w:top w:val="nil"/>
              <w:left w:val="single" w:sz="4" w:space="0" w:color="D9D9D9"/>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有色金属</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4.57%)</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7.79%</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通信</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1.26%)</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8.54%</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农林牧渔</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4.64%)</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10.86%</w:t>
            </w:r>
          </w:p>
        </w:tc>
      </w:tr>
      <w:tr w:rsidR="00842A20" w:rsidRPr="00C62D3F" w:rsidTr="0006381E">
        <w:trPr>
          <w:trHeight w:val="284"/>
        </w:trPr>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非</w:t>
            </w:r>
            <w:proofErr w:type="gramStart"/>
            <w:r w:rsidRPr="00842A20">
              <w:rPr>
                <w:rFonts w:ascii="仿宋" w:eastAsia="仿宋" w:hAnsi="仿宋" w:cs="Arial"/>
              </w:rPr>
              <w:t>银金融</w:t>
            </w:r>
            <w:proofErr w:type="gramEnd"/>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1.30%)</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13.19%</w:t>
            </w:r>
          </w:p>
        </w:tc>
        <w:tc>
          <w:tcPr>
            <w:tcW w:w="518" w:type="dxa"/>
            <w:vMerge w:val="restart"/>
            <w:tcBorders>
              <w:top w:val="nil"/>
              <w:left w:val="single" w:sz="4" w:space="0" w:color="D9D9D9"/>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国防军工</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4.73%)</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11.35%</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医药生物</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1.81%)</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7.43%</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建筑装饰</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4.73%)</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8.79%</w:t>
            </w:r>
          </w:p>
        </w:tc>
      </w:tr>
      <w:tr w:rsidR="00842A20" w:rsidRPr="00C62D3F" w:rsidTr="0006381E">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商业贸易</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2.06%)</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11.64%</w:t>
            </w:r>
          </w:p>
        </w:tc>
        <w:tc>
          <w:tcPr>
            <w:tcW w:w="518" w:type="dxa"/>
            <w:vMerge w:val="restart"/>
            <w:tcBorders>
              <w:top w:val="nil"/>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化工</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4.84%)</w:t>
            </w:r>
          </w:p>
        </w:tc>
        <w:tc>
          <w:tcPr>
            <w:tcW w:w="1275"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3.99%</w:t>
            </w:r>
          </w:p>
        </w:tc>
      </w:tr>
      <w:tr w:rsidR="00842A20" w:rsidRPr="00C62D3F" w:rsidTr="004B7E6A">
        <w:trPr>
          <w:trHeight w:val="251"/>
        </w:trPr>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综合</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2.38%)</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7.36%</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bottom w:val="single" w:sz="4" w:space="0" w:color="000000"/>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采掘</w:t>
            </w:r>
          </w:p>
        </w:tc>
        <w:tc>
          <w:tcPr>
            <w:tcW w:w="1134" w:type="dxa"/>
            <w:tcBorders>
              <w:bottom w:val="single" w:sz="4" w:space="0" w:color="000000"/>
            </w:tcBorders>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5.20%)</w:t>
            </w:r>
          </w:p>
        </w:tc>
        <w:tc>
          <w:tcPr>
            <w:tcW w:w="1275" w:type="dxa"/>
            <w:tcBorders>
              <w:bottom w:val="single" w:sz="4" w:space="0" w:color="000000"/>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5.22%</w:t>
            </w:r>
          </w:p>
        </w:tc>
      </w:tr>
      <w:tr w:rsidR="00842A20" w:rsidRPr="00C62D3F" w:rsidTr="004B7E6A">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机械设备</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2.50%)</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9.16%</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bottom w:val="single" w:sz="4" w:space="0" w:color="000000"/>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交通运输</w:t>
            </w:r>
          </w:p>
        </w:tc>
        <w:tc>
          <w:tcPr>
            <w:tcW w:w="1134" w:type="dxa"/>
            <w:tcBorders>
              <w:bottom w:val="single" w:sz="4" w:space="0" w:color="000000"/>
            </w:tcBorders>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5.55%)</w:t>
            </w:r>
          </w:p>
        </w:tc>
        <w:tc>
          <w:tcPr>
            <w:tcW w:w="1275" w:type="dxa"/>
            <w:tcBorders>
              <w:bottom w:val="single" w:sz="4" w:space="0" w:color="000000"/>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5.35%</w:t>
            </w:r>
          </w:p>
        </w:tc>
      </w:tr>
      <w:tr w:rsidR="00842A20" w:rsidRPr="00C62D3F" w:rsidTr="004B7E6A">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建筑材料</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2.75%)</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7.36%</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银行</w:t>
            </w:r>
          </w:p>
        </w:tc>
        <w:tc>
          <w:tcPr>
            <w:tcW w:w="1134" w:type="dxa"/>
            <w:tcBorders>
              <w:top w:val="single" w:sz="4" w:space="0" w:color="000000"/>
              <w:bottom w:val="single" w:sz="4" w:space="0" w:color="000000"/>
            </w:tcBorders>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5.71%)</w:t>
            </w:r>
          </w:p>
        </w:tc>
        <w:tc>
          <w:tcPr>
            <w:tcW w:w="1275" w:type="dxa"/>
            <w:tcBorders>
              <w:top w:val="single" w:sz="4" w:space="0" w:color="000000"/>
              <w:bottom w:val="single" w:sz="4" w:space="0" w:color="000000"/>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2.44%</w:t>
            </w:r>
          </w:p>
        </w:tc>
      </w:tr>
      <w:tr w:rsidR="00842A20" w:rsidRPr="00C62D3F" w:rsidTr="005F67E3">
        <w:tc>
          <w:tcPr>
            <w:tcW w:w="1984" w:type="dxa"/>
            <w:tcBorders>
              <w:lef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钢铁</w:t>
            </w:r>
          </w:p>
        </w:tc>
        <w:tc>
          <w:tcPr>
            <w:tcW w:w="1134" w:type="dxa"/>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2.77%)</w:t>
            </w:r>
          </w:p>
        </w:tc>
        <w:tc>
          <w:tcPr>
            <w:tcW w:w="1134" w:type="dxa"/>
            <w:tcBorders>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7.23%</w:t>
            </w:r>
          </w:p>
        </w:tc>
        <w:tc>
          <w:tcPr>
            <w:tcW w:w="518" w:type="dxa"/>
            <w:vMerge/>
            <w:tcBorders>
              <w:left w:val="single" w:sz="4" w:space="0" w:color="D9D9D9"/>
              <w:bottom w:val="nil"/>
              <w:right w:val="single" w:sz="4" w:space="0" w:color="D9D9D9"/>
            </w:tcBorders>
            <w:vAlign w:val="center"/>
          </w:tcPr>
          <w:p w:rsidR="00842A20" w:rsidRPr="00567F50" w:rsidRDefault="00842A20" w:rsidP="00842A20">
            <w:pPr>
              <w:widowControl/>
              <w:jc w:val="center"/>
              <w:rPr>
                <w:rFonts w:ascii="仿宋" w:eastAsia="仿宋" w:hAnsi="仿宋" w:cs="Arial"/>
              </w:rPr>
            </w:pPr>
          </w:p>
        </w:tc>
        <w:tc>
          <w:tcPr>
            <w:tcW w:w="1994" w:type="dxa"/>
            <w:tcBorders>
              <w:left w:val="single" w:sz="4" w:space="0" w:color="D9D9D9"/>
              <w:bottom w:val="single" w:sz="4" w:space="0" w:color="000000"/>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公用事业</w:t>
            </w:r>
          </w:p>
        </w:tc>
        <w:tc>
          <w:tcPr>
            <w:tcW w:w="1134" w:type="dxa"/>
            <w:tcBorders>
              <w:bottom w:val="single" w:sz="4" w:space="0" w:color="000000"/>
            </w:tcBorders>
          </w:tcPr>
          <w:p w:rsidR="00842A20" w:rsidRPr="00842A20" w:rsidRDefault="00842A20" w:rsidP="00842A20">
            <w:pPr>
              <w:widowControl/>
              <w:jc w:val="center"/>
              <w:rPr>
                <w:rFonts w:ascii="仿宋" w:eastAsia="仿宋" w:hAnsi="仿宋" w:cs="Arial"/>
              </w:rPr>
            </w:pPr>
            <w:r>
              <w:rPr>
                <w:rFonts w:ascii="仿宋" w:eastAsia="仿宋" w:hAnsi="仿宋" w:cs="Arial"/>
              </w:rPr>
              <w:t>(</w:t>
            </w:r>
            <w:r w:rsidRPr="00842A20">
              <w:rPr>
                <w:rFonts w:ascii="仿宋" w:eastAsia="仿宋" w:hAnsi="仿宋" w:cs="Arial"/>
              </w:rPr>
              <w:t>6.43%)</w:t>
            </w:r>
          </w:p>
        </w:tc>
        <w:tc>
          <w:tcPr>
            <w:tcW w:w="1275" w:type="dxa"/>
            <w:tcBorders>
              <w:bottom w:val="single" w:sz="4" w:space="0" w:color="000000"/>
              <w:right w:val="single" w:sz="4" w:space="0" w:color="D9D9D9"/>
            </w:tcBorders>
          </w:tcPr>
          <w:p w:rsidR="00842A20" w:rsidRPr="00842A20" w:rsidRDefault="00842A20" w:rsidP="00842A20">
            <w:pPr>
              <w:widowControl/>
              <w:jc w:val="center"/>
              <w:rPr>
                <w:rFonts w:ascii="仿宋" w:eastAsia="仿宋" w:hAnsi="仿宋" w:cs="Arial"/>
              </w:rPr>
            </w:pPr>
            <w:r w:rsidRPr="00842A20">
              <w:rPr>
                <w:rFonts w:ascii="仿宋" w:eastAsia="仿宋" w:hAnsi="仿宋" w:cs="Arial"/>
              </w:rPr>
              <w:t>8.40%</w:t>
            </w:r>
          </w:p>
        </w:tc>
      </w:tr>
    </w:tbl>
    <w:p w:rsidR="008F7C33" w:rsidRDefault="008F7C33">
      <w:pPr>
        <w:widowControl/>
        <w:jc w:val="left"/>
        <w:rPr>
          <w:rFonts w:ascii="仿宋" w:eastAsia="仿宋" w:hAnsi="仿宋"/>
          <w:b/>
          <w:sz w:val="24"/>
          <w:szCs w:val="24"/>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842A20" w:rsidP="00D07EE2">
      <w:pPr>
        <w:widowControl/>
        <w:ind w:leftChars="200" w:left="420" w:firstLineChars="882" w:firstLine="1852"/>
        <w:jc w:val="left"/>
        <w:rPr>
          <w:rFonts w:ascii="仿宋" w:eastAsia="仿宋" w:hAnsi="仿宋" w:hint="eastAsia"/>
          <w:b/>
          <w:sz w:val="24"/>
          <w:szCs w:val="24"/>
        </w:rPr>
      </w:pPr>
      <w:r>
        <w:rPr>
          <w:noProof/>
        </w:rPr>
        <w:drawing>
          <wp:inline distT="0" distB="0" distL="0" distR="0" wp14:anchorId="3DBFCF45" wp14:editId="0A3A8D05">
            <wp:extent cx="3795869" cy="252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5869" cy="2520000"/>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842A20">
        <w:rPr>
          <w:rFonts w:ascii="仿宋" w:eastAsia="仿宋" w:hAnsi="仿宋"/>
          <w:color w:val="7F7F7F"/>
          <w:sz w:val="18"/>
          <w:szCs w:val="18"/>
        </w:rPr>
        <w:t>50202</w:t>
      </w:r>
      <w:r w:rsidR="00A17215" w:rsidRPr="00567F50">
        <w:rPr>
          <w:rFonts w:ascii="仿宋" w:eastAsia="仿宋" w:hAnsi="仿宋" w:hint="eastAsia"/>
          <w:color w:val="7F7F7F"/>
          <w:sz w:val="18"/>
          <w:szCs w:val="18"/>
        </w:rPr>
        <w:t>-201</w:t>
      </w:r>
      <w:r w:rsidR="00842A20">
        <w:rPr>
          <w:rFonts w:ascii="仿宋" w:eastAsia="仿宋" w:hAnsi="仿宋"/>
          <w:color w:val="7F7F7F"/>
          <w:sz w:val="18"/>
          <w:szCs w:val="18"/>
        </w:rPr>
        <w:t>50206</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CD4C68">
        <w:rPr>
          <w:rFonts w:ascii="仿宋" w:eastAsia="仿宋" w:hAnsi="仿宋"/>
          <w:b/>
          <w:color w:val="082F6B"/>
          <w:sz w:val="36"/>
          <w:szCs w:val="36"/>
        </w:rPr>
        <w:t>202</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CD4C68">
        <w:rPr>
          <w:rFonts w:ascii="仿宋" w:eastAsia="仿宋" w:hAnsi="仿宋"/>
          <w:b/>
          <w:color w:val="082F6B"/>
          <w:sz w:val="36"/>
          <w:szCs w:val="36"/>
        </w:rPr>
        <w:t>206</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Pr="00803A26"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CD4C68" w:rsidRPr="00CD4C68">
        <w:rPr>
          <w:rFonts w:ascii="仿宋" w:eastAsia="仿宋" w:hAnsi="仿宋" w:hint="eastAsia"/>
          <w:sz w:val="24"/>
          <w:szCs w:val="24"/>
        </w:rPr>
        <w:t>除春节错位影响，1月外贸情况并不乐观，此前经济景气指数显示自9月开始的放松带来的经济弱复苏可能周期性见顶，在政策维持现状的情况下，</w:t>
      </w:r>
      <w:r w:rsidR="00CD4C68" w:rsidRPr="00CD4C68">
        <w:rPr>
          <w:rFonts w:ascii="仿宋" w:eastAsia="仿宋" w:hAnsi="仿宋" w:hint="eastAsia"/>
          <w:sz w:val="24"/>
          <w:szCs w:val="24"/>
        </w:rPr>
        <w:lastRenderedPageBreak/>
        <w:t>1、2月经济增长大概率在去年年末位置震荡。考虑到经济不好可能带来的春节后失业隐忧，目前的经济增长坏消息加大了政策全面放松的可能。本周全面及</w:t>
      </w:r>
      <w:proofErr w:type="gramStart"/>
      <w:r w:rsidR="00CD4C68" w:rsidRPr="00CD4C68">
        <w:rPr>
          <w:rFonts w:ascii="仿宋" w:eastAsia="仿宋" w:hAnsi="仿宋" w:hint="eastAsia"/>
          <w:sz w:val="24"/>
          <w:szCs w:val="24"/>
        </w:rPr>
        <w:t>定向降准也</w:t>
      </w:r>
      <w:proofErr w:type="gramEnd"/>
      <w:r w:rsidR="00CD4C68" w:rsidRPr="00CD4C68">
        <w:rPr>
          <w:rFonts w:ascii="仿宋" w:eastAsia="仿宋" w:hAnsi="仿宋" w:hint="eastAsia"/>
          <w:sz w:val="24"/>
          <w:szCs w:val="24"/>
        </w:rPr>
        <w:t>印证这一判断。价格面，国内通</w:t>
      </w:r>
      <w:proofErr w:type="gramStart"/>
      <w:r w:rsidR="00CD4C68" w:rsidRPr="00CD4C68">
        <w:rPr>
          <w:rFonts w:ascii="仿宋" w:eastAsia="仿宋" w:hAnsi="仿宋" w:hint="eastAsia"/>
          <w:sz w:val="24"/>
          <w:szCs w:val="24"/>
        </w:rPr>
        <w:t>缩风险</w:t>
      </w:r>
      <w:proofErr w:type="gramEnd"/>
      <w:r w:rsidR="00CD4C68" w:rsidRPr="00CD4C68">
        <w:rPr>
          <w:rFonts w:ascii="仿宋" w:eastAsia="仿宋" w:hAnsi="仿宋" w:hint="eastAsia"/>
          <w:sz w:val="24"/>
          <w:szCs w:val="24"/>
        </w:rPr>
        <w:t>持续。周内人民币兑美元中间价出现小幅升值，但即期和远期贬值压力继续小幅上升。流动性方面，期</w:t>
      </w:r>
      <w:proofErr w:type="gramStart"/>
      <w:r w:rsidR="00CD4C68" w:rsidRPr="00CD4C68">
        <w:rPr>
          <w:rFonts w:ascii="仿宋" w:eastAsia="仿宋" w:hAnsi="仿宋" w:hint="eastAsia"/>
          <w:sz w:val="24"/>
          <w:szCs w:val="24"/>
        </w:rPr>
        <w:t>初缴准令</w:t>
      </w:r>
      <w:proofErr w:type="gramEnd"/>
      <w:r w:rsidR="00CD4C68" w:rsidRPr="00CD4C68">
        <w:rPr>
          <w:rFonts w:ascii="仿宋" w:eastAsia="仿宋" w:hAnsi="仿宋" w:hint="eastAsia"/>
          <w:sz w:val="24"/>
          <w:szCs w:val="24"/>
        </w:rPr>
        <w:t>月末银行间流动性紧张程度小幅增加，实体经济融资利率继续抬升。</w:t>
      </w:r>
    </w:p>
    <w:p w:rsidR="00D17564"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CD4C68" w:rsidRPr="00CD4C68">
        <w:rPr>
          <w:rFonts w:ascii="仿宋" w:eastAsia="仿宋" w:hAnsi="仿宋" w:hint="eastAsia"/>
          <w:sz w:val="24"/>
          <w:szCs w:val="24"/>
        </w:rPr>
        <w:t>美国就业数据的好转令年中首次加息预期升温。欧元区宽松持续，多国央行继续采取降息及货币贬值策略，希腊问题出现转机。</w:t>
      </w:r>
    </w:p>
    <w:p w:rsidR="00EA4F19" w:rsidRPr="00CD4C68"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CD4C68" w:rsidRPr="00CD4C68">
        <w:rPr>
          <w:rFonts w:ascii="仿宋" w:eastAsia="仿宋" w:hAnsi="仿宋" w:hint="eastAsia"/>
          <w:sz w:val="24"/>
          <w:szCs w:val="24"/>
        </w:rPr>
        <w:t>央行周二开展了7天350亿元和28天550亿元逆回购操作，中标利率为3.85%和4.80%，</w:t>
      </w:r>
      <w:proofErr w:type="gramStart"/>
      <w:r w:rsidR="00CD4C68" w:rsidRPr="00CD4C68">
        <w:rPr>
          <w:rFonts w:ascii="仿宋" w:eastAsia="仿宋" w:hAnsi="仿宋" w:hint="eastAsia"/>
          <w:sz w:val="24"/>
          <w:szCs w:val="24"/>
        </w:rPr>
        <w:t>同日有</w:t>
      </w:r>
      <w:proofErr w:type="gramEnd"/>
      <w:r w:rsidR="00CD4C68" w:rsidRPr="00CD4C68">
        <w:rPr>
          <w:rFonts w:ascii="仿宋" w:eastAsia="仿宋" w:hAnsi="仿宋" w:hint="eastAsia"/>
          <w:sz w:val="24"/>
          <w:szCs w:val="24"/>
        </w:rPr>
        <w:t>300</w:t>
      </w:r>
      <w:r w:rsidR="00CD4C68">
        <w:rPr>
          <w:rFonts w:ascii="仿宋" w:eastAsia="仿宋" w:hAnsi="仿宋" w:hint="eastAsia"/>
          <w:sz w:val="24"/>
          <w:szCs w:val="24"/>
        </w:rPr>
        <w:t>亿元逆回购到期；并在</w:t>
      </w:r>
      <w:r w:rsidR="00CD4C68" w:rsidRPr="00CD4C68">
        <w:rPr>
          <w:rFonts w:ascii="仿宋" w:eastAsia="仿宋" w:hAnsi="仿宋" w:hint="eastAsia"/>
          <w:sz w:val="24"/>
          <w:szCs w:val="24"/>
        </w:rPr>
        <w:t>周四进行了28天300亿元逆回购操作，中标利率为4.80%；因此，</w:t>
      </w:r>
      <w:r w:rsidR="00CD4C68">
        <w:rPr>
          <w:rFonts w:ascii="仿宋" w:eastAsia="仿宋" w:hAnsi="仿宋" w:hint="eastAsia"/>
          <w:sz w:val="24"/>
          <w:szCs w:val="24"/>
        </w:rPr>
        <w:t>本</w:t>
      </w:r>
      <w:r w:rsidR="00CD4C68" w:rsidRPr="00CD4C68">
        <w:rPr>
          <w:rFonts w:ascii="仿宋" w:eastAsia="仿宋" w:hAnsi="仿宋" w:hint="eastAsia"/>
          <w:sz w:val="24"/>
          <w:szCs w:val="24"/>
        </w:rPr>
        <w:t>周央行在公开市场净投放资金合计为900亿元。资金面在</w:t>
      </w:r>
      <w:r w:rsidR="00CD4C68">
        <w:rPr>
          <w:rFonts w:ascii="仿宋" w:eastAsia="仿宋" w:hAnsi="仿宋" w:hint="eastAsia"/>
          <w:sz w:val="24"/>
          <w:szCs w:val="24"/>
        </w:rPr>
        <w:t>本</w:t>
      </w:r>
      <w:r w:rsidR="00CD4C68" w:rsidRPr="00CD4C68">
        <w:rPr>
          <w:rFonts w:ascii="仿宋" w:eastAsia="仿宋" w:hAnsi="仿宋" w:hint="eastAsia"/>
          <w:sz w:val="24"/>
          <w:szCs w:val="24"/>
        </w:rPr>
        <w:t>周一受到转债申购冻结资金影响，呈现紧张局面，但随着市场传言央行对商行的SLO续作、以及公开市场逆回购操作和下调准备金率的影响，资金面在下半周维持较为宽松的局面。</w:t>
      </w:r>
    </w:p>
    <w:p w:rsidR="00EA4F19" w:rsidRPr="00FE2553"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E770EA">
        <w:rPr>
          <w:rFonts w:ascii="仿宋" w:eastAsia="仿宋" w:hAnsi="仿宋" w:hint="eastAsia"/>
          <w:sz w:val="24"/>
          <w:szCs w:val="24"/>
        </w:rPr>
        <w:t>本</w:t>
      </w:r>
      <w:r w:rsidR="00CD4C68" w:rsidRPr="00CD4C68">
        <w:rPr>
          <w:rFonts w:ascii="仿宋" w:eastAsia="仿宋" w:hAnsi="仿宋" w:hint="eastAsia"/>
          <w:sz w:val="24"/>
          <w:szCs w:val="24"/>
        </w:rPr>
        <w:t>周债券收益率整体下行。具体而言，国债方面，3个月品种小幅下行3BP左右，1年期品种收益率基本持平，而3年、5年、7年以及10年期品种下降幅度集中在5~10BP之间；政策性</w:t>
      </w:r>
      <w:proofErr w:type="gramStart"/>
      <w:r w:rsidR="00CD4C68" w:rsidRPr="00CD4C68">
        <w:rPr>
          <w:rFonts w:ascii="仿宋" w:eastAsia="仿宋" w:hAnsi="仿宋" w:hint="eastAsia"/>
          <w:sz w:val="24"/>
          <w:szCs w:val="24"/>
        </w:rPr>
        <w:t>金融债各期限</w:t>
      </w:r>
      <w:proofErr w:type="gramEnd"/>
      <w:r w:rsidR="00CD4C68" w:rsidRPr="00CD4C68">
        <w:rPr>
          <w:rFonts w:ascii="仿宋" w:eastAsia="仿宋" w:hAnsi="仿宋" w:hint="eastAsia"/>
          <w:sz w:val="24"/>
          <w:szCs w:val="24"/>
        </w:rPr>
        <w:t>品种收益率下行幅度一致，均在10个BP左右；</w:t>
      </w:r>
      <w:proofErr w:type="gramStart"/>
      <w:r w:rsidR="00CD4C68" w:rsidRPr="00CD4C68">
        <w:rPr>
          <w:rFonts w:ascii="仿宋" w:eastAsia="仿宋" w:hAnsi="仿宋" w:hint="eastAsia"/>
          <w:sz w:val="24"/>
          <w:szCs w:val="24"/>
        </w:rPr>
        <w:t>央票收益率</w:t>
      </w:r>
      <w:proofErr w:type="gramEnd"/>
      <w:r w:rsidR="00CD4C68" w:rsidRPr="00CD4C68">
        <w:rPr>
          <w:rFonts w:ascii="仿宋" w:eastAsia="仿宋" w:hAnsi="仿宋" w:hint="eastAsia"/>
          <w:sz w:val="24"/>
          <w:szCs w:val="24"/>
        </w:rPr>
        <w:t>方面，7天品种收益率上行27BP左右，14天品种收益率下行16BP，1个月品种收益率则下行在8BP左右，2个月品种收益率基本持平，3个月、6个月以及9个月品种下行幅度在7~10BP之间，1年期品种小幅下行2BP，2年以及3年期品种下行在5BP左右。</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834" w:type="dxa"/>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2C148D">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2C148D">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7824AA" w:rsidRPr="00567F50" w:rsidTr="0086631E">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0.7677</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2.9885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-1.59%</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10.09%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19.42%</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7.78%</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274.25%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15.14%</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1.347</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3.128</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-3.16%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26.90%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41.05%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32.78%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277.01%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16.57%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3.3713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3.8923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-2.63%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10.47%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17.54%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12.02%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302.26%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18.27%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0.8272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0.8422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-1.91%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9.45%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17.62%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10.38%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-16.13%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-2.32%</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1.0005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1.4825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-0.24%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9.04%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17.82%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58.06%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6.90%</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1.0019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1.4499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-0.24%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8.80%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17.31%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53.39%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6.44%</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1.573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1.833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0.45%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1.01%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6.74%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88.35%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10.30%</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1.3704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1.4744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-1.88%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8.43%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15.97%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18.96%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49.15%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7.10%</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0.972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1.082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-1.22%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39.86%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47.05%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63.36%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8.17%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1.47%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1.085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1.085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-1.18%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37.87%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44.47%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59.56%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8.50%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1.53%</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1.17</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1.185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41.30%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53.14%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48.86%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18.63%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3.78%</w:t>
            </w:r>
          </w:p>
        </w:tc>
      </w:tr>
      <w:tr w:rsidR="007824AA" w:rsidRPr="00567F50" w:rsidTr="0086631E">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1.027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1.027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-1.63%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13.86%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23.59%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28.70%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2.70%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0.65%</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1.141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1.252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8.98%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15.14%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26.78%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6.07%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1.479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1.479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-2.18%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8.91%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19.85%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25.55%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47.90%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11.38%</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1.279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1.279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-2.44%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21.46%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29.85%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45.01%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27.90%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7.56%</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1.237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1.475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-0.80%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12.05%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23.05%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34.35%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51.95%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13.23%</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824AA" w:rsidRPr="00567F50" w:rsidRDefault="007824AA" w:rsidP="007824AA">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1.218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1.453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-0.81%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11.85%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22.65%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33.65%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49.52%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12.69%</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1.25</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1.25</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-2.27%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21.12%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28.73%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42.53%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25.00%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6.86%</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1.576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1.716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-1.87%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22.86%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7824AA" w:rsidRPr="00412CE2" w:rsidRDefault="007824AA" w:rsidP="007824AA">
            <w:pPr>
              <w:jc w:val="center"/>
            </w:pPr>
            <w:r w:rsidRPr="00412CE2">
              <w:t>36.91%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44.96%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58.25%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16.47%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1.11</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1.133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-0.54%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-9.39%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7824AA" w:rsidRPr="00412CE2" w:rsidRDefault="007824AA" w:rsidP="007824AA">
            <w:pPr>
              <w:jc w:val="center"/>
            </w:pPr>
            <w:r w:rsidRPr="00412CE2">
              <w:t>-11.06%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-7.19%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13.08%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4.64%</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1.115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1.276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-1.15%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10.47%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15.25%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17.97%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30.02%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10.48%</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1.608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1.608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-1.59%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33.44%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54.32%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58.58%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60.80%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20.81%</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1.418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1.457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-2.14%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19.86%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30.45%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39.29%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47.10%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18.72%</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1.053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1.105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0.10%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3.80%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10.26%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10.58%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4.83%</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1.04</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1.091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3.55%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9.61%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9.16%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4.19%</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1.045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1.107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3.95%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9.87%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7824AA" w:rsidRPr="00412CE2" w:rsidRDefault="007824AA" w:rsidP="007824AA">
            <w:pPr>
              <w:jc w:val="center"/>
            </w:pPr>
            <w:r w:rsidRPr="00412CE2">
              <w:t>10.86%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5.88%</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1.039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1.098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-1.49%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3.67%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9.28%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7824AA" w:rsidRPr="00412CE2" w:rsidRDefault="007824AA" w:rsidP="007824AA">
            <w:pPr>
              <w:jc w:val="center"/>
            </w:pPr>
            <w:r w:rsidRPr="00412CE2">
              <w:t>9.93%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5.39%</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1.033</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1.235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-1.05%</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9.74%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15.11%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18.62%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24.90%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13.23%</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1.212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1.212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-2.18%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9.49%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15.87%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20.36%</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21.20%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12.17%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1.187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1.187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-0.67%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3.58%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10.42%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16.60%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18.70%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12.24%</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1.179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1.179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-0.59%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3.51%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10.19%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16.04%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17.90%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11.73%</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1.289</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1.289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-2.05%</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10.74%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18.80%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27.62%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28.90%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19.51%</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1.116</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1.191</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-0.89%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9.53%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14.35%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18.07%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19.72%</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17.47%</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1.047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1.087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-0.19%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0.96%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5.55%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8.71%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8.82%</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8.60%</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1.045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1.085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-0.19%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0.87%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5.35%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8.51%</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8.62%</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8.40%</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1.195</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1.195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-2.37%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14.57%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19.02%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19.50%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26.89%</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1.109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1.189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-1.51%</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9.23%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17.77%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19.06%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27.75%</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jc w:val="center"/>
            </w:pPr>
            <w:r w:rsidRPr="00567F50">
              <w:rPr>
                <w:rFonts w:ascii="仿宋" w:eastAsia="仿宋" w:hAnsi="仿宋" w:cs="Arial" w:hint="eastAsia"/>
                <w:b/>
                <w:color w:val="002854"/>
                <w:kern w:val="0"/>
                <w:sz w:val="20"/>
              </w:rPr>
              <w:t>交银丰盈</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1.018</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1.038</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0.39%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-0.66%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3.81%</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7.92%</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567F50" w:rsidRDefault="007824AA" w:rsidP="007824AA">
            <w:pPr>
              <w:jc w:val="center"/>
              <w:rPr>
                <w:rFonts w:ascii="仿宋" w:eastAsia="仿宋" w:hAnsi="仿宋" w:cs="Arial"/>
                <w:b/>
                <w:color w:val="002854"/>
                <w:kern w:val="0"/>
                <w:sz w:val="20"/>
              </w:rPr>
            </w:pPr>
            <w:hyperlink r:id="rId11" w:tgtFrame="_blank" w:history="1">
              <w:r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0.995</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0.995</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0.30%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-0.50%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-3.39%</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824AA" w:rsidRPr="00567F50" w:rsidRDefault="007824AA" w:rsidP="007824AA">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7824AA" w:rsidRPr="00412CE2" w:rsidRDefault="007824AA" w:rsidP="007824AA">
            <w:pPr>
              <w:jc w:val="center"/>
            </w:pPr>
            <w:r w:rsidRPr="00412CE2">
              <w:t>0.994</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0.994</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0.30%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-0.60%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7824AA" w:rsidRPr="00412CE2" w:rsidRDefault="007824AA" w:rsidP="007824AA">
            <w:pPr>
              <w:jc w:val="center"/>
            </w:pPr>
            <w:r w:rsidRPr="00412CE2">
              <w:t>-4.06%</w:t>
            </w:r>
          </w:p>
        </w:tc>
      </w:tr>
      <w:tr w:rsidR="007824AA" w:rsidRPr="00567F50" w:rsidTr="0086631E">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824AA" w:rsidRPr="00777819" w:rsidRDefault="007824AA" w:rsidP="007824AA">
            <w:pPr>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w:t>
            </w:r>
            <w:r>
              <w:rPr>
                <w:rFonts w:ascii="仿宋" w:eastAsia="仿宋" w:hAnsi="仿宋" w:cs="Arial"/>
                <w:b/>
                <w:color w:val="002854"/>
                <w:kern w:val="0"/>
                <w:sz w:val="20"/>
              </w:rPr>
              <w:t>丰享</w:t>
            </w:r>
            <w:proofErr w:type="gramEnd"/>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7824AA" w:rsidRPr="00412CE2" w:rsidRDefault="007824AA" w:rsidP="007824AA">
            <w:pPr>
              <w:jc w:val="center"/>
            </w:pPr>
            <w:r w:rsidRPr="00412CE2">
              <w:t>0.998</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0.998</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824AA" w:rsidRPr="00412CE2" w:rsidRDefault="007824AA" w:rsidP="007824AA">
            <w:pPr>
              <w:jc w:val="center"/>
            </w:pPr>
            <w:r w:rsidRPr="00412CE2">
              <w:t>-3.27%</w:t>
            </w:r>
          </w:p>
        </w:tc>
      </w:tr>
      <w:tr w:rsidR="005E6CAD" w:rsidRPr="00567F50" w:rsidTr="002C148D">
        <w:trPr>
          <w:trHeight w:val="255"/>
        </w:trPr>
        <w:tc>
          <w:tcPr>
            <w:tcW w:w="2161" w:type="dxa"/>
            <w:gridSpan w:val="2"/>
            <w:tcBorders>
              <w:top w:val="single" w:sz="4" w:space="0" w:color="AA9678"/>
            </w:tcBorders>
            <w:shd w:val="clear" w:color="auto" w:fill="auto"/>
            <w:noWrap/>
          </w:tcPr>
          <w:p w:rsidR="005E6CAD" w:rsidRPr="00567F50" w:rsidRDefault="005E6CAD" w:rsidP="002C148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9273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12"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12"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12"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12"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7824AA" w:rsidRPr="00567F50" w:rsidTr="009273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pct5" w:color="auto" w:fill="auto"/>
            <w:noWrap/>
            <w:vAlign w:val="center"/>
            <w:hideMark/>
          </w:tcPr>
          <w:p w:rsidR="007824AA" w:rsidRPr="00567F50" w:rsidRDefault="007824AA" w:rsidP="007824AA">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pct5" w:color="auto" w:fill="auto"/>
            <w:noWrap/>
            <w:vAlign w:val="center"/>
            <w:hideMark/>
          </w:tcPr>
          <w:p w:rsidR="007824AA" w:rsidRPr="007824AA" w:rsidRDefault="007824AA" w:rsidP="007824AA">
            <w:pPr>
              <w:jc w:val="center"/>
            </w:pPr>
            <w:r w:rsidRPr="007824AA">
              <w:rPr>
                <w:rFonts w:hint="eastAsia"/>
              </w:rPr>
              <w:t xml:space="preserve">1.4975 </w:t>
            </w:r>
          </w:p>
        </w:tc>
        <w:tc>
          <w:tcPr>
            <w:tcW w:w="1736" w:type="dxa"/>
            <w:gridSpan w:val="3"/>
            <w:tcBorders>
              <w:top w:val="single" w:sz="12" w:space="0" w:color="AA9678"/>
              <w:left w:val="single" w:sz="2" w:space="0" w:color="001E3E"/>
              <w:bottom w:val="single" w:sz="2" w:space="0" w:color="001E3E"/>
              <w:right w:val="single" w:sz="4" w:space="0" w:color="FFFFFF"/>
            </w:tcBorders>
            <w:shd w:val="pct5" w:color="auto" w:fill="auto"/>
            <w:noWrap/>
            <w:vAlign w:val="center"/>
            <w:hideMark/>
          </w:tcPr>
          <w:p w:rsidR="007824AA" w:rsidRPr="007824AA" w:rsidRDefault="007824AA" w:rsidP="007824AA">
            <w:pPr>
              <w:jc w:val="center"/>
              <w:rPr>
                <w:rFonts w:hint="eastAsia"/>
              </w:rPr>
            </w:pPr>
            <w:r w:rsidRPr="007824AA">
              <w:rPr>
                <w:rFonts w:hint="eastAsia"/>
              </w:rPr>
              <w:t>4.094 %</w:t>
            </w:r>
          </w:p>
        </w:tc>
        <w:tc>
          <w:tcPr>
            <w:tcW w:w="2428" w:type="dxa"/>
            <w:gridSpan w:val="3"/>
            <w:tcBorders>
              <w:top w:val="single" w:sz="12" w:space="0" w:color="AA9678"/>
              <w:left w:val="single" w:sz="2" w:space="0" w:color="001E3E"/>
              <w:bottom w:val="single" w:sz="2" w:space="0" w:color="001E3E"/>
              <w:right w:val="single" w:sz="4" w:space="0" w:color="FFFFFF"/>
            </w:tcBorders>
            <w:shd w:val="pct5" w:color="auto" w:fill="auto"/>
            <w:vAlign w:val="center"/>
          </w:tcPr>
          <w:p w:rsidR="007824AA" w:rsidRPr="009476C8" w:rsidRDefault="007824AA" w:rsidP="007824AA">
            <w:pPr>
              <w:jc w:val="center"/>
            </w:pPr>
            <w:r w:rsidRPr="002D0CC4">
              <w:rPr>
                <w:rFonts w:hint="eastAsia"/>
              </w:rPr>
              <w:t>--</w:t>
            </w:r>
          </w:p>
        </w:tc>
      </w:tr>
      <w:tr w:rsidR="007824AA" w:rsidRPr="00567F50" w:rsidTr="002C148D">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824AA" w:rsidRPr="007824AA" w:rsidRDefault="007824AA" w:rsidP="007824AA">
            <w:pPr>
              <w:jc w:val="center"/>
            </w:pPr>
            <w:r w:rsidRPr="007824AA">
              <w:rPr>
                <w:rFonts w:hint="eastAsia"/>
              </w:rPr>
              <w:t xml:space="preserve">0.9764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7824AA" w:rsidRPr="007824AA" w:rsidRDefault="007824AA" w:rsidP="007824AA">
            <w:pPr>
              <w:jc w:val="center"/>
              <w:rPr>
                <w:rFonts w:hint="eastAsia"/>
              </w:rPr>
            </w:pPr>
            <w:r w:rsidRPr="007824AA">
              <w:rPr>
                <w:rFonts w:hint="eastAsia"/>
              </w:rPr>
              <w:t>3.606 %</w:t>
            </w:r>
          </w:p>
        </w:tc>
        <w:tc>
          <w:tcPr>
            <w:tcW w:w="2428" w:type="dxa"/>
            <w:gridSpan w:val="3"/>
            <w:tcBorders>
              <w:top w:val="single" w:sz="2" w:space="0" w:color="001E3E"/>
              <w:left w:val="single" w:sz="4" w:space="0" w:color="AA9678"/>
              <w:bottom w:val="single" w:sz="4" w:space="0" w:color="AA9678"/>
            </w:tcBorders>
            <w:vAlign w:val="center"/>
          </w:tcPr>
          <w:p w:rsidR="007824AA" w:rsidRPr="009476C8" w:rsidRDefault="007824AA" w:rsidP="007824AA">
            <w:pPr>
              <w:jc w:val="center"/>
            </w:pPr>
            <w:r w:rsidRPr="002D0CC4">
              <w:rPr>
                <w:rFonts w:hint="eastAsia"/>
              </w:rPr>
              <w:t>--</w:t>
            </w:r>
          </w:p>
        </w:tc>
      </w:tr>
      <w:tr w:rsidR="007824AA" w:rsidRPr="00567F50" w:rsidTr="002C148D">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824AA" w:rsidRPr="007824AA" w:rsidRDefault="007824AA" w:rsidP="007824AA">
            <w:pPr>
              <w:jc w:val="center"/>
            </w:pPr>
            <w:r w:rsidRPr="007824AA">
              <w:rPr>
                <w:rFonts w:hint="eastAsia"/>
              </w:rPr>
              <w:t xml:space="preserve">1.0437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824AA" w:rsidRPr="007824AA" w:rsidRDefault="007824AA" w:rsidP="007824AA">
            <w:pPr>
              <w:jc w:val="center"/>
              <w:rPr>
                <w:rFonts w:hint="eastAsia"/>
              </w:rPr>
            </w:pPr>
            <w:r w:rsidRPr="007824AA">
              <w:rPr>
                <w:rFonts w:hint="eastAsia"/>
              </w:rPr>
              <w:t>3.849 %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824AA" w:rsidRPr="009476C8" w:rsidRDefault="007824AA" w:rsidP="007824AA">
            <w:pPr>
              <w:jc w:val="center"/>
            </w:pPr>
            <w:r w:rsidRPr="002D0CC4">
              <w:rPr>
                <w:rFonts w:hint="eastAsia"/>
              </w:rPr>
              <w:t>--</w:t>
            </w:r>
          </w:p>
        </w:tc>
      </w:tr>
      <w:tr w:rsidR="007824AA"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7824AA" w:rsidRPr="007824AA" w:rsidRDefault="007824AA" w:rsidP="007824AA">
            <w:pPr>
              <w:jc w:val="center"/>
            </w:pPr>
            <w:r w:rsidRPr="007824AA">
              <w:rPr>
                <w:rFonts w:hint="eastAsia"/>
              </w:rPr>
              <w:t xml:space="preserve">1.0069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7824AA" w:rsidRPr="007824AA" w:rsidRDefault="007824AA" w:rsidP="007824AA">
            <w:pPr>
              <w:jc w:val="center"/>
              <w:rPr>
                <w:rFonts w:hint="eastAsia"/>
              </w:rPr>
            </w:pPr>
            <w:r w:rsidRPr="007824AA">
              <w:rPr>
                <w:rFonts w:hint="eastAsia"/>
              </w:rPr>
              <w:t xml:space="preserve">3.671 % </w:t>
            </w:r>
          </w:p>
        </w:tc>
        <w:tc>
          <w:tcPr>
            <w:tcW w:w="2428" w:type="dxa"/>
            <w:gridSpan w:val="3"/>
            <w:tcBorders>
              <w:top w:val="single" w:sz="4" w:space="0" w:color="AA9678"/>
              <w:left w:val="single" w:sz="4" w:space="0" w:color="AA9678"/>
              <w:bottom w:val="single" w:sz="4" w:space="0" w:color="AA9678"/>
            </w:tcBorders>
            <w:vAlign w:val="center"/>
          </w:tcPr>
          <w:p w:rsidR="007824AA" w:rsidRPr="007824AA" w:rsidRDefault="007824AA" w:rsidP="007824AA">
            <w:pPr>
              <w:jc w:val="center"/>
              <w:rPr>
                <w:rFonts w:hint="eastAsia"/>
              </w:rPr>
            </w:pPr>
            <w:r w:rsidRPr="007824AA">
              <w:rPr>
                <w:rFonts w:hint="eastAsia"/>
              </w:rPr>
              <w:t xml:space="preserve">5.837% </w:t>
            </w:r>
          </w:p>
        </w:tc>
      </w:tr>
      <w:tr w:rsidR="007824AA"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824AA" w:rsidRPr="007824AA" w:rsidRDefault="007824AA" w:rsidP="007824AA">
            <w:pPr>
              <w:jc w:val="center"/>
            </w:pPr>
            <w:r w:rsidRPr="007824AA">
              <w:rPr>
                <w:rFonts w:hint="eastAsia"/>
              </w:rPr>
              <w:t xml:space="preserve">1.0875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824AA" w:rsidRPr="007824AA" w:rsidRDefault="007824AA" w:rsidP="007824AA">
            <w:pPr>
              <w:jc w:val="center"/>
              <w:rPr>
                <w:rFonts w:hint="eastAsia"/>
              </w:rPr>
            </w:pPr>
            <w:r w:rsidRPr="007824AA">
              <w:rPr>
                <w:rFonts w:hint="eastAsia"/>
              </w:rPr>
              <w:t xml:space="preserve">3.962 %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824AA" w:rsidRPr="007824AA" w:rsidRDefault="007824AA" w:rsidP="007824AA">
            <w:pPr>
              <w:jc w:val="center"/>
              <w:rPr>
                <w:rFonts w:hint="eastAsia"/>
              </w:rPr>
            </w:pPr>
            <w:r w:rsidRPr="007824AA">
              <w:rPr>
                <w:rFonts w:hint="eastAsia"/>
              </w:rPr>
              <w:t xml:space="preserve">6.355% </w:t>
            </w:r>
          </w:p>
        </w:tc>
      </w:tr>
      <w:tr w:rsidR="007824AA"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7824AA" w:rsidRPr="007824AA" w:rsidRDefault="007824AA" w:rsidP="007824AA">
            <w:pPr>
              <w:jc w:val="center"/>
            </w:pPr>
            <w:r w:rsidRPr="007824AA">
              <w:rPr>
                <w:rFonts w:hint="eastAsia"/>
              </w:rPr>
              <w:t xml:space="preserve">1.1889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7824AA" w:rsidRPr="007824AA" w:rsidRDefault="007824AA" w:rsidP="007824AA">
            <w:pPr>
              <w:jc w:val="center"/>
              <w:rPr>
                <w:rFonts w:hint="eastAsia"/>
              </w:rPr>
            </w:pPr>
            <w:r w:rsidRPr="007824AA">
              <w:rPr>
                <w:rFonts w:hint="eastAsia"/>
              </w:rPr>
              <w:t xml:space="preserve">4.361 %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7824AA" w:rsidRPr="007824AA" w:rsidRDefault="007824AA" w:rsidP="007824AA">
            <w:pPr>
              <w:jc w:val="center"/>
              <w:rPr>
                <w:rFonts w:hint="eastAsia"/>
              </w:rPr>
            </w:pPr>
            <w:r w:rsidRPr="007824AA">
              <w:rPr>
                <w:rFonts w:hint="eastAsia"/>
              </w:rPr>
              <w:t xml:space="preserve">4.114% </w:t>
            </w:r>
          </w:p>
        </w:tc>
      </w:tr>
      <w:tr w:rsidR="007824AA"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824AA" w:rsidRPr="00567F50" w:rsidRDefault="007824AA" w:rsidP="007824AA">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824AA" w:rsidRPr="007824AA" w:rsidRDefault="007824AA" w:rsidP="007824AA">
            <w:pPr>
              <w:jc w:val="center"/>
            </w:pPr>
            <w:r w:rsidRPr="007824AA">
              <w:rPr>
                <w:rFonts w:hint="eastAsia"/>
              </w:rPr>
              <w:t xml:space="preserve">1.2683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824AA" w:rsidRPr="007824AA" w:rsidRDefault="007824AA" w:rsidP="007824AA">
            <w:pPr>
              <w:jc w:val="center"/>
              <w:rPr>
                <w:rFonts w:hint="eastAsia"/>
              </w:rPr>
            </w:pPr>
            <w:r w:rsidRPr="007824AA">
              <w:rPr>
                <w:rFonts w:hint="eastAsia"/>
              </w:rPr>
              <w:t xml:space="preserve">4.648 %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824AA" w:rsidRPr="007824AA" w:rsidRDefault="007824AA" w:rsidP="007824AA">
            <w:pPr>
              <w:jc w:val="center"/>
              <w:rPr>
                <w:rFonts w:hint="eastAsia"/>
              </w:rPr>
            </w:pPr>
            <w:r w:rsidRPr="007824AA">
              <w:rPr>
                <w:rFonts w:hint="eastAsia"/>
              </w:rPr>
              <w:t xml:space="preserve">4.109% </w:t>
            </w:r>
          </w:p>
        </w:tc>
      </w:tr>
    </w:tbl>
    <w:p w:rsidR="00B7035E" w:rsidRPr="00A94D2A" w:rsidRDefault="002C148D" w:rsidP="008001D1">
      <w:pPr>
        <w:spacing w:line="360" w:lineRule="auto"/>
        <w:ind w:leftChars="404" w:left="848" w:rightChars="471" w:right="989" w:firstLineChars="80" w:firstLine="120"/>
        <w:jc w:val="center"/>
        <w:rPr>
          <w:rFonts w:ascii="仿宋" w:eastAsia="仿宋" w:hAnsi="仿宋"/>
          <w:color w:val="808080"/>
          <w:sz w:val="15"/>
          <w:szCs w:val="15"/>
        </w:rPr>
      </w:pPr>
      <w:r>
        <w:rPr>
          <w:rFonts w:ascii="仿宋" w:eastAsia="仿宋" w:hAnsi="仿宋"/>
          <w:color w:val="808080"/>
          <w:sz w:val="15"/>
          <w:szCs w:val="15"/>
        </w:rPr>
        <w:br w:type="textWrapping" w:clear="all"/>
      </w:r>
      <w:r w:rsidR="00B7035E"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00B7035E"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00B7035E"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F73CEC">
        <w:rPr>
          <w:rFonts w:ascii="仿宋" w:eastAsia="仿宋" w:hAnsi="仿宋"/>
          <w:color w:val="808080"/>
          <w:sz w:val="15"/>
          <w:szCs w:val="15"/>
        </w:rPr>
        <w:t>2</w:t>
      </w:r>
      <w:r w:rsidR="00B7035E" w:rsidRPr="00A94D2A">
        <w:rPr>
          <w:rFonts w:ascii="仿宋" w:eastAsia="仿宋" w:hAnsi="仿宋" w:hint="eastAsia"/>
          <w:color w:val="808080"/>
          <w:sz w:val="15"/>
          <w:szCs w:val="15"/>
        </w:rPr>
        <w:t>月</w:t>
      </w:r>
      <w:r w:rsidR="00F73CEC">
        <w:rPr>
          <w:rFonts w:ascii="仿宋" w:eastAsia="仿宋" w:hAnsi="仿宋"/>
          <w:color w:val="808080"/>
          <w:sz w:val="15"/>
          <w:szCs w:val="15"/>
        </w:rPr>
        <w:t>6</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环球、交银</w:t>
      </w:r>
      <w:r w:rsidR="000661EB" w:rsidRPr="00A94D2A">
        <w:rPr>
          <w:rFonts w:ascii="仿宋" w:eastAsia="仿宋" w:hAnsi="仿宋" w:hint="eastAsia"/>
          <w:color w:val="808080"/>
          <w:sz w:val="15"/>
          <w:szCs w:val="15"/>
        </w:rPr>
        <w:t>资源净值数据截至201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F73CEC">
        <w:rPr>
          <w:rFonts w:ascii="仿宋" w:eastAsia="仿宋" w:hAnsi="仿宋" w:hint="eastAsia"/>
          <w:color w:val="808080"/>
          <w:sz w:val="15"/>
          <w:szCs w:val="15"/>
        </w:rPr>
        <w:t>2</w:t>
      </w:r>
      <w:r w:rsidR="000661EB" w:rsidRPr="00A94D2A">
        <w:rPr>
          <w:rFonts w:ascii="仿宋" w:eastAsia="仿宋" w:hAnsi="仿宋" w:hint="eastAsia"/>
          <w:color w:val="808080"/>
          <w:sz w:val="15"/>
          <w:szCs w:val="15"/>
        </w:rPr>
        <w:t>月</w:t>
      </w:r>
      <w:r w:rsidR="00F73CEC">
        <w:rPr>
          <w:rFonts w:ascii="仿宋" w:eastAsia="仿宋" w:hAnsi="仿宋" w:hint="eastAsia"/>
          <w:color w:val="808080"/>
          <w:sz w:val="15"/>
          <w:szCs w:val="15"/>
        </w:rPr>
        <w:t>5</w:t>
      </w:r>
      <w:bookmarkStart w:id="0" w:name="_GoBack"/>
      <w:bookmarkEnd w:id="0"/>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16" w:rsidRDefault="00D92316" w:rsidP="000E7112">
      <w:r>
        <w:separator/>
      </w:r>
    </w:p>
  </w:endnote>
  <w:endnote w:type="continuationSeparator" w:id="0">
    <w:p w:rsidR="00D92316" w:rsidRDefault="00D92316"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93" w:rsidRDefault="001F5693" w:rsidP="00210641">
    <w:pPr>
      <w:pStyle w:val="a3"/>
    </w:pPr>
  </w:p>
  <w:p w:rsidR="001F5693" w:rsidRDefault="001F5693"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1F5693" w:rsidRDefault="001F5693"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A82633">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A82633">
      <w:rPr>
        <w:b/>
        <w:noProof/>
        <w:color w:val="7F7F7F"/>
      </w:rPr>
      <w:t>8</w:t>
    </w:r>
    <w:r w:rsidRPr="006A5CE8">
      <w:rPr>
        <w:b/>
        <w:color w:val="7F7F7F"/>
        <w:sz w:val="24"/>
        <w:szCs w:val="24"/>
      </w:rPr>
      <w:fldChar w:fldCharType="end"/>
    </w:r>
  </w:p>
  <w:p w:rsidR="001F5693" w:rsidRDefault="001F5693" w:rsidP="00210641">
    <w:pPr>
      <w:pStyle w:val="a3"/>
    </w:pPr>
  </w:p>
  <w:p w:rsidR="001F5693" w:rsidRDefault="001F5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16" w:rsidRDefault="00D92316" w:rsidP="000E7112">
      <w:r>
        <w:separator/>
      </w:r>
    </w:p>
  </w:footnote>
  <w:footnote w:type="continuationSeparator" w:id="0">
    <w:p w:rsidR="00D92316" w:rsidRDefault="00D92316"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93" w:rsidRDefault="001F5693"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5693" w:rsidRPr="009830F8" w:rsidRDefault="001F5693">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2</w:t>
                          </w:r>
                          <w:r w:rsidRPr="00655522">
                            <w:rPr>
                              <w:rFonts w:ascii="Arial" w:hAnsi="宋体" w:cs="Arial"/>
                              <w:b/>
                              <w:color w:val="FFFFFF"/>
                              <w:sz w:val="18"/>
                              <w:szCs w:val="18"/>
                            </w:rPr>
                            <w:t>月</w:t>
                          </w:r>
                          <w:r>
                            <w:rPr>
                              <w:rFonts w:ascii="Arial" w:hAnsi="宋体" w:cs="Arial"/>
                              <w:b/>
                              <w:color w:val="FFFFFF"/>
                              <w:sz w:val="18"/>
                              <w:szCs w:val="18"/>
                            </w:rPr>
                            <w:t>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9</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1F5693" w:rsidRPr="009830F8" w:rsidRDefault="001F5693">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2</w:t>
                    </w:r>
                    <w:r w:rsidRPr="00655522">
                      <w:rPr>
                        <w:rFonts w:ascii="Arial" w:hAnsi="宋体" w:cs="Arial"/>
                        <w:b/>
                        <w:color w:val="FFFFFF"/>
                        <w:sz w:val="18"/>
                        <w:szCs w:val="18"/>
                      </w:rPr>
                      <w:t>月</w:t>
                    </w:r>
                    <w:r>
                      <w:rPr>
                        <w:rFonts w:ascii="Arial" w:hAnsi="宋体" w:cs="Arial"/>
                        <w:b/>
                        <w:color w:val="FFFFFF"/>
                        <w:sz w:val="18"/>
                        <w:szCs w:val="18"/>
                      </w:rPr>
                      <w:t>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9</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1F5693" w:rsidRDefault="001F5693" w:rsidP="00761FFD">
    <w:pPr>
      <w:pStyle w:val="a3"/>
      <w:ind w:rightChars="-857" w:right="-1800"/>
    </w:pPr>
  </w:p>
  <w:p w:rsidR="001F5693" w:rsidRDefault="001F56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93" w:rsidRDefault="001F5693" w:rsidP="00655522">
    <w:pPr>
      <w:pStyle w:val="a3"/>
      <w:ind w:rightChars="-857" w:right="-1800"/>
      <w:rPr>
        <w:noProof/>
      </w:rPr>
    </w:pPr>
  </w:p>
  <w:p w:rsidR="001F5693" w:rsidRDefault="001F5693"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5693" w:rsidRPr="004F0FD3" w:rsidRDefault="001F5693"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b/>
                              <w:color w:val="FFFFFF"/>
                              <w:sz w:val="18"/>
                              <w:szCs w:val="18"/>
                            </w:rPr>
                            <w:t>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9</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1F5693" w:rsidRPr="004F0FD3" w:rsidRDefault="001F5693"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b/>
                        <w:color w:val="FFFFFF"/>
                        <w:sz w:val="18"/>
                        <w:szCs w:val="18"/>
                      </w:rPr>
                      <w:t>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9</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1F5693" w:rsidRDefault="001F56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878F7"/>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99"/>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4A24"/>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36E"/>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0EA"/>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AC99-8C5F-4BE4-90E3-6F0B9DB3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981</Words>
  <Characters>5598</Characters>
  <Application>Microsoft Office Word</Application>
  <DocSecurity>0</DocSecurity>
  <Lines>46</Lines>
  <Paragraphs>13</Paragraphs>
  <ScaleCrop>false</ScaleCrop>
  <Company>Microsoft</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10</cp:revision>
  <cp:lastPrinted>2015-02-09T08:30:00Z</cp:lastPrinted>
  <dcterms:created xsi:type="dcterms:W3CDTF">2015-02-09T03:08:00Z</dcterms:created>
  <dcterms:modified xsi:type="dcterms:W3CDTF">2015-02-09T08:36:00Z</dcterms:modified>
</cp:coreProperties>
</file>