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E9" w:rsidRPr="006662B2" w:rsidRDefault="009C1DE9" w:rsidP="00814461">
      <w:pPr>
        <w:spacing w:line="360" w:lineRule="auto"/>
        <w:jc w:val="center"/>
        <w:rPr>
          <w:rFonts w:asciiTheme="minorEastAsia" w:eastAsiaTheme="minorEastAsia" w:hAnsiTheme="minorEastAsia"/>
          <w:b/>
          <w:bCs/>
          <w:color w:val="000000"/>
          <w:sz w:val="24"/>
        </w:rPr>
      </w:pPr>
      <w:bookmarkStart w:id="0" w:name="_GoBack"/>
      <w:bookmarkEnd w:id="0"/>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631C0B" w:rsidRPr="00C4492C" w:rsidRDefault="00631C0B" w:rsidP="00C4492C">
      <w:pPr>
        <w:spacing w:before="29" w:line="288" w:lineRule="auto"/>
        <w:jc w:val="center"/>
        <w:rPr>
          <w:b/>
          <w:sz w:val="36"/>
          <w:szCs w:val="36"/>
        </w:rPr>
      </w:pPr>
      <w:r w:rsidRPr="00C4492C">
        <w:rPr>
          <w:rFonts w:hint="eastAsia"/>
          <w:b/>
          <w:sz w:val="36"/>
          <w:szCs w:val="36"/>
        </w:rPr>
        <w:t>交银施罗德现金宝货币市场基金</w:t>
      </w:r>
    </w:p>
    <w:p w:rsidR="00631C0B" w:rsidRPr="00C4492C" w:rsidRDefault="00631C0B" w:rsidP="00C4492C">
      <w:pPr>
        <w:spacing w:before="29" w:line="288" w:lineRule="auto"/>
        <w:jc w:val="center"/>
        <w:rPr>
          <w:b/>
          <w:sz w:val="36"/>
          <w:szCs w:val="36"/>
        </w:rPr>
      </w:pPr>
      <w:r w:rsidRPr="00C4492C">
        <w:rPr>
          <w:rFonts w:hint="eastAsia"/>
          <w:b/>
          <w:sz w:val="36"/>
          <w:szCs w:val="36"/>
        </w:rPr>
        <w:t>2014</w:t>
      </w:r>
      <w:r w:rsidRPr="00C4492C">
        <w:rPr>
          <w:rFonts w:hint="eastAsia"/>
          <w:b/>
          <w:sz w:val="36"/>
          <w:szCs w:val="36"/>
        </w:rPr>
        <w:t>年第</w:t>
      </w:r>
      <w:r w:rsidRPr="00C4492C">
        <w:rPr>
          <w:rFonts w:hint="eastAsia"/>
          <w:b/>
          <w:sz w:val="36"/>
          <w:szCs w:val="36"/>
        </w:rPr>
        <w:t>4</w:t>
      </w:r>
      <w:r w:rsidRPr="00C4492C">
        <w:rPr>
          <w:rFonts w:hint="eastAsia"/>
          <w:b/>
          <w:sz w:val="36"/>
          <w:szCs w:val="36"/>
        </w:rPr>
        <w:t>季度报告</w:t>
      </w:r>
    </w:p>
    <w:p w:rsidR="009C1DE9" w:rsidRPr="00C4492C" w:rsidRDefault="009452B9" w:rsidP="00C4492C">
      <w:pPr>
        <w:spacing w:before="29" w:line="288" w:lineRule="auto"/>
        <w:jc w:val="center"/>
        <w:rPr>
          <w:b/>
          <w:sz w:val="36"/>
          <w:szCs w:val="36"/>
        </w:rPr>
      </w:pPr>
      <w:r w:rsidRPr="00C4492C">
        <w:rPr>
          <w:b/>
          <w:sz w:val="36"/>
          <w:szCs w:val="36"/>
        </w:rPr>
        <w:t>2014</w:t>
      </w:r>
      <w:r w:rsidRPr="00C4492C">
        <w:rPr>
          <w:b/>
          <w:sz w:val="36"/>
          <w:szCs w:val="36"/>
        </w:rPr>
        <w:t>年</w:t>
      </w:r>
      <w:r w:rsidRPr="00C4492C">
        <w:rPr>
          <w:b/>
          <w:sz w:val="36"/>
          <w:szCs w:val="36"/>
        </w:rPr>
        <w:t>12</w:t>
      </w:r>
      <w:r w:rsidRPr="00C4492C">
        <w:rPr>
          <w:b/>
          <w:sz w:val="36"/>
          <w:szCs w:val="36"/>
        </w:rPr>
        <w:t>月</w:t>
      </w:r>
      <w:r w:rsidRPr="00C4492C">
        <w:rPr>
          <w:b/>
          <w:sz w:val="36"/>
          <w:szCs w:val="36"/>
        </w:rPr>
        <w:t>31</w:t>
      </w:r>
      <w:r w:rsidRPr="00C4492C">
        <w:rPr>
          <w:b/>
          <w:sz w:val="36"/>
          <w:szCs w:val="36"/>
        </w:rPr>
        <w:t>日</w:t>
      </w:r>
    </w:p>
    <w:p w:rsidR="009C1DE9" w:rsidRPr="006662B2" w:rsidRDefault="009C1DE9" w:rsidP="00814461">
      <w:pPr>
        <w:spacing w:line="360" w:lineRule="auto"/>
        <w:jc w:val="center"/>
        <w:rPr>
          <w:rFonts w:asciiTheme="minorEastAsia" w:eastAsiaTheme="minorEastAsia" w:hAnsiTheme="minorEastAsia"/>
          <w:b/>
          <w:bCs/>
          <w:color w:val="000000"/>
          <w:sz w:val="24"/>
        </w:rPr>
      </w:pPr>
    </w:p>
    <w:p w:rsidR="00A147F8" w:rsidRPr="006662B2" w:rsidRDefault="00A147F8" w:rsidP="00A147F8">
      <w:pPr>
        <w:spacing w:line="360" w:lineRule="auto"/>
        <w:jc w:val="center"/>
        <w:rPr>
          <w:rFonts w:asciiTheme="minorEastAsia" w:eastAsiaTheme="minorEastAsia" w:hAnsiTheme="minorEastAsia" w:cs="宋体"/>
          <w:b/>
          <w:bCs/>
          <w:color w:val="000000"/>
          <w:sz w:val="24"/>
        </w:rPr>
      </w:pPr>
    </w:p>
    <w:p w:rsidR="00186667" w:rsidRPr="006662B2" w:rsidRDefault="00186667"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CD3718"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795056"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基金管理人：</w:t>
      </w:r>
      <w:r w:rsidRPr="00C4492C">
        <w:rPr>
          <w:rFonts w:hAnsi="宋体"/>
          <w:b/>
          <w:color w:val="000000"/>
          <w:sz w:val="24"/>
        </w:rPr>
        <w:t>交银施罗德基金管理有限公司</w:t>
      </w: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基金托管人：</w:t>
      </w:r>
      <w:r w:rsidRPr="00C4492C">
        <w:rPr>
          <w:rFonts w:hAnsi="宋体"/>
          <w:b/>
          <w:color w:val="000000"/>
          <w:sz w:val="24"/>
        </w:rPr>
        <w:t>中信银行股份有限公司</w:t>
      </w:r>
    </w:p>
    <w:p w:rsidR="00902E3F" w:rsidRPr="00C4492C" w:rsidRDefault="00A147F8" w:rsidP="00C4492C">
      <w:pPr>
        <w:spacing w:before="29" w:line="288" w:lineRule="auto"/>
        <w:ind w:firstLineChars="900" w:firstLine="2168"/>
        <w:rPr>
          <w:rFonts w:hAnsi="宋体"/>
          <w:b/>
          <w:color w:val="000000"/>
          <w:sz w:val="24"/>
        </w:rPr>
        <w:sectPr w:rsidR="00902E3F" w:rsidRPr="00C4492C" w:rsidSect="005633AD">
          <w:headerReference w:type="default" r:id="rId8"/>
          <w:footerReference w:type="default" r:id="rId9"/>
          <w:pgSz w:w="11926" w:h="15840"/>
          <w:pgMar w:top="1418" w:right="1418" w:bottom="851" w:left="1418" w:header="851" w:footer="992" w:gutter="0"/>
          <w:cols w:space="720"/>
          <w:noEndnote/>
        </w:sectPr>
      </w:pPr>
      <w:r w:rsidRPr="00C4492C">
        <w:rPr>
          <w:rFonts w:hAnsi="宋体" w:hint="eastAsia"/>
          <w:b/>
          <w:color w:val="000000"/>
          <w:sz w:val="24"/>
        </w:rPr>
        <w:t>报告送出日期：</w:t>
      </w:r>
      <w:r w:rsidR="00EB5186" w:rsidRPr="00C4492C">
        <w:rPr>
          <w:rFonts w:hAnsi="宋体"/>
          <w:b/>
          <w:color w:val="000000"/>
          <w:sz w:val="24"/>
        </w:rPr>
        <w:t>二〇一五年一月二十二日</w:t>
      </w:r>
    </w:p>
    <w:p w:rsidR="00902E3F" w:rsidRPr="00CC0A34" w:rsidRDefault="00902E3F" w:rsidP="00B60FB7">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lastRenderedPageBreak/>
        <w:t>§</w:t>
      </w:r>
      <w:r w:rsidRPr="00CC0A34">
        <w:rPr>
          <w:color w:val="000000"/>
          <w:kern w:val="0"/>
          <w:sz w:val="24"/>
          <w:szCs w:val="24"/>
        </w:rPr>
        <w:t xml:space="preserve">1  </w:t>
      </w:r>
      <w:r w:rsidRPr="00CC0A34">
        <w:rPr>
          <w:rFonts w:hint="eastAsia"/>
          <w:color w:val="000000"/>
          <w:kern w:val="0"/>
          <w:sz w:val="24"/>
          <w:szCs w:val="24"/>
        </w:rPr>
        <w:t>重要提示</w:t>
      </w:r>
    </w:p>
    <w:p w:rsidR="00D7022C" w:rsidRDefault="005367AA">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7022C" w:rsidRDefault="005367AA">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7022C" w:rsidRDefault="005367AA">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7022C" w:rsidRDefault="005367AA">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7022C" w:rsidRDefault="005367AA">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DA67B3" w:rsidRDefault="00DA67B3" w:rsidP="00CC0A34">
      <w:pPr>
        <w:adjustRightInd w:val="0"/>
        <w:spacing w:before="29" w:line="288" w:lineRule="auto"/>
        <w:ind w:firstLineChars="200" w:firstLine="480"/>
        <w:rPr>
          <w:color w:val="000000"/>
          <w:sz w:val="24"/>
        </w:rPr>
      </w:pPr>
      <w:r w:rsidRPr="00CC0A34">
        <w:rPr>
          <w:color w:val="000000"/>
          <w:sz w:val="24"/>
        </w:rPr>
        <w:t>本报告期自</w:t>
      </w:r>
      <w:r w:rsidRPr="00CC0A34">
        <w:rPr>
          <w:color w:val="000000"/>
          <w:sz w:val="24"/>
        </w:rPr>
        <w:t>2014</w:t>
      </w:r>
      <w:r w:rsidRPr="00CC0A34">
        <w:rPr>
          <w:color w:val="000000"/>
          <w:sz w:val="24"/>
        </w:rPr>
        <w:t>年</w:t>
      </w:r>
      <w:r w:rsidRPr="00CC0A34">
        <w:rPr>
          <w:color w:val="000000"/>
          <w:sz w:val="24"/>
        </w:rPr>
        <w:t>10</w:t>
      </w:r>
      <w:r w:rsidRPr="00CC0A34">
        <w:rPr>
          <w:color w:val="000000"/>
          <w:sz w:val="24"/>
        </w:rPr>
        <w:t>月</w:t>
      </w:r>
      <w:r w:rsidRPr="00CC0A34">
        <w:rPr>
          <w:color w:val="000000"/>
          <w:sz w:val="24"/>
        </w:rPr>
        <w:t>1</w:t>
      </w:r>
      <w:r w:rsidRPr="00CC0A34">
        <w:rPr>
          <w:color w:val="000000"/>
          <w:sz w:val="24"/>
        </w:rPr>
        <w:t>日起至</w:t>
      </w:r>
      <w:r w:rsidRPr="00CC0A34">
        <w:rPr>
          <w:color w:val="000000"/>
          <w:sz w:val="24"/>
        </w:rPr>
        <w:t>12</w:t>
      </w:r>
      <w:r w:rsidRPr="00CC0A34">
        <w:rPr>
          <w:color w:val="000000"/>
          <w:sz w:val="24"/>
        </w:rPr>
        <w:t>月</w:t>
      </w:r>
      <w:r w:rsidRPr="00CC0A34">
        <w:rPr>
          <w:color w:val="000000"/>
          <w:sz w:val="24"/>
        </w:rPr>
        <w:t>31</w:t>
      </w:r>
      <w:r w:rsidRPr="00CC0A34">
        <w:rPr>
          <w:color w:val="000000"/>
          <w:sz w:val="24"/>
        </w:rPr>
        <w:t>日止。</w:t>
      </w:r>
    </w:p>
    <w:p w:rsidR="00CB08EA" w:rsidRPr="00CC0A34" w:rsidRDefault="00CB08EA" w:rsidP="00CC0A34">
      <w:pPr>
        <w:adjustRightInd w:val="0"/>
        <w:spacing w:before="29" w:line="288" w:lineRule="auto"/>
        <w:ind w:firstLineChars="200" w:firstLine="480"/>
        <w:rPr>
          <w:color w:val="000000"/>
          <w:sz w:val="24"/>
        </w:rPr>
      </w:pPr>
    </w:p>
    <w:p w:rsidR="00902E3F" w:rsidRPr="00CC0A34" w:rsidRDefault="00902E3F" w:rsidP="00B60FB7">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t>§</w:t>
      </w:r>
      <w:r w:rsidRPr="00CC0A34">
        <w:rPr>
          <w:color w:val="000000"/>
          <w:kern w:val="0"/>
          <w:sz w:val="24"/>
          <w:szCs w:val="24"/>
        </w:rPr>
        <w:t xml:space="preserve">2  </w:t>
      </w:r>
      <w:r w:rsidRPr="00CC0A34">
        <w:rPr>
          <w:rFonts w:hint="eastAsia"/>
          <w:color w:val="000000"/>
          <w:kern w:val="0"/>
          <w:sz w:val="24"/>
          <w:szCs w:val="24"/>
        </w:rPr>
        <w:t>基金产品概况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5930"/>
      </w:tblGrid>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基金简称</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交银现金宝货币</w:t>
            </w:r>
          </w:p>
        </w:tc>
      </w:tr>
      <w:tr w:rsidR="00637395" w:rsidRPr="006662B2" w:rsidTr="00BA7C71">
        <w:tc>
          <w:tcPr>
            <w:tcW w:w="2835" w:type="dxa"/>
            <w:tcBorders>
              <w:top w:val="single" w:sz="4" w:space="0" w:color="auto"/>
              <w:left w:val="single" w:sz="4" w:space="0" w:color="auto"/>
              <w:bottom w:val="single" w:sz="4" w:space="0" w:color="auto"/>
              <w:right w:val="single" w:sz="4" w:space="0" w:color="auto"/>
            </w:tcBorders>
            <w:vAlign w:val="center"/>
            <w:hideMark/>
          </w:tcPr>
          <w:p w:rsidR="00637395" w:rsidRPr="00322F2E" w:rsidRDefault="00637395" w:rsidP="00322F2E">
            <w:pPr>
              <w:adjustRightInd w:val="0"/>
              <w:spacing w:before="29" w:line="288" w:lineRule="auto"/>
              <w:ind w:left="17"/>
              <w:jc w:val="left"/>
              <w:rPr>
                <w:rFonts w:hAnsi="宋体"/>
                <w:kern w:val="0"/>
                <w:sz w:val="24"/>
              </w:rPr>
            </w:pPr>
            <w:r w:rsidRPr="00322F2E">
              <w:rPr>
                <w:rFonts w:hAnsi="宋体" w:hint="eastAsia"/>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637395" w:rsidRPr="00CC0A34" w:rsidRDefault="0063739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017E35" w:rsidRPr="006662B2" w:rsidTr="00BA7C71">
        <w:tc>
          <w:tcPr>
            <w:tcW w:w="2835" w:type="dxa"/>
            <w:tcBorders>
              <w:top w:val="single" w:sz="4" w:space="0" w:color="auto"/>
              <w:left w:val="single" w:sz="4" w:space="0" w:color="auto"/>
              <w:bottom w:val="single" w:sz="4" w:space="0" w:color="auto"/>
              <w:right w:val="single" w:sz="4" w:space="0" w:color="auto"/>
            </w:tcBorders>
            <w:vAlign w:val="center"/>
          </w:tcPr>
          <w:p w:rsidR="00017E35" w:rsidRPr="00322F2E" w:rsidRDefault="00017E35" w:rsidP="00322F2E">
            <w:pPr>
              <w:adjustRightInd w:val="0"/>
              <w:spacing w:before="29" w:line="288" w:lineRule="auto"/>
              <w:ind w:left="17"/>
              <w:jc w:val="left"/>
              <w:rPr>
                <w:rFonts w:hAnsi="宋体"/>
                <w:kern w:val="0"/>
                <w:sz w:val="24"/>
              </w:rPr>
            </w:pPr>
            <w:r w:rsidRPr="00322F2E">
              <w:rPr>
                <w:rFonts w:hAnsi="宋体" w:hint="eastAsia"/>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17E35" w:rsidRPr="00CC0A34" w:rsidRDefault="00017E3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基金运作方式</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契约型开放式</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基金合同生效日</w:t>
            </w:r>
          </w:p>
        </w:tc>
        <w:tc>
          <w:tcPr>
            <w:tcW w:w="5479" w:type="dxa"/>
            <w:vAlign w:val="center"/>
          </w:tcPr>
          <w:p w:rsidR="00DA67B3" w:rsidRPr="00CC0A34" w:rsidRDefault="00CA0F59" w:rsidP="00CC0A34">
            <w:pPr>
              <w:adjustRightInd w:val="0"/>
              <w:spacing w:before="29" w:line="288" w:lineRule="auto"/>
              <w:ind w:left="17"/>
              <w:jc w:val="left"/>
              <w:rPr>
                <w:color w:val="000000"/>
                <w:kern w:val="0"/>
                <w:sz w:val="24"/>
              </w:rPr>
            </w:pPr>
            <w:r w:rsidRPr="00CC0A34">
              <w:rPr>
                <w:color w:val="000000"/>
                <w:kern w:val="0"/>
                <w:sz w:val="24"/>
              </w:rPr>
              <w:t>2014</w:t>
            </w:r>
            <w:r w:rsidRPr="00CC0A34">
              <w:rPr>
                <w:color w:val="000000"/>
                <w:kern w:val="0"/>
                <w:sz w:val="24"/>
              </w:rPr>
              <w:t>年</w:t>
            </w:r>
            <w:r w:rsidRPr="00CC0A34">
              <w:rPr>
                <w:color w:val="000000"/>
                <w:kern w:val="0"/>
                <w:sz w:val="24"/>
              </w:rPr>
              <w:t>9</w:t>
            </w:r>
            <w:r w:rsidRPr="00CC0A34">
              <w:rPr>
                <w:color w:val="000000"/>
                <w:kern w:val="0"/>
                <w:sz w:val="24"/>
              </w:rPr>
              <w:t>月</w:t>
            </w:r>
            <w:r w:rsidRPr="00CC0A34">
              <w:rPr>
                <w:color w:val="000000"/>
                <w:kern w:val="0"/>
                <w:sz w:val="24"/>
              </w:rPr>
              <w:t>12</w:t>
            </w:r>
            <w:r w:rsidRPr="00CC0A34">
              <w:rPr>
                <w:color w:val="000000"/>
                <w:kern w:val="0"/>
                <w:sz w:val="24"/>
              </w:rPr>
              <w:t>日</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报告期末基金份额总额</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599,443,763.51</w:t>
            </w:r>
            <w:r w:rsidR="005F409A" w:rsidRPr="00CC0A34">
              <w:rPr>
                <w:rFonts w:hint="eastAsia"/>
                <w:color w:val="000000"/>
                <w:kern w:val="0"/>
                <w:sz w:val="24"/>
              </w:rPr>
              <w:t>份</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投资目标</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在力求本金安全性和资产充分流动性的前提下，追求超过业绩比较基准的投资收益。</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投资策略</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业绩比较基准</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活期存款利率（税后）</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风险收益特征</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本基金属于货币市场基金，是证券投资基金中的低风险品种，长期风险收益水平低于股票型基金、混合型基金和债券型基金。</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lastRenderedPageBreak/>
              <w:t>基金管理人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交银施罗德基金管理有限公司</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基金托管人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中信银行股份有限公司</w:t>
            </w:r>
          </w:p>
        </w:tc>
      </w:tr>
    </w:tbl>
    <w:p w:rsidR="00FD0100" w:rsidRPr="00611AEC" w:rsidRDefault="00FD0100" w:rsidP="00611AEC">
      <w:pPr>
        <w:autoSpaceDE w:val="0"/>
        <w:autoSpaceDN w:val="0"/>
        <w:adjustRightInd w:val="0"/>
        <w:spacing w:before="29" w:line="288" w:lineRule="auto"/>
        <w:jc w:val="left"/>
        <w:rPr>
          <w:color w:val="000000"/>
          <w:sz w:val="24"/>
        </w:rPr>
      </w:pPr>
    </w:p>
    <w:p w:rsidR="00902E3F" w:rsidRPr="00611AEC" w:rsidRDefault="00902E3F" w:rsidP="00B60FB7">
      <w:pPr>
        <w:pStyle w:val="1"/>
        <w:spacing w:beforeLines="100" w:before="240" w:afterLines="100" w:after="240" w:line="288" w:lineRule="auto"/>
        <w:jc w:val="center"/>
        <w:rPr>
          <w:color w:val="000000"/>
          <w:kern w:val="0"/>
          <w:sz w:val="24"/>
          <w:szCs w:val="24"/>
        </w:rPr>
      </w:pPr>
      <w:r w:rsidRPr="00611AEC">
        <w:rPr>
          <w:rFonts w:hint="eastAsia"/>
          <w:color w:val="000000"/>
          <w:kern w:val="0"/>
          <w:sz w:val="24"/>
          <w:szCs w:val="24"/>
        </w:rPr>
        <w:t>§</w:t>
      </w:r>
      <w:r w:rsidRPr="00611AEC">
        <w:rPr>
          <w:color w:val="000000"/>
          <w:kern w:val="0"/>
          <w:sz w:val="24"/>
          <w:szCs w:val="24"/>
        </w:rPr>
        <w:t xml:space="preserve">3  </w:t>
      </w:r>
      <w:r w:rsidRPr="00611AEC">
        <w:rPr>
          <w:rFonts w:hint="eastAsia"/>
          <w:color w:val="000000"/>
          <w:kern w:val="0"/>
          <w:sz w:val="24"/>
          <w:szCs w:val="24"/>
        </w:rPr>
        <w:t>主要财务指标和基金净值表现</w:t>
      </w:r>
    </w:p>
    <w:p w:rsidR="00902E3F" w:rsidRPr="006662B2" w:rsidRDefault="00902E3F" w:rsidP="00611AEC">
      <w:pPr>
        <w:spacing w:before="29" w:line="288" w:lineRule="auto"/>
        <w:rPr>
          <w:rFonts w:asciiTheme="minorEastAsia" w:eastAsiaTheme="minorEastAsia" w:hAnsiTheme="minorEastAsia" w:cs="Arial"/>
          <w:b/>
          <w:color w:val="000000"/>
          <w:kern w:val="0"/>
          <w:sz w:val="24"/>
        </w:rPr>
      </w:pPr>
      <w:r w:rsidRPr="006662B2">
        <w:rPr>
          <w:rFonts w:asciiTheme="minorEastAsia" w:eastAsiaTheme="minorEastAsia" w:hAnsiTheme="minorEastAsia" w:cs="Arial"/>
          <w:b/>
          <w:color w:val="000000"/>
          <w:kern w:val="0"/>
          <w:sz w:val="24"/>
        </w:rPr>
        <w:t xml:space="preserve">3.1 </w:t>
      </w:r>
      <w:r w:rsidRPr="006662B2">
        <w:rPr>
          <w:rFonts w:asciiTheme="minorEastAsia" w:eastAsiaTheme="minorEastAsia" w:hAnsiTheme="minorEastAsia" w:cs="Arial" w:hint="eastAsia"/>
          <w:b/>
          <w:color w:val="000000"/>
          <w:kern w:val="0"/>
          <w:sz w:val="24"/>
        </w:rPr>
        <w:t>主要财务指标</w:t>
      </w:r>
    </w:p>
    <w:p w:rsidR="00902E3F" w:rsidRPr="00611AEC" w:rsidRDefault="00902E3F" w:rsidP="00611AEC">
      <w:pPr>
        <w:autoSpaceDE w:val="0"/>
        <w:autoSpaceDN w:val="0"/>
        <w:adjustRightInd w:val="0"/>
        <w:spacing w:before="29" w:line="288" w:lineRule="auto"/>
        <w:ind w:left="15"/>
        <w:jc w:val="right"/>
        <w:rPr>
          <w:rFonts w:hAnsi="宋体"/>
          <w:color w:val="000000"/>
          <w:kern w:val="0"/>
          <w:sz w:val="24"/>
        </w:rPr>
      </w:pPr>
      <w:r w:rsidRPr="00611AEC">
        <w:rPr>
          <w:rFonts w:hAnsi="宋体"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5338"/>
      </w:tblGrid>
      <w:tr w:rsidR="005367AA" w:rsidRPr="006662B2" w:rsidTr="005367AA">
        <w:tc>
          <w:tcPr>
            <w:tcW w:w="3402" w:type="dxa"/>
            <w:vAlign w:val="center"/>
          </w:tcPr>
          <w:p w:rsidR="00D43232" w:rsidRPr="00611AEC" w:rsidRDefault="00D43232" w:rsidP="00611AEC">
            <w:pPr>
              <w:adjustRightInd w:val="0"/>
              <w:spacing w:before="29" w:line="288" w:lineRule="auto"/>
              <w:ind w:left="17"/>
              <w:jc w:val="center"/>
              <w:rPr>
                <w:rFonts w:hAnsi="宋体"/>
                <w:kern w:val="0"/>
                <w:sz w:val="24"/>
              </w:rPr>
            </w:pPr>
            <w:r w:rsidRPr="00611AEC">
              <w:rPr>
                <w:rFonts w:hAnsi="宋体" w:hint="eastAsia"/>
                <w:kern w:val="0"/>
                <w:sz w:val="24"/>
              </w:rPr>
              <w:t>主要财务指标</w:t>
            </w:r>
          </w:p>
        </w:tc>
        <w:tc>
          <w:tcPr>
            <w:tcW w:w="4962" w:type="dxa"/>
            <w:vAlign w:val="center"/>
          </w:tcPr>
          <w:p w:rsidR="00D43232" w:rsidRPr="00611AEC" w:rsidRDefault="0004063B" w:rsidP="00611AEC">
            <w:pPr>
              <w:adjustRightInd w:val="0"/>
              <w:spacing w:before="29" w:line="288" w:lineRule="auto"/>
              <w:ind w:left="17"/>
              <w:jc w:val="center"/>
              <w:rPr>
                <w:color w:val="000000"/>
                <w:kern w:val="0"/>
                <w:sz w:val="24"/>
              </w:rPr>
            </w:pPr>
            <w:r w:rsidRPr="00611AEC">
              <w:rPr>
                <w:rFonts w:hint="eastAsia"/>
                <w:color w:val="000000"/>
                <w:kern w:val="0"/>
                <w:sz w:val="24"/>
              </w:rPr>
              <w:t>报告期（</w:t>
            </w:r>
            <w:r w:rsidRPr="00611AEC">
              <w:rPr>
                <w:color w:val="000000"/>
                <w:kern w:val="0"/>
                <w:sz w:val="24"/>
              </w:rPr>
              <w:t>2014</w:t>
            </w:r>
            <w:r w:rsidRPr="00611AEC">
              <w:rPr>
                <w:color w:val="000000"/>
                <w:kern w:val="0"/>
                <w:sz w:val="24"/>
              </w:rPr>
              <w:t>年</w:t>
            </w:r>
            <w:r w:rsidRPr="00611AEC">
              <w:rPr>
                <w:color w:val="000000"/>
                <w:kern w:val="0"/>
                <w:sz w:val="24"/>
              </w:rPr>
              <w:t>10</w:t>
            </w:r>
            <w:r w:rsidRPr="00611AEC">
              <w:rPr>
                <w:color w:val="000000"/>
                <w:kern w:val="0"/>
                <w:sz w:val="24"/>
              </w:rPr>
              <w:t>月</w:t>
            </w:r>
            <w:r w:rsidRPr="00611AEC">
              <w:rPr>
                <w:color w:val="000000"/>
                <w:kern w:val="0"/>
                <w:sz w:val="24"/>
              </w:rPr>
              <w:t>1</w:t>
            </w:r>
            <w:r w:rsidRPr="00611AEC">
              <w:rPr>
                <w:color w:val="000000"/>
                <w:kern w:val="0"/>
                <w:sz w:val="24"/>
              </w:rPr>
              <w:t>日</w:t>
            </w:r>
            <w:r w:rsidRPr="00611AEC">
              <w:rPr>
                <w:rFonts w:hint="eastAsia"/>
                <w:color w:val="000000"/>
                <w:kern w:val="0"/>
                <w:sz w:val="24"/>
              </w:rPr>
              <w:t>-</w:t>
            </w:r>
            <w:r w:rsidRPr="00611AEC">
              <w:rPr>
                <w:color w:val="000000"/>
                <w:kern w:val="0"/>
                <w:sz w:val="24"/>
              </w:rPr>
              <w:t>2014</w:t>
            </w:r>
            <w:r w:rsidRPr="00611AEC">
              <w:rPr>
                <w:color w:val="000000"/>
                <w:kern w:val="0"/>
                <w:sz w:val="24"/>
              </w:rPr>
              <w:t>年</w:t>
            </w:r>
            <w:r w:rsidRPr="00611AEC">
              <w:rPr>
                <w:color w:val="000000"/>
                <w:kern w:val="0"/>
                <w:sz w:val="24"/>
              </w:rPr>
              <w:t>12</w:t>
            </w:r>
            <w:r w:rsidRPr="00611AEC">
              <w:rPr>
                <w:color w:val="000000"/>
                <w:kern w:val="0"/>
                <w:sz w:val="24"/>
              </w:rPr>
              <w:t>月</w:t>
            </w:r>
            <w:r w:rsidRPr="00611AEC">
              <w:rPr>
                <w:color w:val="000000"/>
                <w:kern w:val="0"/>
                <w:sz w:val="24"/>
              </w:rPr>
              <w:t>31</w:t>
            </w:r>
            <w:r w:rsidRPr="00611AEC">
              <w:rPr>
                <w:color w:val="000000"/>
                <w:kern w:val="0"/>
                <w:sz w:val="24"/>
              </w:rPr>
              <w:t>日</w:t>
            </w:r>
            <w:r w:rsidRPr="00611AEC">
              <w:rPr>
                <w:rFonts w:hint="eastAsia"/>
                <w:color w:val="000000"/>
                <w:kern w:val="0"/>
                <w:sz w:val="24"/>
              </w:rPr>
              <w:t>）</w:t>
            </w:r>
          </w:p>
        </w:tc>
      </w:tr>
      <w:tr w:rsidR="005367AA" w:rsidRPr="006662B2" w:rsidTr="005367AA">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8D4143">
              <w:rPr>
                <w:kern w:val="0"/>
                <w:sz w:val="24"/>
              </w:rPr>
              <w:t>1.</w:t>
            </w:r>
            <w:r w:rsidRPr="008D4143">
              <w:rPr>
                <w:rFonts w:hint="eastAsia"/>
                <w:kern w:val="0"/>
                <w:sz w:val="24"/>
              </w:rPr>
              <w:t>本期已实现收益</w:t>
            </w:r>
          </w:p>
        </w:tc>
        <w:tc>
          <w:tcPr>
            <w:tcW w:w="4962" w:type="dxa"/>
            <w:vAlign w:val="center"/>
          </w:tcPr>
          <w:p w:rsidR="00D43232" w:rsidRPr="00611AEC" w:rsidRDefault="00D43232" w:rsidP="005367AA">
            <w:pPr>
              <w:adjustRightInd w:val="0"/>
              <w:spacing w:before="29" w:line="288" w:lineRule="auto"/>
              <w:ind w:left="17"/>
              <w:jc w:val="right"/>
              <w:rPr>
                <w:color w:val="000000"/>
                <w:kern w:val="0"/>
                <w:sz w:val="24"/>
              </w:rPr>
            </w:pPr>
            <w:r w:rsidRPr="00611AEC">
              <w:rPr>
                <w:color w:val="000000"/>
                <w:kern w:val="0"/>
                <w:sz w:val="24"/>
              </w:rPr>
              <w:t>1,198,452.82</w:t>
            </w:r>
          </w:p>
        </w:tc>
      </w:tr>
      <w:tr w:rsidR="005367AA" w:rsidRPr="006662B2" w:rsidTr="005367AA">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611AEC">
              <w:rPr>
                <w:rFonts w:hAnsi="宋体"/>
                <w:kern w:val="0"/>
                <w:sz w:val="24"/>
              </w:rPr>
              <w:t>2.</w:t>
            </w:r>
            <w:r w:rsidRPr="00611AEC">
              <w:rPr>
                <w:rFonts w:hAnsi="宋体" w:hint="eastAsia"/>
                <w:kern w:val="0"/>
                <w:sz w:val="24"/>
              </w:rPr>
              <w:t>本期利润</w:t>
            </w:r>
          </w:p>
        </w:tc>
        <w:tc>
          <w:tcPr>
            <w:tcW w:w="4962" w:type="dxa"/>
            <w:vAlign w:val="center"/>
          </w:tcPr>
          <w:p w:rsidR="00D43232" w:rsidRPr="00611AEC" w:rsidRDefault="00D43232" w:rsidP="005367AA">
            <w:pPr>
              <w:adjustRightInd w:val="0"/>
              <w:spacing w:before="29" w:line="288" w:lineRule="auto"/>
              <w:ind w:left="17"/>
              <w:jc w:val="right"/>
              <w:rPr>
                <w:color w:val="000000"/>
                <w:kern w:val="0"/>
                <w:sz w:val="24"/>
              </w:rPr>
            </w:pPr>
            <w:r w:rsidRPr="00611AEC">
              <w:rPr>
                <w:color w:val="000000"/>
                <w:kern w:val="0"/>
                <w:sz w:val="24"/>
              </w:rPr>
              <w:t>1,198,452.82</w:t>
            </w:r>
          </w:p>
        </w:tc>
      </w:tr>
      <w:tr w:rsidR="005367AA" w:rsidRPr="006662B2" w:rsidTr="005367AA">
        <w:tc>
          <w:tcPr>
            <w:tcW w:w="3402" w:type="dxa"/>
            <w:vAlign w:val="center"/>
          </w:tcPr>
          <w:p w:rsidR="00D43232" w:rsidRPr="00611AEC" w:rsidRDefault="00DA3451" w:rsidP="00CD3718">
            <w:pPr>
              <w:adjustRightInd w:val="0"/>
              <w:spacing w:before="29" w:line="288" w:lineRule="auto"/>
              <w:ind w:left="17"/>
              <w:rPr>
                <w:rFonts w:hAnsi="宋体"/>
                <w:kern w:val="0"/>
                <w:sz w:val="24"/>
              </w:rPr>
            </w:pPr>
            <w:r w:rsidRPr="00611AEC">
              <w:rPr>
                <w:rFonts w:hAnsi="宋体" w:hint="eastAsia"/>
                <w:kern w:val="0"/>
                <w:sz w:val="24"/>
              </w:rPr>
              <w:t>3</w:t>
            </w:r>
            <w:r w:rsidR="00D43232" w:rsidRPr="00611AEC">
              <w:rPr>
                <w:rFonts w:hAnsi="宋体"/>
                <w:kern w:val="0"/>
                <w:sz w:val="24"/>
              </w:rPr>
              <w:t>.</w:t>
            </w:r>
            <w:r w:rsidR="00D43232" w:rsidRPr="00611AEC">
              <w:rPr>
                <w:rFonts w:hAnsi="宋体" w:hint="eastAsia"/>
                <w:kern w:val="0"/>
                <w:sz w:val="24"/>
              </w:rPr>
              <w:t>期末基金资产净值</w:t>
            </w:r>
          </w:p>
        </w:tc>
        <w:tc>
          <w:tcPr>
            <w:tcW w:w="4962" w:type="dxa"/>
            <w:vAlign w:val="center"/>
          </w:tcPr>
          <w:p w:rsidR="00D43232" w:rsidRPr="00611AEC" w:rsidRDefault="00D43232" w:rsidP="005367AA">
            <w:pPr>
              <w:adjustRightInd w:val="0"/>
              <w:spacing w:before="29" w:line="288" w:lineRule="auto"/>
              <w:ind w:left="17"/>
              <w:jc w:val="right"/>
              <w:rPr>
                <w:color w:val="000000"/>
                <w:kern w:val="0"/>
                <w:sz w:val="24"/>
              </w:rPr>
            </w:pPr>
            <w:r w:rsidRPr="00611AEC">
              <w:rPr>
                <w:color w:val="000000"/>
                <w:kern w:val="0"/>
                <w:sz w:val="24"/>
              </w:rPr>
              <w:t>599,443,763.51</w:t>
            </w:r>
          </w:p>
        </w:tc>
      </w:tr>
    </w:tbl>
    <w:p w:rsidR="00D7022C" w:rsidRDefault="005367A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、自合同生效日起，本基金按照</w:t>
      </w:r>
      <w:r>
        <w:rPr>
          <w:color w:val="000000"/>
          <w:sz w:val="24"/>
        </w:rPr>
        <w:t>0.25%</w:t>
      </w:r>
      <w:r>
        <w:rPr>
          <w:color w:val="000000"/>
          <w:sz w:val="24"/>
        </w:rPr>
        <w:t>的年费率计提销售服务费。</w:t>
      </w:r>
    </w:p>
    <w:p w:rsidR="00D43232" w:rsidRPr="00CE1F91" w:rsidRDefault="00D43232" w:rsidP="00CE1F91">
      <w:pPr>
        <w:autoSpaceDE w:val="0"/>
        <w:autoSpaceDN w:val="0"/>
        <w:adjustRightInd w:val="0"/>
        <w:spacing w:before="29" w:line="288" w:lineRule="auto"/>
        <w:jc w:val="left"/>
        <w:rPr>
          <w:color w:val="000000"/>
          <w:sz w:val="24"/>
        </w:rPr>
      </w:pPr>
      <w:r w:rsidRPr="00CE1F91">
        <w:rPr>
          <w:color w:val="000000"/>
          <w:sz w:val="24"/>
        </w:rPr>
        <w:t xml:space="preserve">   </w:t>
      </w:r>
      <w:r w:rsidR="001B3517">
        <w:rPr>
          <w:color w:val="000000"/>
          <w:sz w:val="24"/>
        </w:rPr>
        <w:t xml:space="preserve"> </w:t>
      </w:r>
      <w:r w:rsidRPr="00CE1F91">
        <w:rPr>
          <w:color w:val="000000"/>
          <w:sz w:val="24"/>
        </w:rPr>
        <w:t>2</w:t>
      </w:r>
      <w:r w:rsidRPr="00CE1F91">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A37D1" w:rsidRDefault="00902E3F" w:rsidP="000A37D1">
      <w:pPr>
        <w:spacing w:before="29" w:line="288" w:lineRule="auto"/>
        <w:rPr>
          <w:b/>
          <w:color w:val="000000"/>
          <w:kern w:val="0"/>
          <w:sz w:val="24"/>
        </w:rPr>
      </w:pPr>
      <w:r w:rsidRPr="000A37D1">
        <w:rPr>
          <w:b/>
          <w:color w:val="000000"/>
          <w:kern w:val="0"/>
          <w:sz w:val="24"/>
        </w:rPr>
        <w:t xml:space="preserve">3.2 </w:t>
      </w:r>
      <w:r w:rsidRPr="000A37D1">
        <w:rPr>
          <w:rFonts w:hint="eastAsia"/>
          <w:b/>
          <w:color w:val="000000"/>
          <w:kern w:val="0"/>
          <w:sz w:val="24"/>
        </w:rPr>
        <w:t>基金净值表现</w:t>
      </w:r>
    </w:p>
    <w:p w:rsidR="00902E3F" w:rsidRPr="000A37D1" w:rsidRDefault="00902E3F" w:rsidP="000A37D1">
      <w:pPr>
        <w:spacing w:before="29" w:line="288" w:lineRule="auto"/>
        <w:rPr>
          <w:b/>
          <w:color w:val="000000"/>
          <w:kern w:val="0"/>
          <w:sz w:val="24"/>
        </w:rPr>
      </w:pPr>
      <w:r w:rsidRPr="000A37D1">
        <w:rPr>
          <w:b/>
          <w:color w:val="000000"/>
          <w:kern w:val="0"/>
          <w:sz w:val="24"/>
        </w:rPr>
        <w:t xml:space="preserve">3.2.1 </w:t>
      </w:r>
      <w:r w:rsidRPr="000A37D1">
        <w:rPr>
          <w:rFonts w:hint="eastAsia"/>
          <w:b/>
          <w:color w:val="000000"/>
          <w:kern w:val="0"/>
          <w:sz w:val="24"/>
        </w:rPr>
        <w:t>本报告期基金份额净值收益率及其与同期业绩比较基准收益率的比较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285"/>
        <w:gridCol w:w="1285"/>
        <w:gridCol w:w="1286"/>
        <w:gridCol w:w="1286"/>
        <w:gridCol w:w="1286"/>
        <w:gridCol w:w="1286"/>
      </w:tblGrid>
      <w:tr w:rsidR="003A169E" w:rsidRPr="006662B2" w:rsidTr="00A8129A">
        <w:tc>
          <w:tcPr>
            <w:tcW w:w="126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阶段</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净值收益率①</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净值收益率标准差②</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业绩比较基准收益率标准差④</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①</w:t>
            </w:r>
            <w:r w:rsidRPr="000A37D1">
              <w:rPr>
                <w:rFonts w:ascii="Times New Roman" w:hint="eastAsia"/>
                <w:color w:val="000000"/>
                <w:szCs w:val="24"/>
              </w:rPr>
              <w:t>-</w:t>
            </w:r>
            <w:r w:rsidRPr="000A37D1">
              <w:rPr>
                <w:rFonts w:ascii="Times New Roman" w:hint="eastAsia"/>
                <w:color w:val="000000"/>
                <w:szCs w:val="24"/>
              </w:rPr>
              <w:t>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②</w:t>
            </w:r>
            <w:r w:rsidRPr="000A37D1">
              <w:rPr>
                <w:rFonts w:ascii="Times New Roman" w:hint="eastAsia"/>
                <w:color w:val="000000"/>
                <w:szCs w:val="24"/>
              </w:rPr>
              <w:t>-</w:t>
            </w:r>
            <w:r w:rsidRPr="000A37D1">
              <w:rPr>
                <w:rFonts w:ascii="Times New Roman" w:hint="eastAsia"/>
                <w:color w:val="000000"/>
                <w:szCs w:val="24"/>
              </w:rPr>
              <w:t>④</w:t>
            </w:r>
          </w:p>
        </w:tc>
      </w:tr>
      <w:tr w:rsidR="00D7022C" w:rsidTr="00B60FB7">
        <w:trPr>
          <w:trHeight w:val="411"/>
        </w:trPr>
        <w:tc>
          <w:tcPr>
            <w:tcW w:w="1284" w:type="dxa"/>
            <w:vAlign w:val="center"/>
          </w:tcPr>
          <w:p w:rsidR="00D7022C" w:rsidRDefault="005367AA">
            <w:pPr>
              <w:jc w:val="left"/>
            </w:pPr>
            <w:r>
              <w:rPr>
                <w:color w:val="000000"/>
              </w:rPr>
              <w:t>过去三个月</w:t>
            </w:r>
          </w:p>
        </w:tc>
        <w:tc>
          <w:tcPr>
            <w:tcW w:w="1285" w:type="dxa"/>
            <w:vAlign w:val="center"/>
          </w:tcPr>
          <w:p w:rsidR="00D7022C" w:rsidRDefault="005367AA">
            <w:pPr>
              <w:jc w:val="center"/>
            </w:pPr>
            <w:r>
              <w:rPr>
                <w:color w:val="000000"/>
              </w:rPr>
              <w:t>0.8158%</w:t>
            </w:r>
          </w:p>
        </w:tc>
        <w:tc>
          <w:tcPr>
            <w:tcW w:w="1285" w:type="dxa"/>
            <w:vAlign w:val="center"/>
          </w:tcPr>
          <w:p w:rsidR="00D7022C" w:rsidRDefault="005367AA">
            <w:pPr>
              <w:jc w:val="center"/>
            </w:pPr>
            <w:r>
              <w:rPr>
                <w:color w:val="000000"/>
              </w:rPr>
              <w:t>0.0099%</w:t>
            </w:r>
          </w:p>
        </w:tc>
        <w:tc>
          <w:tcPr>
            <w:tcW w:w="1286" w:type="dxa"/>
            <w:vAlign w:val="center"/>
          </w:tcPr>
          <w:p w:rsidR="00D7022C" w:rsidRDefault="005367AA">
            <w:pPr>
              <w:jc w:val="center"/>
            </w:pPr>
            <w:r>
              <w:rPr>
                <w:color w:val="000000"/>
              </w:rPr>
              <w:t>0.0882%</w:t>
            </w:r>
          </w:p>
        </w:tc>
        <w:tc>
          <w:tcPr>
            <w:tcW w:w="1286" w:type="dxa"/>
            <w:vAlign w:val="center"/>
          </w:tcPr>
          <w:p w:rsidR="00D7022C" w:rsidRDefault="005367AA">
            <w:pPr>
              <w:jc w:val="center"/>
            </w:pPr>
            <w:r>
              <w:rPr>
                <w:color w:val="000000"/>
              </w:rPr>
              <w:t>0.0000%</w:t>
            </w:r>
          </w:p>
        </w:tc>
        <w:tc>
          <w:tcPr>
            <w:tcW w:w="1286" w:type="dxa"/>
            <w:vAlign w:val="center"/>
          </w:tcPr>
          <w:p w:rsidR="00D7022C" w:rsidRDefault="005367AA">
            <w:pPr>
              <w:jc w:val="center"/>
            </w:pPr>
            <w:r>
              <w:rPr>
                <w:color w:val="000000"/>
              </w:rPr>
              <w:t>0.7276%</w:t>
            </w:r>
          </w:p>
        </w:tc>
        <w:tc>
          <w:tcPr>
            <w:tcW w:w="1286" w:type="dxa"/>
            <w:vAlign w:val="center"/>
          </w:tcPr>
          <w:p w:rsidR="00D7022C" w:rsidRDefault="005367AA">
            <w:pPr>
              <w:jc w:val="center"/>
            </w:pPr>
            <w:r>
              <w:rPr>
                <w:color w:val="000000"/>
              </w:rPr>
              <w:t>0.0099%</w:t>
            </w:r>
          </w:p>
        </w:tc>
      </w:tr>
    </w:tbl>
    <w:p w:rsidR="00C86529" w:rsidRPr="000A37D1" w:rsidRDefault="00C86529" w:rsidP="000A37D1">
      <w:pPr>
        <w:autoSpaceDE w:val="0"/>
        <w:autoSpaceDN w:val="0"/>
        <w:adjustRightInd w:val="0"/>
        <w:spacing w:before="29" w:line="288" w:lineRule="auto"/>
        <w:jc w:val="left"/>
        <w:rPr>
          <w:color w:val="000000"/>
          <w:sz w:val="24"/>
        </w:rPr>
      </w:pPr>
      <w:r w:rsidRPr="000A37D1">
        <w:rPr>
          <w:color w:val="000000"/>
          <w:sz w:val="24"/>
        </w:rPr>
        <w:t>注：本基金收益分配按日结转份额。</w:t>
      </w:r>
    </w:p>
    <w:p w:rsidR="00E145BC" w:rsidRPr="006662B2" w:rsidRDefault="00E145BC" w:rsidP="00C30110">
      <w:pPr>
        <w:rPr>
          <w:rFonts w:asciiTheme="minorEastAsia" w:eastAsiaTheme="minorEastAsia" w:hAnsiTheme="minorEastAsia" w:cs="Arial"/>
          <w:color w:val="000000"/>
          <w:kern w:val="0"/>
          <w:sz w:val="24"/>
        </w:rPr>
      </w:pPr>
    </w:p>
    <w:p w:rsidR="00902E3F" w:rsidRPr="00567BAC" w:rsidRDefault="00902E3F" w:rsidP="00567BAC">
      <w:pPr>
        <w:spacing w:before="29" w:line="288" w:lineRule="auto"/>
        <w:rPr>
          <w:b/>
          <w:color w:val="000000"/>
          <w:kern w:val="0"/>
          <w:sz w:val="24"/>
        </w:rPr>
      </w:pPr>
      <w:r w:rsidRPr="00567BAC">
        <w:rPr>
          <w:b/>
          <w:color w:val="000000"/>
          <w:kern w:val="0"/>
          <w:sz w:val="24"/>
        </w:rPr>
        <w:t>3.2.2</w:t>
      </w:r>
      <w:r w:rsidR="00A73419">
        <w:rPr>
          <w:rFonts w:hint="eastAsia"/>
          <w:b/>
          <w:color w:val="000000"/>
          <w:kern w:val="0"/>
          <w:sz w:val="24"/>
        </w:rPr>
        <w:t xml:space="preserve"> </w:t>
      </w:r>
      <w:r w:rsidR="00A64B4F">
        <w:rPr>
          <w:rFonts w:hint="eastAsia"/>
          <w:b/>
          <w:color w:val="000000"/>
          <w:kern w:val="0"/>
          <w:sz w:val="24"/>
        </w:rPr>
        <w:t xml:space="preserve"> </w:t>
      </w:r>
      <w:r w:rsidR="00A73419" w:rsidRPr="00E0237F">
        <w:rPr>
          <w:rFonts w:hint="eastAsia"/>
          <w:b/>
          <w:color w:val="000000"/>
          <w:kern w:val="0"/>
          <w:sz w:val="24"/>
        </w:rPr>
        <w:t>自基金合同生效以来</w:t>
      </w:r>
      <w:r w:rsidRPr="00567BAC">
        <w:rPr>
          <w:rFonts w:hint="eastAsia"/>
          <w:b/>
          <w:color w:val="000000"/>
          <w:kern w:val="0"/>
          <w:sz w:val="24"/>
        </w:rPr>
        <w:t>基金累计净值收益率变动及其与同期业绩比较基准收益率变动的比较</w:t>
      </w:r>
    </w:p>
    <w:p w:rsidR="007F525E" w:rsidRPr="00567BAC" w:rsidRDefault="007F525E" w:rsidP="00567BAC">
      <w:pPr>
        <w:pStyle w:val="a6"/>
        <w:snapToGrid w:val="0"/>
        <w:spacing w:before="29" w:line="288" w:lineRule="auto"/>
        <w:jc w:val="center"/>
        <w:rPr>
          <w:rFonts w:ascii="Times New Roman" w:hAnsi="宋体"/>
          <w:sz w:val="24"/>
          <w:szCs w:val="24"/>
        </w:rPr>
      </w:pPr>
      <w:r w:rsidRPr="00567BAC">
        <w:rPr>
          <w:rFonts w:ascii="Times New Roman" w:hAnsi="宋体" w:hint="eastAsia"/>
          <w:sz w:val="24"/>
          <w:szCs w:val="24"/>
        </w:rPr>
        <w:t>交银施罗德现金宝货币市场基金</w:t>
      </w:r>
    </w:p>
    <w:p w:rsidR="00825EA5" w:rsidRPr="006662B2" w:rsidRDefault="00825EA5" w:rsidP="00567BAC">
      <w:pPr>
        <w:pStyle w:val="a6"/>
        <w:snapToGrid w:val="0"/>
        <w:spacing w:before="29" w:line="288" w:lineRule="auto"/>
        <w:jc w:val="center"/>
        <w:rPr>
          <w:rFonts w:asciiTheme="minorEastAsia" w:eastAsiaTheme="minorEastAsia" w:hAnsiTheme="minorEastAsia"/>
          <w:sz w:val="24"/>
          <w:szCs w:val="24"/>
        </w:rPr>
      </w:pPr>
      <w:r w:rsidRPr="006662B2">
        <w:rPr>
          <w:rFonts w:asciiTheme="minorEastAsia" w:eastAsiaTheme="minorEastAsia" w:hAnsiTheme="minorEastAsia" w:hint="eastAsia"/>
          <w:sz w:val="24"/>
          <w:szCs w:val="24"/>
        </w:rPr>
        <w:t>累计净值收益率与业绩比较基准收益率历史走势对比图</w:t>
      </w:r>
    </w:p>
    <w:p w:rsidR="00AC7FEB" w:rsidRPr="00567BAC" w:rsidRDefault="00AC7FEB" w:rsidP="00567BAC">
      <w:pPr>
        <w:spacing w:before="29" w:line="288" w:lineRule="auto"/>
        <w:jc w:val="center"/>
        <w:rPr>
          <w:rFonts w:hAnsi="宋体"/>
          <w:color w:val="000000"/>
          <w:sz w:val="24"/>
        </w:rPr>
      </w:pPr>
      <w:r w:rsidRPr="00567BAC">
        <w:rPr>
          <w:rFonts w:hAnsi="宋体" w:hint="eastAsia"/>
          <w:color w:val="000000"/>
          <w:sz w:val="24"/>
        </w:rPr>
        <w:t>（</w:t>
      </w:r>
      <w:r w:rsidR="009452B9" w:rsidRPr="00567BAC">
        <w:rPr>
          <w:rFonts w:hAnsi="宋体"/>
          <w:color w:val="000000"/>
          <w:sz w:val="24"/>
        </w:rPr>
        <w:t>2014</w:t>
      </w:r>
      <w:r w:rsidR="009452B9" w:rsidRPr="00567BAC">
        <w:rPr>
          <w:rFonts w:hAnsi="宋体"/>
          <w:color w:val="000000"/>
          <w:sz w:val="24"/>
        </w:rPr>
        <w:t>年</w:t>
      </w:r>
      <w:r w:rsidR="009452B9" w:rsidRPr="00567BAC">
        <w:rPr>
          <w:rFonts w:hAnsi="宋体"/>
          <w:color w:val="000000"/>
          <w:sz w:val="24"/>
        </w:rPr>
        <w:t>9</w:t>
      </w:r>
      <w:r w:rsidR="009452B9" w:rsidRPr="00567BAC">
        <w:rPr>
          <w:rFonts w:hAnsi="宋体"/>
          <w:color w:val="000000"/>
          <w:sz w:val="24"/>
        </w:rPr>
        <w:t>月</w:t>
      </w:r>
      <w:r w:rsidR="009452B9" w:rsidRPr="00567BAC">
        <w:rPr>
          <w:rFonts w:hAnsi="宋体"/>
          <w:color w:val="000000"/>
          <w:sz w:val="24"/>
        </w:rPr>
        <w:t>12</w:t>
      </w:r>
      <w:r w:rsidR="009452B9" w:rsidRPr="00567BAC">
        <w:rPr>
          <w:rFonts w:hAnsi="宋体"/>
          <w:color w:val="000000"/>
          <w:sz w:val="24"/>
        </w:rPr>
        <w:t>日</w:t>
      </w:r>
      <w:r w:rsidRPr="00567BAC">
        <w:rPr>
          <w:rFonts w:hAnsi="宋体" w:hint="eastAsia"/>
          <w:color w:val="000000"/>
          <w:sz w:val="24"/>
        </w:rPr>
        <w:t>至</w:t>
      </w:r>
      <w:r w:rsidRPr="00567BAC">
        <w:rPr>
          <w:rFonts w:hAnsi="宋体" w:hint="eastAsia"/>
          <w:color w:val="000000"/>
          <w:sz w:val="24"/>
        </w:rPr>
        <w:t>2014</w:t>
      </w:r>
      <w:r w:rsidRPr="00567BAC">
        <w:rPr>
          <w:rFonts w:hAnsi="宋体" w:hint="eastAsia"/>
          <w:color w:val="000000"/>
          <w:sz w:val="24"/>
        </w:rPr>
        <w:t>年</w:t>
      </w:r>
      <w:r w:rsidRPr="00567BAC">
        <w:rPr>
          <w:rFonts w:hAnsi="宋体" w:hint="eastAsia"/>
          <w:color w:val="000000"/>
          <w:sz w:val="24"/>
        </w:rPr>
        <w:t>12</w:t>
      </w:r>
      <w:r w:rsidRPr="00567BAC">
        <w:rPr>
          <w:rFonts w:hAnsi="宋体" w:hint="eastAsia"/>
          <w:color w:val="000000"/>
          <w:sz w:val="24"/>
        </w:rPr>
        <w:t>月</w:t>
      </w:r>
      <w:r w:rsidRPr="00567BAC">
        <w:rPr>
          <w:rFonts w:hAnsi="宋体" w:hint="eastAsia"/>
          <w:color w:val="000000"/>
          <w:sz w:val="24"/>
        </w:rPr>
        <w:t>31</w:t>
      </w:r>
      <w:r w:rsidRPr="00567BAC">
        <w:rPr>
          <w:rFonts w:hAnsi="宋体" w:hint="eastAsia"/>
          <w:color w:val="000000"/>
          <w:sz w:val="24"/>
        </w:rPr>
        <w:t>日）</w:t>
      </w:r>
    </w:p>
    <w:p w:rsidR="009D0796" w:rsidRPr="006662B2" w:rsidRDefault="00B55F93" w:rsidP="009D0796">
      <w:pPr>
        <w:tabs>
          <w:tab w:val="left" w:pos="1800"/>
        </w:tabs>
        <w:spacing w:line="360" w:lineRule="auto"/>
        <w:jc w:val="center"/>
        <w:rPr>
          <w:rFonts w:asciiTheme="minorEastAsia" w:eastAsiaTheme="minorEastAsia" w:hAnsiTheme="minorEastAsia"/>
          <w:color w:val="000000"/>
          <w:sz w:val="24"/>
        </w:rPr>
      </w:pPr>
      <w:r>
        <w:rPr>
          <w:rFonts w:asciiTheme="minorEastAsia" w:eastAsiaTheme="minorEastAsia" w:hAnsiTheme="minorEastAsia"/>
          <w:noProof/>
          <w:color w:val="000000"/>
          <w:sz w:val="24"/>
        </w:rPr>
        <w:lastRenderedPageBreak/>
        <w:drawing>
          <wp:inline distT="0" distB="0" distL="0" distR="0">
            <wp:extent cx="5772150" cy="3381375"/>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Default="00C86529" w:rsidP="00567BAC">
      <w:pPr>
        <w:autoSpaceDE w:val="0"/>
        <w:autoSpaceDN w:val="0"/>
        <w:adjustRightInd w:val="0"/>
        <w:spacing w:before="29" w:line="288" w:lineRule="auto"/>
        <w:jc w:val="left"/>
        <w:rPr>
          <w:color w:val="000000"/>
          <w:sz w:val="24"/>
        </w:rPr>
      </w:pPr>
      <w:r w:rsidRPr="00567BAC">
        <w:rPr>
          <w:color w:val="000000"/>
          <w:sz w:val="24"/>
        </w:rPr>
        <w:t>注：本基金基金合同生效日为</w:t>
      </w:r>
      <w:r w:rsidRPr="00567BAC">
        <w:rPr>
          <w:color w:val="000000"/>
          <w:sz w:val="24"/>
        </w:rPr>
        <w:t>2014</w:t>
      </w:r>
      <w:r w:rsidRPr="00567BAC">
        <w:rPr>
          <w:color w:val="000000"/>
          <w:sz w:val="24"/>
        </w:rPr>
        <w:t>年</w:t>
      </w:r>
      <w:r w:rsidRPr="00567BAC">
        <w:rPr>
          <w:color w:val="000000"/>
          <w:sz w:val="24"/>
        </w:rPr>
        <w:t>9</w:t>
      </w:r>
      <w:r w:rsidRPr="00567BAC">
        <w:rPr>
          <w:color w:val="000000"/>
          <w:sz w:val="24"/>
        </w:rPr>
        <w:t>月</w:t>
      </w:r>
      <w:r w:rsidRPr="00567BAC">
        <w:rPr>
          <w:color w:val="000000"/>
          <w:sz w:val="24"/>
        </w:rPr>
        <w:t>12</w:t>
      </w:r>
      <w:r w:rsidRPr="00567BAC">
        <w:rPr>
          <w:color w:val="000000"/>
          <w:sz w:val="24"/>
        </w:rPr>
        <w:t>日，基金合同生效日至报告期期末，本基金运作时间未满一年。本基金建仓期为自基金合同生效日起的</w:t>
      </w:r>
      <w:r w:rsidRPr="00567BAC">
        <w:rPr>
          <w:color w:val="000000"/>
          <w:sz w:val="24"/>
        </w:rPr>
        <w:t>6</w:t>
      </w:r>
      <w:r w:rsidRPr="00567BAC">
        <w:rPr>
          <w:color w:val="000000"/>
          <w:sz w:val="24"/>
        </w:rPr>
        <w:t>个月。截至</w:t>
      </w:r>
      <w:r w:rsidRPr="00567BAC">
        <w:rPr>
          <w:color w:val="000000"/>
          <w:sz w:val="24"/>
        </w:rPr>
        <w:t>2014</w:t>
      </w:r>
      <w:r w:rsidRPr="00567BAC">
        <w:rPr>
          <w:color w:val="000000"/>
          <w:sz w:val="24"/>
        </w:rPr>
        <w:t>年</w:t>
      </w:r>
      <w:r w:rsidRPr="00567BAC">
        <w:rPr>
          <w:color w:val="000000"/>
          <w:sz w:val="24"/>
        </w:rPr>
        <w:t>12</w:t>
      </w:r>
      <w:r w:rsidRPr="00567BAC">
        <w:rPr>
          <w:color w:val="000000"/>
          <w:sz w:val="24"/>
        </w:rPr>
        <w:t>月</w:t>
      </w:r>
      <w:r w:rsidRPr="00567BAC">
        <w:rPr>
          <w:color w:val="000000"/>
          <w:sz w:val="24"/>
        </w:rPr>
        <w:t>31</w:t>
      </w:r>
      <w:r w:rsidRPr="00567BAC">
        <w:rPr>
          <w:color w:val="000000"/>
          <w:sz w:val="24"/>
        </w:rPr>
        <w:t>日，本基金尚处于建仓期。</w:t>
      </w:r>
    </w:p>
    <w:p w:rsidR="00925C97" w:rsidRPr="00567BAC" w:rsidRDefault="00925C97" w:rsidP="00567BAC">
      <w:pPr>
        <w:autoSpaceDE w:val="0"/>
        <w:autoSpaceDN w:val="0"/>
        <w:adjustRightInd w:val="0"/>
        <w:spacing w:before="29" w:line="288" w:lineRule="auto"/>
        <w:jc w:val="left"/>
        <w:rPr>
          <w:color w:val="000000"/>
          <w:sz w:val="24"/>
        </w:rPr>
      </w:pPr>
    </w:p>
    <w:p w:rsidR="00902E3F" w:rsidRPr="003306EE" w:rsidRDefault="00902E3F" w:rsidP="00B60FB7">
      <w:pPr>
        <w:pStyle w:val="1"/>
        <w:spacing w:beforeLines="100" w:before="240" w:afterLines="100" w:after="240" w:line="288" w:lineRule="auto"/>
        <w:jc w:val="center"/>
        <w:rPr>
          <w:color w:val="000000"/>
          <w:kern w:val="0"/>
          <w:sz w:val="24"/>
          <w:szCs w:val="24"/>
        </w:rPr>
      </w:pPr>
      <w:r w:rsidRPr="003306EE">
        <w:rPr>
          <w:rFonts w:hint="eastAsia"/>
          <w:color w:val="000000"/>
          <w:kern w:val="0"/>
          <w:sz w:val="24"/>
          <w:szCs w:val="24"/>
        </w:rPr>
        <w:t>§</w:t>
      </w:r>
      <w:r w:rsidRPr="003306EE">
        <w:rPr>
          <w:color w:val="000000"/>
          <w:kern w:val="0"/>
          <w:sz w:val="24"/>
          <w:szCs w:val="24"/>
        </w:rPr>
        <w:t xml:space="preserve">4  </w:t>
      </w:r>
      <w:r w:rsidRPr="003306EE">
        <w:rPr>
          <w:rFonts w:hint="eastAsia"/>
          <w:color w:val="000000"/>
          <w:kern w:val="0"/>
          <w:sz w:val="24"/>
          <w:szCs w:val="24"/>
        </w:rPr>
        <w:t>管理人报告</w:t>
      </w:r>
    </w:p>
    <w:p w:rsidR="00902E3F" w:rsidRPr="003306EE" w:rsidRDefault="00902E3F" w:rsidP="003306EE">
      <w:pPr>
        <w:autoSpaceDE w:val="0"/>
        <w:autoSpaceDN w:val="0"/>
        <w:adjustRightInd w:val="0"/>
        <w:spacing w:before="29" w:line="288" w:lineRule="auto"/>
        <w:jc w:val="left"/>
        <w:rPr>
          <w:b/>
          <w:color w:val="000000"/>
          <w:kern w:val="0"/>
          <w:sz w:val="24"/>
        </w:rPr>
      </w:pPr>
      <w:r w:rsidRPr="003306EE">
        <w:rPr>
          <w:b/>
          <w:color w:val="000000"/>
          <w:kern w:val="0"/>
          <w:sz w:val="24"/>
        </w:rPr>
        <w:t xml:space="preserve">4.1 </w:t>
      </w:r>
      <w:r w:rsidRPr="003306EE">
        <w:rPr>
          <w:rFonts w:hint="eastAsia"/>
          <w:b/>
          <w:color w:val="000000"/>
          <w:kern w:val="0"/>
          <w:sz w:val="24"/>
        </w:rPr>
        <w:t>基金经理（或基金经理小组）简介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1439"/>
        <w:gridCol w:w="1582"/>
        <w:gridCol w:w="1439"/>
        <w:gridCol w:w="1007"/>
        <w:gridCol w:w="2492"/>
      </w:tblGrid>
      <w:tr w:rsidR="00C86529" w:rsidRPr="006662B2" w:rsidTr="00A8129A">
        <w:trPr>
          <w:trHeight w:val="292"/>
        </w:trPr>
        <w:tc>
          <w:tcPr>
            <w:tcW w:w="1025"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姓名</w:t>
            </w:r>
          </w:p>
        </w:tc>
        <w:tc>
          <w:tcPr>
            <w:tcW w:w="1418"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职务</w:t>
            </w:r>
          </w:p>
        </w:tc>
        <w:tc>
          <w:tcPr>
            <w:tcW w:w="2977" w:type="dxa"/>
            <w:gridSpan w:val="2"/>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任本基金的基金经理期限</w:t>
            </w:r>
          </w:p>
        </w:tc>
        <w:tc>
          <w:tcPr>
            <w:tcW w:w="992"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证券从业年限</w:t>
            </w:r>
          </w:p>
        </w:tc>
        <w:tc>
          <w:tcPr>
            <w:tcW w:w="2456"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说明</w:t>
            </w:r>
          </w:p>
        </w:tc>
      </w:tr>
      <w:tr w:rsidR="00C86529" w:rsidRPr="006662B2" w:rsidTr="00A8129A">
        <w:tc>
          <w:tcPr>
            <w:tcW w:w="1025"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418"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559"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任职日期</w:t>
            </w:r>
          </w:p>
        </w:tc>
        <w:tc>
          <w:tcPr>
            <w:tcW w:w="1418"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离任日期</w:t>
            </w:r>
          </w:p>
        </w:tc>
        <w:tc>
          <w:tcPr>
            <w:tcW w:w="992"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2456"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r>
      <w:tr w:rsidR="00D7022C">
        <w:tc>
          <w:tcPr>
            <w:tcW w:w="1039" w:type="dxa"/>
            <w:vAlign w:val="center"/>
          </w:tcPr>
          <w:p w:rsidR="00D7022C" w:rsidRDefault="005367AA">
            <w:pPr>
              <w:jc w:val="center"/>
            </w:pPr>
            <w:r>
              <w:rPr>
                <w:color w:val="000000"/>
                <w:sz w:val="24"/>
              </w:rPr>
              <w:t>林洪钧</w:t>
            </w:r>
          </w:p>
        </w:tc>
        <w:tc>
          <w:tcPr>
            <w:tcW w:w="1439" w:type="dxa"/>
            <w:vAlign w:val="center"/>
          </w:tcPr>
          <w:p w:rsidR="00D7022C" w:rsidRDefault="005367AA">
            <w:pPr>
              <w:jc w:val="center"/>
            </w:pPr>
            <w:r>
              <w:rPr>
                <w:color w:val="000000"/>
                <w:sz w:val="24"/>
              </w:rPr>
              <w:t>本基金、交银货币、交银增利债券、交银信用添利债券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天债券、交银纯债债券发起的基金经理，公司固定收益部助理总经理</w:t>
            </w:r>
          </w:p>
        </w:tc>
        <w:tc>
          <w:tcPr>
            <w:tcW w:w="1582" w:type="dxa"/>
            <w:vAlign w:val="center"/>
          </w:tcPr>
          <w:p w:rsidR="00D7022C" w:rsidRDefault="005367AA">
            <w:pPr>
              <w:jc w:val="center"/>
            </w:pPr>
            <w:r>
              <w:rPr>
                <w:color w:val="000000"/>
                <w:sz w:val="24"/>
              </w:rPr>
              <w:t>2014-09-12</w:t>
            </w:r>
          </w:p>
        </w:tc>
        <w:tc>
          <w:tcPr>
            <w:tcW w:w="1439" w:type="dxa"/>
            <w:vAlign w:val="center"/>
          </w:tcPr>
          <w:p w:rsidR="00D7022C" w:rsidRDefault="005367AA">
            <w:pPr>
              <w:jc w:val="center"/>
            </w:pPr>
            <w:r>
              <w:rPr>
                <w:color w:val="000000"/>
                <w:sz w:val="24"/>
              </w:rPr>
              <w:t>-</w:t>
            </w:r>
          </w:p>
        </w:tc>
        <w:tc>
          <w:tcPr>
            <w:tcW w:w="1007" w:type="dxa"/>
            <w:vAlign w:val="center"/>
          </w:tcPr>
          <w:p w:rsidR="00D7022C" w:rsidRDefault="005367AA">
            <w:pPr>
              <w:jc w:val="center"/>
            </w:pPr>
            <w:r>
              <w:rPr>
                <w:color w:val="000000"/>
                <w:sz w:val="24"/>
              </w:rPr>
              <w:t>10</w:t>
            </w:r>
            <w:r>
              <w:rPr>
                <w:color w:val="000000"/>
                <w:sz w:val="24"/>
              </w:rPr>
              <w:t>年</w:t>
            </w:r>
          </w:p>
        </w:tc>
        <w:tc>
          <w:tcPr>
            <w:tcW w:w="2492" w:type="dxa"/>
            <w:vAlign w:val="center"/>
          </w:tcPr>
          <w:p w:rsidR="00D7022C" w:rsidRDefault="005367AA">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4771B9" w:rsidRPr="009F28CA" w:rsidRDefault="00C86529" w:rsidP="009F28CA">
      <w:pPr>
        <w:autoSpaceDE w:val="0"/>
        <w:autoSpaceDN w:val="0"/>
        <w:adjustRightInd w:val="0"/>
        <w:spacing w:before="29" w:line="288" w:lineRule="auto"/>
        <w:jc w:val="left"/>
        <w:rPr>
          <w:color w:val="000000"/>
          <w:sz w:val="24"/>
        </w:rPr>
      </w:pPr>
      <w:r w:rsidRPr="009F28CA">
        <w:rPr>
          <w:color w:val="000000"/>
          <w:sz w:val="24"/>
        </w:rPr>
        <w:t>注：基金经理（或基金经理小组）期后变动（如有）敬请关注基金管理人发布的相关公告。</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E84450" w:rsidRDefault="00902E3F" w:rsidP="00E84450">
      <w:pPr>
        <w:spacing w:before="29" w:line="288" w:lineRule="auto"/>
        <w:rPr>
          <w:b/>
          <w:color w:val="000000"/>
          <w:kern w:val="0"/>
          <w:sz w:val="24"/>
        </w:rPr>
      </w:pPr>
      <w:r w:rsidRPr="00E84450">
        <w:rPr>
          <w:b/>
          <w:color w:val="000000"/>
          <w:kern w:val="0"/>
          <w:sz w:val="24"/>
        </w:rPr>
        <w:t xml:space="preserve">4.2 </w:t>
      </w:r>
      <w:r w:rsidRPr="00E84450">
        <w:rPr>
          <w:rFonts w:hint="eastAsia"/>
          <w:b/>
          <w:color w:val="000000"/>
          <w:kern w:val="0"/>
          <w:sz w:val="24"/>
        </w:rPr>
        <w:t>报告期内本基金运作遵规守信情况说明</w:t>
      </w:r>
    </w:p>
    <w:p w:rsidR="00902E3F" w:rsidRDefault="00DD590E" w:rsidP="00E84450">
      <w:pPr>
        <w:spacing w:before="29" w:line="288" w:lineRule="auto"/>
        <w:ind w:firstLineChars="200" w:firstLine="480"/>
        <w:rPr>
          <w:color w:val="000000"/>
          <w:sz w:val="24"/>
        </w:rPr>
      </w:pPr>
      <w:r w:rsidRPr="00E8445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E84450" w:rsidRPr="00E84450" w:rsidRDefault="00E84450" w:rsidP="00E84450">
      <w:pPr>
        <w:spacing w:before="29" w:line="288" w:lineRule="auto"/>
        <w:ind w:firstLineChars="200" w:firstLine="480"/>
        <w:rPr>
          <w:color w:val="000000"/>
          <w:sz w:val="24"/>
        </w:rPr>
      </w:pPr>
    </w:p>
    <w:p w:rsidR="00902E3F" w:rsidRPr="00E84450" w:rsidRDefault="00902E3F" w:rsidP="00E84450">
      <w:pPr>
        <w:autoSpaceDE w:val="0"/>
        <w:autoSpaceDN w:val="0"/>
        <w:adjustRightInd w:val="0"/>
        <w:spacing w:before="29" w:line="288" w:lineRule="auto"/>
        <w:jc w:val="left"/>
        <w:rPr>
          <w:b/>
          <w:color w:val="000000"/>
          <w:kern w:val="0"/>
          <w:sz w:val="24"/>
        </w:rPr>
      </w:pPr>
      <w:r w:rsidRPr="00E84450">
        <w:rPr>
          <w:b/>
          <w:color w:val="000000"/>
          <w:kern w:val="0"/>
          <w:sz w:val="24"/>
        </w:rPr>
        <w:t xml:space="preserve">4.3 </w:t>
      </w:r>
      <w:r w:rsidRPr="00E84450">
        <w:rPr>
          <w:rFonts w:hint="eastAsia"/>
          <w:b/>
          <w:color w:val="000000"/>
          <w:kern w:val="0"/>
          <w:sz w:val="24"/>
        </w:rPr>
        <w:t>公平交易专项说明</w:t>
      </w:r>
    </w:p>
    <w:p w:rsidR="00E149A5" w:rsidRPr="00E84450" w:rsidRDefault="00E149A5" w:rsidP="00E84450">
      <w:pPr>
        <w:spacing w:before="29" w:line="288" w:lineRule="auto"/>
        <w:rPr>
          <w:sz w:val="24"/>
        </w:rPr>
      </w:pPr>
      <w:r w:rsidRPr="00E84450">
        <w:rPr>
          <w:rFonts w:hint="eastAsia"/>
          <w:sz w:val="24"/>
        </w:rPr>
        <w:t xml:space="preserve">4.3.1 </w:t>
      </w:r>
      <w:r w:rsidRPr="00E84450">
        <w:rPr>
          <w:rFonts w:hint="eastAsia"/>
          <w:sz w:val="24"/>
        </w:rPr>
        <w:t>公平交易制度的执行情况</w:t>
      </w:r>
    </w:p>
    <w:p w:rsidR="00D7022C" w:rsidRDefault="005367A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7022C" w:rsidRDefault="005367A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7022C" w:rsidRDefault="005367A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149A5" w:rsidRPr="00E84450" w:rsidRDefault="00DD590E" w:rsidP="00E84450">
      <w:pPr>
        <w:spacing w:before="29" w:line="288" w:lineRule="auto"/>
        <w:ind w:firstLineChars="200" w:firstLine="480"/>
        <w:rPr>
          <w:color w:val="000000"/>
          <w:sz w:val="24"/>
        </w:rPr>
      </w:pPr>
      <w:r w:rsidRPr="00E84450">
        <w:rPr>
          <w:color w:val="000000"/>
          <w:sz w:val="24"/>
        </w:rPr>
        <w:t>报告期内本公司严格执行公平交易制度，公平对待旗下各投资组合，未发现任何违反公平交易的行为。</w:t>
      </w:r>
    </w:p>
    <w:p w:rsidR="00E149A5" w:rsidRPr="00E84450" w:rsidRDefault="00E149A5" w:rsidP="00E84450">
      <w:pPr>
        <w:spacing w:before="29" w:line="288" w:lineRule="auto"/>
        <w:rPr>
          <w:sz w:val="24"/>
        </w:rPr>
      </w:pPr>
      <w:r w:rsidRPr="00E84450">
        <w:rPr>
          <w:rFonts w:hint="eastAsia"/>
          <w:sz w:val="24"/>
        </w:rPr>
        <w:t>4.3.</w:t>
      </w:r>
      <w:r w:rsidR="00C52039" w:rsidRPr="00E84450">
        <w:rPr>
          <w:rFonts w:hint="eastAsia"/>
          <w:sz w:val="24"/>
        </w:rPr>
        <w:t>2</w:t>
      </w:r>
      <w:r w:rsidRPr="00E84450">
        <w:rPr>
          <w:rFonts w:hint="eastAsia"/>
          <w:sz w:val="24"/>
        </w:rPr>
        <w:t xml:space="preserve"> </w:t>
      </w:r>
      <w:r w:rsidRPr="00E84450">
        <w:rPr>
          <w:rFonts w:hint="eastAsia"/>
          <w:sz w:val="24"/>
        </w:rPr>
        <w:t>异常交易行为的专项说明</w:t>
      </w:r>
    </w:p>
    <w:p w:rsidR="00E149A5" w:rsidRPr="00E84450" w:rsidRDefault="00DD590E" w:rsidP="00E84450">
      <w:pPr>
        <w:spacing w:before="29" w:line="288" w:lineRule="auto"/>
        <w:ind w:firstLineChars="200" w:firstLine="480"/>
        <w:rPr>
          <w:color w:val="000000"/>
          <w:sz w:val="24"/>
        </w:rPr>
      </w:pPr>
      <w:r w:rsidRPr="00E84450">
        <w:rPr>
          <w:rFonts w:hint="eastAsia"/>
          <w:color w:val="000000"/>
          <w:sz w:val="24"/>
        </w:rPr>
        <w:t>本基金于本报告期内不存在异常交易行为。本报告期内</w:t>
      </w:r>
      <w:r w:rsidRPr="00E84450">
        <w:rPr>
          <w:rFonts w:hint="eastAsia"/>
          <w:color w:val="000000"/>
          <w:sz w:val="24"/>
        </w:rPr>
        <w:t>,</w:t>
      </w:r>
      <w:r w:rsidRPr="00E84450">
        <w:rPr>
          <w:rFonts w:hint="eastAsia"/>
          <w:color w:val="000000"/>
          <w:sz w:val="24"/>
        </w:rPr>
        <w:t>本公司管理的所有投资组合参与的交易所公开竞价同日反向交易成交较少的单边交易量没有超过该证券当日总成交量</w:t>
      </w:r>
      <w:r w:rsidRPr="00E84450">
        <w:rPr>
          <w:rFonts w:hint="eastAsia"/>
          <w:color w:val="000000"/>
          <w:sz w:val="24"/>
        </w:rPr>
        <w:t>5%</w:t>
      </w:r>
      <w:r w:rsidRPr="00E84450">
        <w:rPr>
          <w:rFonts w:hint="eastAsia"/>
          <w:color w:val="000000"/>
          <w:sz w:val="24"/>
        </w:rPr>
        <w:t>的情形，本基金与本公司管理的其他投资组合在不同时间窗下（如日内、</w:t>
      </w:r>
      <w:r w:rsidRPr="00E84450">
        <w:rPr>
          <w:rFonts w:hint="eastAsia"/>
          <w:color w:val="000000"/>
          <w:sz w:val="24"/>
        </w:rPr>
        <w:t>3</w:t>
      </w:r>
      <w:r w:rsidRPr="00E84450">
        <w:rPr>
          <w:rFonts w:hint="eastAsia"/>
          <w:color w:val="000000"/>
          <w:sz w:val="24"/>
        </w:rPr>
        <w:t>日内、</w:t>
      </w:r>
      <w:r w:rsidRPr="00E84450">
        <w:rPr>
          <w:rFonts w:hint="eastAsia"/>
          <w:color w:val="000000"/>
          <w:sz w:val="24"/>
        </w:rPr>
        <w:t>5</w:t>
      </w:r>
      <w:r w:rsidRPr="00E84450">
        <w:rPr>
          <w:rFonts w:hint="eastAsia"/>
          <w:color w:val="000000"/>
          <w:sz w:val="24"/>
        </w:rPr>
        <w:t>日内）同向交易的交易价差未出现异常。</w:t>
      </w:r>
    </w:p>
    <w:p w:rsidR="00902E3F" w:rsidRPr="006662B2" w:rsidRDefault="00902E3F" w:rsidP="00437706">
      <w:pPr>
        <w:autoSpaceDE w:val="0"/>
        <w:autoSpaceDN w:val="0"/>
        <w:adjustRightInd w:val="0"/>
        <w:spacing w:line="360" w:lineRule="auto"/>
        <w:jc w:val="left"/>
        <w:rPr>
          <w:rFonts w:asciiTheme="minorEastAsia" w:eastAsiaTheme="minorEastAsia" w:hAnsiTheme="minorEastAsia" w:cs="Arial"/>
          <w:color w:val="000000"/>
          <w:kern w:val="0"/>
          <w:sz w:val="24"/>
        </w:rPr>
      </w:pPr>
    </w:p>
    <w:p w:rsidR="00EE661A" w:rsidRPr="000E4C40" w:rsidRDefault="00EE661A" w:rsidP="00EE661A">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7022C" w:rsidRDefault="005367AA">
      <w:pPr>
        <w:spacing w:before="29" w:line="288" w:lineRule="auto"/>
        <w:ind w:firstLineChars="200" w:firstLine="480"/>
        <w:rPr>
          <w:color w:val="000000"/>
          <w:sz w:val="24"/>
        </w:rPr>
      </w:pPr>
      <w:r>
        <w:rPr>
          <w:color w:val="000000"/>
          <w:sz w:val="24"/>
        </w:rPr>
        <w:t>本报告期内，经济增长动能仍较为疲弱，但在年底，信贷似乎出现了一丝宽松的迹象。</w:t>
      </w:r>
      <w:r>
        <w:rPr>
          <w:color w:val="000000"/>
          <w:sz w:val="24"/>
        </w:rPr>
        <w:t>10</w:t>
      </w:r>
      <w:r>
        <w:rPr>
          <w:color w:val="000000"/>
          <w:sz w:val="24"/>
        </w:rPr>
        <w:t>月新增信贷</w:t>
      </w:r>
      <w:r>
        <w:rPr>
          <w:color w:val="000000"/>
          <w:sz w:val="24"/>
        </w:rPr>
        <w:t>5483</w:t>
      </w:r>
      <w:r>
        <w:rPr>
          <w:color w:val="000000"/>
          <w:sz w:val="24"/>
        </w:rPr>
        <w:t>亿，社会融资规模</w:t>
      </w:r>
      <w:r>
        <w:rPr>
          <w:color w:val="000000"/>
          <w:sz w:val="24"/>
        </w:rPr>
        <w:t>6807</w:t>
      </w:r>
      <w:r>
        <w:rPr>
          <w:color w:val="000000"/>
          <w:sz w:val="24"/>
        </w:rPr>
        <w:t>亿；</w:t>
      </w:r>
      <w:r>
        <w:rPr>
          <w:color w:val="000000"/>
          <w:sz w:val="24"/>
        </w:rPr>
        <w:t>11</w:t>
      </w:r>
      <w:r>
        <w:rPr>
          <w:color w:val="000000"/>
          <w:sz w:val="24"/>
        </w:rPr>
        <w:t>月新增信贷</w:t>
      </w:r>
      <w:r>
        <w:rPr>
          <w:color w:val="000000"/>
          <w:sz w:val="24"/>
        </w:rPr>
        <w:t>8527</w:t>
      </w:r>
      <w:r>
        <w:rPr>
          <w:color w:val="000000"/>
          <w:sz w:val="24"/>
        </w:rPr>
        <w:t>亿，社会融资规模</w:t>
      </w:r>
      <w:r>
        <w:rPr>
          <w:color w:val="000000"/>
          <w:sz w:val="24"/>
        </w:rPr>
        <w:t>11463</w:t>
      </w:r>
      <w:r>
        <w:rPr>
          <w:color w:val="000000"/>
          <w:sz w:val="24"/>
        </w:rPr>
        <w:t>亿；工业增长依旧疲弱，</w:t>
      </w:r>
      <w:r>
        <w:rPr>
          <w:color w:val="000000"/>
          <w:sz w:val="24"/>
        </w:rPr>
        <w:t>10</w:t>
      </w:r>
      <w:r>
        <w:rPr>
          <w:color w:val="000000"/>
          <w:sz w:val="24"/>
        </w:rPr>
        <w:t>月工业增加值下滑至</w:t>
      </w:r>
      <w:r>
        <w:rPr>
          <w:color w:val="000000"/>
          <w:sz w:val="24"/>
        </w:rPr>
        <w:t>7.7%</w:t>
      </w:r>
      <w:r>
        <w:rPr>
          <w:color w:val="000000"/>
          <w:sz w:val="24"/>
        </w:rPr>
        <w:t>，</w:t>
      </w:r>
      <w:r>
        <w:rPr>
          <w:color w:val="000000"/>
          <w:sz w:val="24"/>
        </w:rPr>
        <w:t>11</w:t>
      </w:r>
      <w:r>
        <w:rPr>
          <w:color w:val="000000"/>
          <w:sz w:val="24"/>
        </w:rPr>
        <w:t>月继续下降至</w:t>
      </w:r>
      <w:r>
        <w:rPr>
          <w:color w:val="000000"/>
          <w:sz w:val="24"/>
        </w:rPr>
        <w:t>7.2%</w:t>
      </w:r>
      <w:r>
        <w:rPr>
          <w:color w:val="000000"/>
          <w:sz w:val="24"/>
        </w:rPr>
        <w:t>；同时</w:t>
      </w:r>
      <w:r>
        <w:rPr>
          <w:color w:val="000000"/>
          <w:sz w:val="24"/>
        </w:rPr>
        <w:t>PMI</w:t>
      </w:r>
      <w:r>
        <w:rPr>
          <w:color w:val="000000"/>
          <w:sz w:val="24"/>
        </w:rPr>
        <w:t>在四季度内连续三个月下滑，</w:t>
      </w:r>
      <w:r>
        <w:rPr>
          <w:color w:val="000000"/>
          <w:sz w:val="24"/>
        </w:rPr>
        <w:t>12</w:t>
      </w:r>
      <w:r>
        <w:rPr>
          <w:color w:val="000000"/>
          <w:sz w:val="24"/>
        </w:rPr>
        <w:t>月</w:t>
      </w:r>
      <w:r>
        <w:rPr>
          <w:color w:val="000000"/>
          <w:sz w:val="24"/>
        </w:rPr>
        <w:t>PMI50.1</w:t>
      </w:r>
      <w:r>
        <w:rPr>
          <w:color w:val="000000"/>
          <w:sz w:val="24"/>
        </w:rPr>
        <w:t>。货币政策层面，本报告期内受通缩压力影响，</w:t>
      </w:r>
      <w:r>
        <w:rPr>
          <w:color w:val="000000"/>
          <w:sz w:val="24"/>
        </w:rPr>
        <w:t>11</w:t>
      </w:r>
      <w:r>
        <w:rPr>
          <w:color w:val="000000"/>
          <w:sz w:val="24"/>
        </w:rPr>
        <w:t>月</w:t>
      </w:r>
      <w:r>
        <w:rPr>
          <w:color w:val="000000"/>
          <w:sz w:val="24"/>
        </w:rPr>
        <w:t>22</w:t>
      </w:r>
      <w:r>
        <w:rPr>
          <w:color w:val="000000"/>
          <w:sz w:val="24"/>
        </w:rPr>
        <w:t>日央行不对称降息；然而，在</w:t>
      </w:r>
      <w:r>
        <w:rPr>
          <w:color w:val="000000"/>
          <w:sz w:val="24"/>
        </w:rPr>
        <w:t>12</w:t>
      </w:r>
      <w:r>
        <w:rPr>
          <w:color w:val="000000"/>
          <w:sz w:val="24"/>
        </w:rPr>
        <w:t>月市场资金面较为紧张情况下，市场期待已久的降准并未出现，由此可见，央行仍维持较为稳健的货币政策。</w:t>
      </w:r>
    </w:p>
    <w:p w:rsidR="00D7022C" w:rsidRDefault="005367AA">
      <w:pPr>
        <w:spacing w:before="29" w:line="288" w:lineRule="auto"/>
        <w:ind w:firstLineChars="200" w:firstLine="480"/>
        <w:rPr>
          <w:color w:val="000000"/>
          <w:sz w:val="24"/>
        </w:rPr>
      </w:pPr>
      <w:r>
        <w:rPr>
          <w:color w:val="000000"/>
          <w:sz w:val="24"/>
        </w:rPr>
        <w:t>本报告期内，债券市场受资金面的扰动较为明显。在上半季度，债券市场收益率一路下行，</w:t>
      </w:r>
      <w:r>
        <w:rPr>
          <w:color w:val="000000"/>
          <w:sz w:val="24"/>
        </w:rPr>
        <w:t>11</w:t>
      </w:r>
      <w:r>
        <w:rPr>
          <w:color w:val="000000"/>
          <w:sz w:val="24"/>
        </w:rPr>
        <w:t>月</w:t>
      </w:r>
      <w:r>
        <w:rPr>
          <w:color w:val="000000"/>
          <w:sz w:val="24"/>
        </w:rPr>
        <w:t>22</w:t>
      </w:r>
      <w:r>
        <w:rPr>
          <w:color w:val="000000"/>
          <w:sz w:val="24"/>
        </w:rPr>
        <w:t>日降息使得</w:t>
      </w:r>
      <w:r>
        <w:rPr>
          <w:color w:val="000000"/>
          <w:sz w:val="24"/>
        </w:rPr>
        <w:t>10</w:t>
      </w:r>
      <w:r>
        <w:rPr>
          <w:color w:val="000000"/>
          <w:sz w:val="24"/>
        </w:rPr>
        <w:t>年国开债重回此前低点</w:t>
      </w:r>
      <w:r>
        <w:rPr>
          <w:color w:val="000000"/>
          <w:sz w:val="24"/>
        </w:rPr>
        <w:t>3.87%</w:t>
      </w:r>
      <w:r>
        <w:rPr>
          <w:color w:val="000000"/>
          <w:sz w:val="24"/>
        </w:rPr>
        <w:t>水平；然而此后，</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受权益市场的火爆也对债券收益率产生了一定的推升，同时延续三季度末市场对未来可能出现的宽信用的担忧，债券收益率的上行也反映了机构投资者对此的担忧。收益率曲线呈现极度平坦化的走势，甚至在年底出现了倒挂。本报告期内，中债总财富指数上涨</w:t>
      </w:r>
      <w:r>
        <w:rPr>
          <w:color w:val="000000"/>
          <w:sz w:val="24"/>
        </w:rPr>
        <w:t>3.22%</w:t>
      </w:r>
      <w:r>
        <w:rPr>
          <w:color w:val="000000"/>
          <w:sz w:val="24"/>
        </w:rPr>
        <w:t>，绝大部分收益发生在</w:t>
      </w:r>
      <w:r>
        <w:rPr>
          <w:color w:val="000000"/>
          <w:sz w:val="24"/>
        </w:rPr>
        <w:t>10</w:t>
      </w:r>
      <w:r>
        <w:rPr>
          <w:color w:val="000000"/>
          <w:sz w:val="24"/>
        </w:rPr>
        <w:t>月份及</w:t>
      </w:r>
      <w:r>
        <w:rPr>
          <w:color w:val="000000"/>
          <w:sz w:val="24"/>
        </w:rPr>
        <w:t>11</w:t>
      </w:r>
      <w:r>
        <w:rPr>
          <w:color w:val="000000"/>
          <w:sz w:val="24"/>
        </w:rPr>
        <w:t>月上半月。</w:t>
      </w:r>
    </w:p>
    <w:p w:rsidR="00D7022C" w:rsidRDefault="005367AA">
      <w:pPr>
        <w:spacing w:before="29" w:line="288" w:lineRule="auto"/>
        <w:ind w:firstLineChars="200" w:firstLine="480"/>
        <w:rPr>
          <w:color w:val="000000"/>
          <w:sz w:val="24"/>
        </w:rPr>
      </w:pPr>
      <w:r>
        <w:rPr>
          <w:color w:val="000000"/>
          <w:sz w:val="24"/>
        </w:rPr>
        <w:t>本基金在本报告期内保持较低的债券持仓。本报告期内，货币市场流动性产生了剧烈的波动，同时，受流动性紧张影响，短端收益率也出现大幅上行。本基金在四季度规模相较不稳定，因此较多资产配置于极为短端的逆回购市场，基金的收益受到了一定程度的影响。</w:t>
      </w:r>
    </w:p>
    <w:p w:rsidR="00EE661A" w:rsidRPr="006169F7" w:rsidRDefault="00EE661A" w:rsidP="00EE661A">
      <w:pPr>
        <w:spacing w:before="29" w:line="288" w:lineRule="auto"/>
        <w:ind w:firstLineChars="200" w:firstLine="480"/>
        <w:rPr>
          <w:color w:val="000000"/>
          <w:sz w:val="24"/>
        </w:rPr>
      </w:pPr>
      <w:r w:rsidRPr="006169F7">
        <w:rPr>
          <w:color w:val="000000"/>
          <w:sz w:val="24"/>
        </w:rPr>
        <w:t>展望</w:t>
      </w:r>
      <w:r w:rsidRPr="006169F7">
        <w:rPr>
          <w:color w:val="000000"/>
          <w:sz w:val="24"/>
        </w:rPr>
        <w:t>2015</w:t>
      </w:r>
      <w:r w:rsidRPr="006169F7">
        <w:rPr>
          <w:color w:val="000000"/>
          <w:sz w:val="24"/>
        </w:rPr>
        <w:t>年一季度，央行大概率仍将保持稳健货币政策，货币市场资金面情况应比</w:t>
      </w:r>
      <w:r w:rsidRPr="006169F7">
        <w:rPr>
          <w:color w:val="000000"/>
          <w:sz w:val="24"/>
        </w:rPr>
        <w:t>12</w:t>
      </w:r>
      <w:r w:rsidRPr="006169F7">
        <w:rPr>
          <w:color w:val="000000"/>
          <w:sz w:val="24"/>
        </w:rPr>
        <w:t>月宽松，然而受连续</w:t>
      </w:r>
      <w:r w:rsidRPr="006169F7">
        <w:rPr>
          <w:color w:val="000000"/>
          <w:sz w:val="24"/>
        </w:rPr>
        <w:t>IPO</w:t>
      </w:r>
      <w:r w:rsidRPr="006169F7">
        <w:rPr>
          <w:color w:val="000000"/>
          <w:sz w:val="24"/>
        </w:rPr>
        <w:t>影响，流动性情况可能仍无法非常乐观；同时，央行货币政策的态度仍较为稳健，仅仅期待降准等货币政策对货币市场的刺激可能未必现实，债券收益率大幅下行的可能性也较小。因此，组合在</w:t>
      </w:r>
      <w:r w:rsidRPr="006169F7">
        <w:rPr>
          <w:color w:val="000000"/>
          <w:sz w:val="24"/>
        </w:rPr>
        <w:t>2015</w:t>
      </w:r>
      <w:r w:rsidRPr="006169F7">
        <w:rPr>
          <w:color w:val="000000"/>
          <w:sz w:val="24"/>
        </w:rPr>
        <w:t>年一季度将保持中性债券仓位，同时由于</w:t>
      </w:r>
      <w:r w:rsidRPr="006169F7">
        <w:rPr>
          <w:color w:val="000000"/>
          <w:sz w:val="24"/>
        </w:rPr>
        <w:t>IPO</w:t>
      </w:r>
      <w:r w:rsidRPr="006169F7">
        <w:rPr>
          <w:color w:val="000000"/>
          <w:sz w:val="24"/>
        </w:rPr>
        <w:t>间歇性冲击，增加逆回购资产的持仓，在保持流动性平稳的同时，努力增加基金收益性。</w:t>
      </w:r>
    </w:p>
    <w:p w:rsidR="00EE661A" w:rsidRPr="000E4C40" w:rsidRDefault="00EE661A" w:rsidP="00EE661A">
      <w:pPr>
        <w:spacing w:before="29" w:line="288" w:lineRule="auto"/>
        <w:ind w:firstLineChars="200" w:firstLine="480"/>
        <w:rPr>
          <w:color w:val="000000"/>
          <w:sz w:val="24"/>
        </w:rPr>
      </w:pPr>
    </w:p>
    <w:p w:rsidR="00EE661A" w:rsidRPr="000E4C40" w:rsidRDefault="00EE661A" w:rsidP="00EE661A">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EE661A" w:rsidRPr="006169F7" w:rsidRDefault="00EE661A" w:rsidP="00EE661A">
      <w:pPr>
        <w:spacing w:before="29" w:line="288" w:lineRule="auto"/>
        <w:ind w:firstLineChars="200" w:firstLine="480"/>
        <w:rPr>
          <w:color w:val="000000"/>
          <w:sz w:val="24"/>
        </w:rPr>
      </w:pPr>
      <w:r w:rsidRPr="006169F7">
        <w:rPr>
          <w:color w:val="000000"/>
          <w:sz w:val="24"/>
        </w:rPr>
        <w:t>本报告期内，本基金净值收益率为</w:t>
      </w:r>
      <w:r w:rsidRPr="006169F7">
        <w:rPr>
          <w:color w:val="000000"/>
          <w:sz w:val="24"/>
        </w:rPr>
        <w:t>0.8158%</w:t>
      </w:r>
      <w:r w:rsidRPr="006169F7">
        <w:rPr>
          <w:color w:val="000000"/>
          <w:sz w:val="24"/>
        </w:rPr>
        <w:t>，同期业绩比较基准增长率为</w:t>
      </w:r>
      <w:r w:rsidRPr="006169F7">
        <w:rPr>
          <w:color w:val="000000"/>
          <w:sz w:val="24"/>
        </w:rPr>
        <w:t>0.0882%</w:t>
      </w:r>
      <w:r w:rsidRPr="006169F7">
        <w:rPr>
          <w:color w:val="000000"/>
          <w:sz w:val="24"/>
        </w:rPr>
        <w:t>。</w:t>
      </w:r>
    </w:p>
    <w:p w:rsidR="00EE661A" w:rsidRDefault="00EE661A" w:rsidP="00EE661A">
      <w:pPr>
        <w:autoSpaceDE w:val="0"/>
        <w:autoSpaceDN w:val="0"/>
        <w:adjustRightInd w:val="0"/>
        <w:spacing w:before="29" w:line="288" w:lineRule="auto"/>
        <w:jc w:val="left"/>
        <w:rPr>
          <w:kern w:val="0"/>
          <w:sz w:val="24"/>
        </w:rPr>
      </w:pPr>
    </w:p>
    <w:p w:rsidR="006E0DAE" w:rsidRPr="002070B4" w:rsidRDefault="006E0DAE" w:rsidP="006E0DAE">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6E0DAE" w:rsidRDefault="006E0DAE" w:rsidP="006E0DAE">
      <w:pPr>
        <w:spacing w:before="29" w:line="288" w:lineRule="auto"/>
        <w:ind w:firstLineChars="200" w:firstLine="480"/>
        <w:rPr>
          <w:color w:val="000000"/>
          <w:sz w:val="24"/>
        </w:rPr>
      </w:pPr>
      <w:r w:rsidRPr="002070B4">
        <w:rPr>
          <w:color w:val="000000"/>
          <w:sz w:val="24"/>
        </w:rPr>
        <w:t>本基金本报告期内无需预警说明。</w:t>
      </w:r>
    </w:p>
    <w:p w:rsidR="006E0DAE" w:rsidRPr="006E0DAE" w:rsidRDefault="006E0DAE" w:rsidP="00EE661A">
      <w:pPr>
        <w:autoSpaceDE w:val="0"/>
        <w:autoSpaceDN w:val="0"/>
        <w:adjustRightInd w:val="0"/>
        <w:spacing w:before="29" w:line="288" w:lineRule="auto"/>
        <w:jc w:val="left"/>
        <w:rPr>
          <w:kern w:val="0"/>
          <w:sz w:val="24"/>
        </w:rPr>
      </w:pPr>
    </w:p>
    <w:p w:rsidR="00902E3F" w:rsidRPr="008F1ECB" w:rsidRDefault="00902E3F" w:rsidP="00B60FB7">
      <w:pPr>
        <w:pStyle w:val="1"/>
        <w:spacing w:beforeLines="100" w:before="240" w:afterLines="100" w:after="240" w:line="288" w:lineRule="auto"/>
        <w:jc w:val="center"/>
        <w:rPr>
          <w:color w:val="000000"/>
          <w:kern w:val="0"/>
          <w:sz w:val="24"/>
          <w:szCs w:val="24"/>
        </w:rPr>
      </w:pPr>
      <w:r w:rsidRPr="008F1ECB">
        <w:rPr>
          <w:rFonts w:hint="eastAsia"/>
          <w:color w:val="000000"/>
          <w:kern w:val="0"/>
          <w:sz w:val="24"/>
          <w:szCs w:val="24"/>
        </w:rPr>
        <w:t>§</w:t>
      </w:r>
      <w:r w:rsidRPr="008F1ECB">
        <w:rPr>
          <w:color w:val="000000"/>
          <w:kern w:val="0"/>
          <w:sz w:val="24"/>
          <w:szCs w:val="24"/>
        </w:rPr>
        <w:t xml:space="preserve">5  </w:t>
      </w:r>
      <w:r w:rsidRPr="008F1ECB">
        <w:rPr>
          <w:rFonts w:hint="eastAsia"/>
          <w:color w:val="000000"/>
          <w:kern w:val="0"/>
          <w:sz w:val="24"/>
          <w:szCs w:val="24"/>
        </w:rPr>
        <w:t>投资组合报告</w:t>
      </w:r>
    </w:p>
    <w:p w:rsidR="00902E3F" w:rsidRPr="008F1ECB" w:rsidRDefault="00902E3F" w:rsidP="008F1ECB">
      <w:pPr>
        <w:spacing w:before="29" w:line="288" w:lineRule="auto"/>
        <w:rPr>
          <w:b/>
          <w:color w:val="000000"/>
          <w:kern w:val="0"/>
          <w:sz w:val="24"/>
        </w:rPr>
      </w:pPr>
      <w:r w:rsidRPr="008F1ECB">
        <w:rPr>
          <w:b/>
          <w:color w:val="000000"/>
          <w:kern w:val="0"/>
          <w:sz w:val="24"/>
        </w:rPr>
        <w:t xml:space="preserve">5.1 </w:t>
      </w:r>
      <w:r w:rsidRPr="008F1ECB">
        <w:rPr>
          <w:rFonts w:hint="eastAsia"/>
          <w:b/>
          <w:color w:val="000000"/>
          <w:kern w:val="0"/>
          <w:sz w:val="24"/>
        </w:rPr>
        <w:t>报告期末基金资产组合情况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021"/>
        <w:gridCol w:w="3021"/>
        <w:gridCol w:w="1773"/>
      </w:tblGrid>
      <w:tr w:rsidR="00C32E36" w:rsidRPr="006662B2" w:rsidTr="00A8129A">
        <w:tc>
          <w:tcPr>
            <w:tcW w:w="116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序号</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项目</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金额</w:t>
            </w:r>
            <w:r w:rsidRPr="005A4EEA">
              <w:rPr>
                <w:rFonts w:hAnsi="宋体" w:hint="eastAsia"/>
                <w:color w:val="000000"/>
                <w:sz w:val="24"/>
              </w:rPr>
              <w:t>(</w:t>
            </w:r>
            <w:r w:rsidRPr="005A4EEA">
              <w:rPr>
                <w:rFonts w:hAnsi="宋体" w:hint="eastAsia"/>
                <w:color w:val="000000"/>
                <w:sz w:val="24"/>
              </w:rPr>
              <w:t>元</w:t>
            </w:r>
            <w:r w:rsidRPr="005A4EEA">
              <w:rPr>
                <w:rFonts w:hAnsi="宋体" w:hint="eastAsia"/>
                <w:color w:val="000000"/>
                <w:sz w:val="24"/>
              </w:rPr>
              <w:t>)</w:t>
            </w:r>
          </w:p>
        </w:tc>
        <w:tc>
          <w:tcPr>
            <w:tcW w:w="174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占基金总资产的比例</w:t>
            </w:r>
            <w:r w:rsidRPr="005A4EEA">
              <w:rPr>
                <w:rFonts w:hAnsi="宋体" w:hint="eastAsia"/>
                <w:color w:val="000000"/>
                <w:sz w:val="24"/>
              </w:rPr>
              <w:t>(</w:t>
            </w:r>
            <w:r w:rsidRPr="005A4EEA">
              <w:rPr>
                <w:rFonts w:hAnsi="宋体"/>
                <w:color w:val="000000"/>
                <w:sz w:val="24"/>
              </w:rPr>
              <w:t>%</w:t>
            </w:r>
            <w:r w:rsidRPr="005A4EEA">
              <w:rPr>
                <w:rFonts w:hAnsi="宋体" w:hint="eastAsia"/>
                <w:color w:val="000000"/>
                <w:sz w:val="24"/>
              </w:rPr>
              <w:t>)</w:t>
            </w:r>
          </w:p>
        </w:tc>
      </w:tr>
      <w:tr w:rsidR="00C32E36" w:rsidRPr="006662B2" w:rsidTr="00A8129A">
        <w:tc>
          <w:tcPr>
            <w:tcW w:w="1167" w:type="dxa"/>
            <w:shd w:val="clear" w:color="auto" w:fill="auto"/>
            <w:vAlign w:val="center"/>
          </w:tcPr>
          <w:p w:rsidR="00BC144F" w:rsidRPr="00347167" w:rsidRDefault="004730B4" w:rsidP="00347167">
            <w:pPr>
              <w:spacing w:before="29" w:line="288" w:lineRule="auto"/>
              <w:ind w:left="17"/>
              <w:jc w:val="center"/>
              <w:rPr>
                <w:color w:val="000000"/>
                <w:sz w:val="24"/>
              </w:rPr>
            </w:pPr>
            <w:r w:rsidRPr="00347167">
              <w:rPr>
                <w:rFonts w:hint="eastAsia"/>
                <w:color w:val="000000"/>
                <w:sz w:val="24"/>
              </w:rPr>
              <w:t>1</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固定收益投资</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70,127,907.59</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11.69</w:t>
            </w:r>
          </w:p>
        </w:tc>
      </w:tr>
      <w:tr w:rsidR="00C32E36" w:rsidRPr="006662B2"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其中：债券</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70,127,907.59</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11.69</w:t>
            </w:r>
          </w:p>
        </w:tc>
      </w:tr>
      <w:tr w:rsidR="00C32E36" w:rsidRPr="006662B2" w:rsidTr="00A8129A">
        <w:tc>
          <w:tcPr>
            <w:tcW w:w="1167" w:type="dxa"/>
            <w:shd w:val="clear" w:color="auto" w:fill="auto"/>
            <w:vAlign w:val="center"/>
          </w:tcPr>
          <w:p w:rsidR="00BC144F" w:rsidRPr="006662B2" w:rsidRDefault="00BC144F" w:rsidP="00F03F87">
            <w:pPr>
              <w:spacing w:before="29" w:line="360" w:lineRule="auto"/>
              <w:ind w:left="17"/>
              <w:jc w:val="center"/>
              <w:rPr>
                <w:rFonts w:asciiTheme="minorEastAsia" w:eastAsiaTheme="minorEastAsia" w:hAnsiTheme="minorEastAsia"/>
                <w:color w:val="000000"/>
                <w:sz w:val="24"/>
              </w:rPr>
            </w:pPr>
          </w:p>
        </w:tc>
        <w:tc>
          <w:tcPr>
            <w:tcW w:w="2977" w:type="dxa"/>
            <w:shd w:val="clear" w:color="auto" w:fill="auto"/>
            <w:vAlign w:val="center"/>
          </w:tcPr>
          <w:p w:rsidR="00BC144F" w:rsidRPr="006662B2" w:rsidRDefault="00BC144F" w:rsidP="00347167">
            <w:pPr>
              <w:spacing w:before="29" w:line="288" w:lineRule="auto"/>
              <w:ind w:left="17"/>
              <w:jc w:val="center"/>
              <w:rPr>
                <w:rFonts w:asciiTheme="minorEastAsia" w:eastAsiaTheme="minorEastAsia" w:hAnsiTheme="minorEastAsia"/>
                <w:color w:val="000000"/>
                <w:sz w:val="24"/>
              </w:rPr>
            </w:pPr>
            <w:r w:rsidRPr="00347167">
              <w:rPr>
                <w:rFonts w:hint="eastAsia"/>
                <w:color w:val="000000"/>
                <w:sz w:val="24"/>
              </w:rPr>
              <w:t>资产支持证券</w:t>
            </w:r>
          </w:p>
        </w:tc>
        <w:tc>
          <w:tcPr>
            <w:tcW w:w="2977" w:type="dxa"/>
            <w:shd w:val="clear" w:color="auto" w:fill="auto"/>
            <w:vAlign w:val="center"/>
          </w:tcPr>
          <w:p w:rsidR="00BC144F" w:rsidRPr="006662B2" w:rsidRDefault="00BC144F" w:rsidP="00245004">
            <w:pPr>
              <w:spacing w:before="29" w:line="288" w:lineRule="auto"/>
              <w:ind w:left="17"/>
              <w:jc w:val="right"/>
              <w:rPr>
                <w:rFonts w:asciiTheme="minorEastAsia" w:eastAsiaTheme="minorEastAsia" w:hAnsiTheme="minorEastAsia" w:cs="宋体"/>
                <w:color w:val="000000"/>
                <w:sz w:val="24"/>
              </w:rPr>
            </w:pPr>
            <w:r w:rsidRPr="00245004">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347167" w:rsidRDefault="009C53F8" w:rsidP="00347167">
            <w:pPr>
              <w:spacing w:before="29" w:line="288" w:lineRule="auto"/>
              <w:ind w:left="17"/>
              <w:jc w:val="center"/>
              <w:rPr>
                <w:color w:val="000000"/>
                <w:sz w:val="24"/>
              </w:rPr>
            </w:pPr>
            <w:r w:rsidRPr="00347167">
              <w:rPr>
                <w:rFonts w:hint="eastAsia"/>
                <w:color w:val="000000"/>
                <w:sz w:val="24"/>
              </w:rPr>
              <w:t>2</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买入返售金融资产</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229,780,864.67</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38.32</w:t>
            </w:r>
          </w:p>
        </w:tc>
      </w:tr>
      <w:tr w:rsidR="00C32E36" w:rsidRPr="00005E2D"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其中：买断式回购的买入返售金融资产</w:t>
            </w:r>
          </w:p>
        </w:tc>
        <w:tc>
          <w:tcPr>
            <w:tcW w:w="2977" w:type="dxa"/>
            <w:shd w:val="clear" w:color="auto" w:fill="auto"/>
            <w:vAlign w:val="center"/>
          </w:tcPr>
          <w:p w:rsidR="00BC144F" w:rsidRPr="006662B2" w:rsidRDefault="00BC144F" w:rsidP="000B5BBD">
            <w:pPr>
              <w:spacing w:before="29" w:line="288"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021416" w:rsidRDefault="00B9544E" w:rsidP="00021416">
            <w:pPr>
              <w:spacing w:before="29" w:line="288" w:lineRule="auto"/>
              <w:ind w:left="17"/>
              <w:jc w:val="center"/>
              <w:rPr>
                <w:color w:val="000000"/>
                <w:sz w:val="24"/>
              </w:rPr>
            </w:pPr>
            <w:r w:rsidRPr="00021416">
              <w:rPr>
                <w:rFonts w:hint="eastAsia"/>
                <w:color w:val="000000"/>
                <w:sz w:val="24"/>
              </w:rPr>
              <w:t>3</w:t>
            </w:r>
          </w:p>
        </w:tc>
        <w:tc>
          <w:tcPr>
            <w:tcW w:w="2977" w:type="dxa"/>
            <w:shd w:val="clear" w:color="auto" w:fill="auto"/>
            <w:vAlign w:val="center"/>
          </w:tcPr>
          <w:p w:rsidR="00BC144F" w:rsidRPr="00021416" w:rsidRDefault="00BC144F" w:rsidP="001B3517">
            <w:pPr>
              <w:spacing w:before="29" w:line="288" w:lineRule="auto"/>
              <w:ind w:left="17"/>
              <w:jc w:val="left"/>
              <w:rPr>
                <w:color w:val="000000"/>
                <w:sz w:val="24"/>
              </w:rPr>
            </w:pPr>
            <w:r w:rsidRPr="00021416">
              <w:rPr>
                <w:rFonts w:hint="eastAsia"/>
                <w:color w:val="000000"/>
                <w:sz w:val="24"/>
              </w:rPr>
              <w:t>银行存款和结算备付金合计</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296,221,395.46</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49.40</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4</w:t>
            </w:r>
          </w:p>
        </w:tc>
        <w:tc>
          <w:tcPr>
            <w:tcW w:w="2977" w:type="dxa"/>
            <w:shd w:val="clear" w:color="auto" w:fill="auto"/>
            <w:vAlign w:val="center"/>
          </w:tcPr>
          <w:p w:rsidR="00BC144F" w:rsidRPr="00E23CF8" w:rsidRDefault="00F5602C" w:rsidP="00E23CF8">
            <w:pPr>
              <w:spacing w:line="288" w:lineRule="auto"/>
              <w:jc w:val="left"/>
              <w:rPr>
                <w:color w:val="000000"/>
                <w:sz w:val="24"/>
              </w:rPr>
            </w:pPr>
            <w:r>
              <w:rPr>
                <w:rFonts w:hint="eastAsia"/>
                <w:color w:val="000000"/>
                <w:sz w:val="24"/>
              </w:rPr>
              <w:t>其他</w:t>
            </w:r>
            <w:r w:rsidR="00BC144F" w:rsidRPr="00E23CF8">
              <w:rPr>
                <w:rFonts w:hint="eastAsia"/>
                <w:color w:val="000000"/>
                <w:sz w:val="24"/>
              </w:rPr>
              <w:t>资产</w:t>
            </w:r>
          </w:p>
        </w:tc>
        <w:tc>
          <w:tcPr>
            <w:tcW w:w="2977" w:type="dxa"/>
            <w:shd w:val="clear" w:color="auto" w:fill="auto"/>
            <w:vAlign w:val="center"/>
          </w:tcPr>
          <w:p w:rsidR="00BC144F" w:rsidRPr="006662B2" w:rsidRDefault="00BC144F" w:rsidP="006C30D6">
            <w:pPr>
              <w:spacing w:before="29" w:line="288" w:lineRule="auto"/>
              <w:jc w:val="right"/>
              <w:rPr>
                <w:rFonts w:asciiTheme="minorEastAsia" w:eastAsiaTheme="minorEastAsia" w:hAnsiTheme="minorEastAsia" w:cs="宋体"/>
                <w:color w:val="000000"/>
                <w:sz w:val="24"/>
              </w:rPr>
            </w:pPr>
            <w:r w:rsidRPr="006C30D6">
              <w:rPr>
                <w:rFonts w:hint="eastAsia"/>
                <w:color w:val="000000"/>
                <w:sz w:val="24"/>
              </w:rPr>
              <w:t>3,544,833.68</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0.59</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5</w:t>
            </w:r>
          </w:p>
        </w:tc>
        <w:tc>
          <w:tcPr>
            <w:tcW w:w="2977" w:type="dxa"/>
            <w:shd w:val="clear" w:color="auto" w:fill="auto"/>
            <w:vAlign w:val="center"/>
          </w:tcPr>
          <w:p w:rsidR="00BC144F" w:rsidRPr="00E23CF8" w:rsidRDefault="00BC144F" w:rsidP="00E23CF8">
            <w:pPr>
              <w:spacing w:line="288" w:lineRule="auto"/>
              <w:jc w:val="left"/>
              <w:rPr>
                <w:color w:val="000000"/>
                <w:sz w:val="24"/>
              </w:rPr>
            </w:pPr>
            <w:r w:rsidRPr="00E23CF8">
              <w:rPr>
                <w:rFonts w:hint="eastAsia"/>
                <w:color w:val="000000"/>
                <w:sz w:val="24"/>
              </w:rPr>
              <w:t>合计</w:t>
            </w:r>
          </w:p>
        </w:tc>
        <w:tc>
          <w:tcPr>
            <w:tcW w:w="297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599,675,001.40</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100.00</w:t>
            </w:r>
          </w:p>
        </w:tc>
      </w:tr>
    </w:tbl>
    <w:p w:rsidR="000B3935" w:rsidRPr="00437706" w:rsidRDefault="000B3935" w:rsidP="00437706">
      <w:pPr>
        <w:spacing w:line="360" w:lineRule="auto"/>
        <w:rPr>
          <w:rFonts w:asciiTheme="minorEastAsia" w:eastAsiaTheme="minorEastAsia" w:hAnsiTheme="minorEastAsia" w:cs="Arial"/>
          <w:b/>
          <w:color w:val="000000"/>
          <w:kern w:val="0"/>
          <w:sz w:val="24"/>
        </w:rPr>
      </w:pPr>
    </w:p>
    <w:p w:rsidR="00902E3F" w:rsidRPr="00A67179" w:rsidRDefault="00902E3F" w:rsidP="00A67179">
      <w:pPr>
        <w:spacing w:before="29" w:line="288" w:lineRule="auto"/>
        <w:rPr>
          <w:b/>
          <w:color w:val="000000"/>
          <w:kern w:val="0"/>
          <w:sz w:val="24"/>
        </w:rPr>
      </w:pPr>
      <w:r w:rsidRPr="00A67179">
        <w:rPr>
          <w:b/>
          <w:color w:val="000000"/>
          <w:kern w:val="0"/>
          <w:sz w:val="24"/>
        </w:rPr>
        <w:t xml:space="preserve">5.2 </w:t>
      </w:r>
      <w:r w:rsidRPr="00A67179">
        <w:rPr>
          <w:rFonts w:hint="eastAsia"/>
          <w:b/>
          <w:color w:val="000000"/>
          <w:kern w:val="0"/>
          <w:sz w:val="24"/>
        </w:rPr>
        <w:t>报告期债券回购融资情况</w:t>
      </w:r>
    </w:p>
    <w:tbl>
      <w:tblPr>
        <w:tblW w:w="8998" w:type="dxa"/>
        <w:tblInd w:w="108" w:type="dxa"/>
        <w:tblLayout w:type="fixed"/>
        <w:tblLook w:val="0000" w:firstRow="0" w:lastRow="0" w:firstColumn="0" w:lastColumn="0" w:noHBand="0" w:noVBand="0"/>
      </w:tblPr>
      <w:tblGrid>
        <w:gridCol w:w="855"/>
        <w:gridCol w:w="3082"/>
        <w:gridCol w:w="2952"/>
        <w:gridCol w:w="2109"/>
      </w:tblGrid>
      <w:tr w:rsidR="009802DA" w:rsidRPr="006662B2" w:rsidTr="00A8129A">
        <w:tc>
          <w:tcPr>
            <w:tcW w:w="861"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占基金资产净值</w:t>
            </w:r>
            <w:r w:rsidR="009D2F0E" w:rsidRPr="00CB2552">
              <w:rPr>
                <w:rFonts w:hAnsi="宋体" w:hint="eastAsia"/>
                <w:color w:val="000000"/>
                <w:kern w:val="0"/>
                <w:sz w:val="24"/>
              </w:rPr>
              <w:t>的</w:t>
            </w:r>
            <w:r w:rsidRPr="00CB2552">
              <w:rPr>
                <w:rFonts w:hAnsi="宋体" w:hint="eastAsia"/>
                <w:color w:val="000000"/>
                <w:kern w:val="0"/>
                <w:sz w:val="24"/>
              </w:rPr>
              <w:t>比例（％）</w:t>
            </w:r>
          </w:p>
        </w:tc>
      </w:tr>
      <w:tr w:rsidR="00B5600C" w:rsidRPr="0029234B" w:rsidTr="00A8129A">
        <w:tc>
          <w:tcPr>
            <w:tcW w:w="861" w:type="dxa"/>
            <w:vMerge w:val="restart"/>
            <w:tcBorders>
              <w:top w:val="single" w:sz="8" w:space="0" w:color="000000"/>
              <w:left w:val="single" w:sz="8" w:space="0" w:color="000000"/>
              <w:right w:val="single" w:sz="8" w:space="0" w:color="000000"/>
            </w:tcBorders>
            <w:vAlign w:val="center"/>
          </w:tcPr>
          <w:p w:rsidR="00B5600C" w:rsidRPr="0029234B" w:rsidRDefault="00B5600C" w:rsidP="0029234B">
            <w:pPr>
              <w:spacing w:before="29" w:line="288" w:lineRule="auto"/>
              <w:jc w:val="center"/>
              <w:rPr>
                <w:color w:val="000000"/>
                <w:kern w:val="0"/>
                <w:sz w:val="24"/>
              </w:rPr>
            </w:pPr>
            <w:r w:rsidRPr="0029234B">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4538AA">
            <w:pPr>
              <w:spacing w:before="29" w:line="288" w:lineRule="auto"/>
              <w:rPr>
                <w:color w:val="000000"/>
                <w:kern w:val="0"/>
                <w:sz w:val="24"/>
              </w:rPr>
            </w:pPr>
            <w:r w:rsidRPr="0029234B">
              <w:rPr>
                <w:rFonts w:hint="eastAsia"/>
                <w:color w:val="000000"/>
                <w:kern w:val="0"/>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2A62FC">
            <w:pPr>
              <w:spacing w:before="29" w:line="288" w:lineRule="auto"/>
              <w:jc w:val="right"/>
              <w:rPr>
                <w:color w:val="000000"/>
                <w:kern w:val="0"/>
                <w:sz w:val="24"/>
              </w:rPr>
            </w:pPr>
            <w:r w:rsidRPr="002A62FC">
              <w:rPr>
                <w:rFonts w:hint="eastAsia"/>
                <w:sz w:val="24"/>
              </w:rPr>
              <w:t>2.10</w:t>
            </w:r>
          </w:p>
        </w:tc>
      </w:tr>
      <w:tr w:rsidR="00B5600C" w:rsidRPr="006662B2" w:rsidTr="00A8129A">
        <w:trPr>
          <w:trHeight w:val="712"/>
        </w:trPr>
        <w:tc>
          <w:tcPr>
            <w:tcW w:w="861" w:type="dxa"/>
            <w:vMerge/>
            <w:tcBorders>
              <w:left w:val="single" w:sz="8" w:space="0" w:color="000000"/>
              <w:bottom w:val="single" w:sz="8" w:space="0" w:color="000000"/>
              <w:right w:val="single" w:sz="8" w:space="0" w:color="000000"/>
            </w:tcBorders>
            <w:vAlign w:val="center"/>
          </w:tcPr>
          <w:p w:rsidR="00B5600C" w:rsidRPr="006662B2" w:rsidRDefault="00B5600C" w:rsidP="00F03F87">
            <w:pPr>
              <w:autoSpaceDE w:val="0"/>
              <w:autoSpaceDN w:val="0"/>
              <w:adjustRightInd w:val="0"/>
              <w:spacing w:before="29" w:line="360" w:lineRule="auto"/>
              <w:ind w:left="15"/>
              <w:jc w:val="center"/>
              <w:rPr>
                <w:rFonts w:asciiTheme="minorEastAsia" w:eastAsiaTheme="minorEastAsia" w:hAnsiTheme="minorEastAsia"/>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4538AA">
            <w:pPr>
              <w:spacing w:before="29" w:line="288" w:lineRule="auto"/>
              <w:rPr>
                <w:rFonts w:asciiTheme="minorEastAsia" w:eastAsiaTheme="minorEastAsia" w:hAnsiTheme="minorEastAsia"/>
                <w:sz w:val="24"/>
              </w:rPr>
            </w:pPr>
            <w:r w:rsidRPr="0029234B">
              <w:rPr>
                <w:rFonts w:hAnsi="宋体" w:hint="eastAsia"/>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2A62FC">
            <w:pPr>
              <w:spacing w:before="29" w:line="288" w:lineRule="auto"/>
              <w:jc w:val="right"/>
              <w:rPr>
                <w:rFonts w:asciiTheme="minorEastAsia" w:eastAsiaTheme="minorEastAsia" w:hAnsiTheme="minorEastAsia"/>
                <w:sz w:val="24"/>
              </w:rPr>
            </w:pPr>
            <w:r w:rsidRPr="002A62FC">
              <w:rPr>
                <w:rFonts w:hint="eastAsia"/>
                <w:sz w:val="24"/>
              </w:rPr>
              <w:t>-</w:t>
            </w:r>
          </w:p>
        </w:tc>
      </w:tr>
      <w:tr w:rsidR="00E9312A" w:rsidRPr="006662B2" w:rsidTr="00A8129A">
        <w:tc>
          <w:tcPr>
            <w:tcW w:w="861" w:type="dxa"/>
            <w:tcBorders>
              <w:left w:val="single" w:sz="8" w:space="0" w:color="000000"/>
              <w:bottom w:val="single" w:sz="8" w:space="0" w:color="000000"/>
              <w:right w:val="single" w:sz="8" w:space="0" w:color="000000"/>
            </w:tcBorders>
            <w:vAlign w:val="center"/>
          </w:tcPr>
          <w:p w:rsidR="00E9312A" w:rsidRPr="006662B2" w:rsidRDefault="00E9312A" w:rsidP="001067D9">
            <w:pPr>
              <w:autoSpaceDE w:val="0"/>
              <w:autoSpaceDN w:val="0"/>
              <w:adjustRightInd w:val="0"/>
              <w:spacing w:before="29" w:line="360" w:lineRule="auto"/>
              <w:ind w:left="15"/>
              <w:jc w:val="center"/>
              <w:rPr>
                <w:rFonts w:asciiTheme="minorEastAsia" w:eastAsiaTheme="minorEastAsia" w:hAnsiTheme="minorEastAsia"/>
                <w:color w:val="000000"/>
                <w:sz w:val="24"/>
              </w:rPr>
            </w:pPr>
            <w:r w:rsidRPr="006662B2">
              <w:rPr>
                <w:rFonts w:asciiTheme="minorEastAsia" w:eastAsiaTheme="minorEastAsia" w:hAnsiTheme="minorEastAsia" w:cs="Arial"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F03F87">
            <w:pPr>
              <w:jc w:val="right"/>
              <w:rPr>
                <w:rFonts w:asciiTheme="minorEastAsia" w:eastAsiaTheme="minorEastAsia" w:hAnsiTheme="minorEastAsia"/>
                <w:sz w:val="24"/>
              </w:rPr>
            </w:pPr>
            <w:r w:rsidRPr="006662B2">
              <w:rPr>
                <w:rFonts w:asciiTheme="minorEastAsia" w:eastAsiaTheme="minorEastAsia" w:hAnsiTheme="minorEastAsia" w:cs="Arial" w:hint="eastAsia"/>
                <w:color w:val="000000"/>
                <w:kern w:val="0"/>
                <w:sz w:val="24"/>
              </w:rPr>
              <w:t>占基金资产净值</w:t>
            </w:r>
            <w:r w:rsidR="009D2F0E" w:rsidRPr="006662B2">
              <w:rPr>
                <w:rFonts w:asciiTheme="minorEastAsia" w:eastAsiaTheme="minorEastAsia" w:hAnsiTheme="minorEastAsia" w:cs="Arial" w:hint="eastAsia"/>
                <w:color w:val="000000"/>
                <w:kern w:val="0"/>
                <w:sz w:val="24"/>
              </w:rPr>
              <w:t>的</w:t>
            </w:r>
            <w:r w:rsidRPr="006662B2">
              <w:rPr>
                <w:rFonts w:asciiTheme="minorEastAsia" w:eastAsiaTheme="minorEastAsia" w:hAnsiTheme="minorEastAsia" w:cs="Arial" w:hint="eastAsia"/>
                <w:color w:val="000000"/>
                <w:kern w:val="0"/>
                <w:sz w:val="24"/>
              </w:rPr>
              <w:t>比例（％）</w:t>
            </w:r>
          </w:p>
        </w:tc>
      </w:tr>
      <w:tr w:rsidR="009802DA" w:rsidRPr="006662B2" w:rsidTr="00A8129A">
        <w:tc>
          <w:tcPr>
            <w:tcW w:w="861" w:type="dxa"/>
            <w:vMerge w:val="restart"/>
            <w:tcBorders>
              <w:top w:val="single" w:sz="8" w:space="0" w:color="000000"/>
              <w:left w:val="single" w:sz="8" w:space="0" w:color="000000"/>
              <w:right w:val="single" w:sz="8" w:space="0" w:color="000000"/>
            </w:tcBorders>
            <w:vAlign w:val="center"/>
          </w:tcPr>
          <w:p w:rsidR="009802DA" w:rsidRPr="00F029D6" w:rsidRDefault="009802DA" w:rsidP="0029234B">
            <w:pPr>
              <w:spacing w:before="29" w:line="288" w:lineRule="auto"/>
              <w:jc w:val="center"/>
              <w:rPr>
                <w:color w:val="000000"/>
                <w:sz w:val="24"/>
              </w:rPr>
            </w:pPr>
            <w:r w:rsidRPr="00F029D6">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before="29" w:line="288" w:lineRule="auto"/>
              <w:rPr>
                <w:color w:val="000000"/>
                <w:sz w:val="24"/>
              </w:rPr>
            </w:pPr>
            <w:r w:rsidRPr="00F029D6">
              <w:rPr>
                <w:rFonts w:hint="eastAsia"/>
                <w:color w:val="000000"/>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w:t>
            </w:r>
          </w:p>
        </w:tc>
      </w:tr>
      <w:tr w:rsidR="009802DA" w:rsidRPr="006662B2" w:rsidTr="00A8129A">
        <w:tc>
          <w:tcPr>
            <w:tcW w:w="861" w:type="dxa"/>
            <w:vMerge/>
            <w:tcBorders>
              <w:left w:val="single" w:sz="8" w:space="0" w:color="000000"/>
              <w:bottom w:val="single" w:sz="8" w:space="0" w:color="000000"/>
              <w:right w:val="single" w:sz="8" w:space="0" w:color="000000"/>
            </w:tcBorders>
            <w:vAlign w:val="center"/>
          </w:tcPr>
          <w:p w:rsidR="009802DA" w:rsidRPr="00F029D6" w:rsidRDefault="009802DA" w:rsidP="00F029D6">
            <w:pPr>
              <w:spacing w:before="29" w:line="288" w:lineRule="auto"/>
              <w:jc w:val="center"/>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line="288" w:lineRule="auto"/>
              <w:rPr>
                <w:color w:val="000000"/>
                <w:sz w:val="24"/>
              </w:rPr>
            </w:pPr>
            <w:r w:rsidRPr="00F029D6">
              <w:rPr>
                <w:rFonts w:hint="eastAsia"/>
                <w:color w:val="000000"/>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w:t>
            </w:r>
          </w:p>
        </w:tc>
      </w:tr>
    </w:tbl>
    <w:p w:rsidR="009802DA" w:rsidRPr="00771109" w:rsidRDefault="009802DA" w:rsidP="00771109">
      <w:pPr>
        <w:autoSpaceDE w:val="0"/>
        <w:autoSpaceDN w:val="0"/>
        <w:adjustRightInd w:val="0"/>
        <w:spacing w:before="29" w:line="288" w:lineRule="auto"/>
        <w:jc w:val="left"/>
        <w:rPr>
          <w:color w:val="000000"/>
          <w:sz w:val="24"/>
        </w:rPr>
      </w:pPr>
      <w:r w:rsidRPr="00771109">
        <w:rPr>
          <w:rFonts w:hint="eastAsia"/>
          <w:color w:val="000000"/>
          <w:sz w:val="24"/>
        </w:rPr>
        <w:t>注：报告期内债券回购融资余额占基金资产净值的比例为报告期内每个银行间市场交易日融资余额占资产净值比例的简单平均值。</w:t>
      </w:r>
    </w:p>
    <w:p w:rsidR="00DB2873" w:rsidRPr="006662B2" w:rsidRDefault="00DB2873" w:rsidP="00814461">
      <w:pPr>
        <w:tabs>
          <w:tab w:val="left" w:pos="1800"/>
        </w:tabs>
        <w:spacing w:line="360" w:lineRule="auto"/>
        <w:rPr>
          <w:rFonts w:asciiTheme="minorEastAsia" w:eastAsiaTheme="minorEastAsia" w:hAnsiTheme="minorEastAsia"/>
          <w:sz w:val="24"/>
        </w:rPr>
      </w:pPr>
    </w:p>
    <w:p w:rsidR="004771B9" w:rsidRPr="003B36DD" w:rsidRDefault="004771B9" w:rsidP="003B36DD">
      <w:pPr>
        <w:spacing w:before="29" w:line="288" w:lineRule="auto"/>
        <w:rPr>
          <w:b/>
          <w:color w:val="000000"/>
          <w:kern w:val="0"/>
          <w:sz w:val="24"/>
        </w:rPr>
      </w:pPr>
      <w:r w:rsidRPr="003B36DD">
        <w:rPr>
          <w:rFonts w:hint="eastAsia"/>
          <w:b/>
          <w:color w:val="000000"/>
          <w:kern w:val="0"/>
          <w:sz w:val="24"/>
        </w:rPr>
        <w:t>债券正回购的资金余额超过基金资产净值的</w:t>
      </w:r>
      <w:r w:rsidRPr="003B36DD">
        <w:rPr>
          <w:b/>
          <w:color w:val="000000"/>
          <w:kern w:val="0"/>
          <w:sz w:val="24"/>
        </w:rPr>
        <w:t>20</w:t>
      </w:r>
      <w:r w:rsidRPr="003B36DD">
        <w:rPr>
          <w:rFonts w:hint="eastAsia"/>
          <w:b/>
          <w:color w:val="000000"/>
          <w:kern w:val="0"/>
          <w:sz w:val="24"/>
        </w:rPr>
        <w:t>％的说明</w:t>
      </w:r>
    </w:p>
    <w:p w:rsidR="00902E3F" w:rsidRPr="0095721A" w:rsidRDefault="009802DA" w:rsidP="0095721A">
      <w:pPr>
        <w:autoSpaceDE w:val="0"/>
        <w:autoSpaceDN w:val="0"/>
        <w:adjustRightInd w:val="0"/>
        <w:spacing w:before="29" w:line="288" w:lineRule="auto"/>
        <w:jc w:val="left"/>
        <w:rPr>
          <w:color w:val="000000"/>
          <w:sz w:val="24"/>
        </w:rPr>
      </w:pPr>
      <w:r w:rsidRPr="0095721A">
        <w:rPr>
          <w:rFonts w:hint="eastAsia"/>
          <w:color w:val="000000"/>
          <w:sz w:val="24"/>
        </w:rPr>
        <w:t>本基金本报告期内债券正回购的资金余额未超过资产净值的</w:t>
      </w:r>
      <w:r w:rsidRPr="0095721A">
        <w:rPr>
          <w:rFonts w:hint="eastAsia"/>
          <w:color w:val="000000"/>
          <w:sz w:val="24"/>
        </w:rPr>
        <w:t>20%</w:t>
      </w:r>
      <w:r w:rsidRPr="0095721A">
        <w:rPr>
          <w:rFonts w:hint="eastAsia"/>
          <w:color w:val="000000"/>
          <w:sz w:val="24"/>
        </w:rPr>
        <w:t>。</w:t>
      </w:r>
    </w:p>
    <w:p w:rsidR="009802DA" w:rsidRPr="006662B2" w:rsidRDefault="009802DA"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CB6A05" w:rsidRDefault="00902E3F" w:rsidP="00CB6A05">
      <w:pPr>
        <w:spacing w:before="29" w:line="288" w:lineRule="auto"/>
        <w:rPr>
          <w:b/>
          <w:color w:val="000000"/>
          <w:kern w:val="0"/>
          <w:sz w:val="24"/>
        </w:rPr>
      </w:pPr>
      <w:r w:rsidRPr="00CB6A05">
        <w:rPr>
          <w:b/>
          <w:color w:val="000000"/>
          <w:kern w:val="0"/>
          <w:sz w:val="24"/>
        </w:rPr>
        <w:t xml:space="preserve">5.3 </w:t>
      </w:r>
      <w:r w:rsidRPr="00CB6A05">
        <w:rPr>
          <w:rFonts w:hint="eastAsia"/>
          <w:b/>
          <w:color w:val="000000"/>
          <w:kern w:val="0"/>
          <w:sz w:val="24"/>
        </w:rPr>
        <w:t>基金投资组合平均剩余期限</w:t>
      </w:r>
    </w:p>
    <w:p w:rsidR="00902E3F" w:rsidRPr="00CB6A05" w:rsidRDefault="00902E3F" w:rsidP="00CB6A05">
      <w:pPr>
        <w:spacing w:before="29" w:line="288" w:lineRule="auto"/>
        <w:rPr>
          <w:b/>
          <w:color w:val="000000"/>
          <w:kern w:val="0"/>
          <w:sz w:val="24"/>
        </w:rPr>
      </w:pPr>
      <w:r w:rsidRPr="00CB6A05">
        <w:rPr>
          <w:b/>
          <w:color w:val="000000"/>
          <w:kern w:val="0"/>
          <w:sz w:val="24"/>
        </w:rPr>
        <w:t xml:space="preserve">5.3.1 </w:t>
      </w:r>
      <w:r w:rsidRPr="00CB6A05">
        <w:rPr>
          <w:rFonts w:hint="eastAsia"/>
          <w:b/>
          <w:color w:val="000000"/>
          <w:kern w:val="0"/>
          <w:sz w:val="24"/>
        </w:rPr>
        <w:t>投资组合平均剩余期限基本情况</w:t>
      </w:r>
    </w:p>
    <w:tbl>
      <w:tblPr>
        <w:tblW w:w="8998" w:type="dxa"/>
        <w:tblInd w:w="108" w:type="dxa"/>
        <w:tblLayout w:type="fixed"/>
        <w:tblLook w:val="0000" w:firstRow="0" w:lastRow="0" w:firstColumn="0" w:lastColumn="0" w:noHBand="0" w:noVBand="0"/>
      </w:tblPr>
      <w:tblGrid>
        <w:gridCol w:w="4640"/>
        <w:gridCol w:w="4358"/>
      </w:tblGrid>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项目</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天数</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报告期末投资组合平均剩余期限</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14</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报告期内投资组合平均剩余期限最高值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119</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报告期内投资组合平均剩余期限最低值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847FCE" w:rsidP="006D2FC6">
            <w:pPr>
              <w:spacing w:before="29" w:line="288" w:lineRule="auto"/>
              <w:ind w:right="120"/>
              <w:jc w:val="right"/>
              <w:rPr>
                <w:color w:val="000000"/>
                <w:sz w:val="24"/>
              </w:rPr>
            </w:pPr>
            <w:r>
              <w:rPr>
                <w:color w:val="000000"/>
                <w:sz w:val="24"/>
              </w:rPr>
              <w:t>3</w:t>
            </w:r>
            <w:r w:rsidR="002345F6">
              <w:rPr>
                <w:color w:val="000000"/>
                <w:sz w:val="24"/>
              </w:rPr>
              <w:t xml:space="preserve"> </w:t>
            </w:r>
          </w:p>
        </w:tc>
      </w:tr>
    </w:tbl>
    <w:p w:rsidR="00193BCF" w:rsidRPr="006662B2" w:rsidRDefault="00193BCF" w:rsidP="00814461">
      <w:pPr>
        <w:spacing w:line="360" w:lineRule="auto"/>
        <w:rPr>
          <w:rFonts w:asciiTheme="minorEastAsia" w:eastAsiaTheme="minorEastAsia" w:hAnsiTheme="minorEastAsia"/>
          <w:b/>
          <w:sz w:val="24"/>
        </w:rPr>
      </w:pPr>
    </w:p>
    <w:p w:rsidR="007277D1" w:rsidRPr="007656D4" w:rsidRDefault="007277D1" w:rsidP="00437706">
      <w:pPr>
        <w:spacing w:line="360" w:lineRule="auto"/>
        <w:rPr>
          <w:b/>
          <w:color w:val="000000"/>
          <w:kern w:val="0"/>
          <w:sz w:val="24"/>
        </w:rPr>
      </w:pPr>
      <w:r w:rsidRPr="007656D4">
        <w:rPr>
          <w:rFonts w:hint="eastAsia"/>
          <w:b/>
          <w:color w:val="000000"/>
          <w:kern w:val="0"/>
          <w:sz w:val="24"/>
        </w:rPr>
        <w:t>报告期内投资组合平均剩余期限超过</w:t>
      </w:r>
      <w:r w:rsidR="005367AA">
        <w:rPr>
          <w:rFonts w:hint="eastAsia"/>
          <w:b/>
          <w:color w:val="000000"/>
          <w:kern w:val="0"/>
          <w:sz w:val="24"/>
        </w:rPr>
        <w:t>1</w:t>
      </w:r>
      <w:r w:rsidR="00041E87">
        <w:rPr>
          <w:rFonts w:hint="eastAsia"/>
          <w:b/>
          <w:color w:val="000000"/>
          <w:kern w:val="0"/>
          <w:sz w:val="24"/>
        </w:rPr>
        <w:t>8</w:t>
      </w:r>
      <w:r w:rsidR="005367AA">
        <w:rPr>
          <w:rFonts w:hint="eastAsia"/>
          <w:b/>
          <w:color w:val="000000"/>
          <w:kern w:val="0"/>
          <w:sz w:val="24"/>
        </w:rPr>
        <w:t>0</w:t>
      </w:r>
      <w:r w:rsidRPr="007656D4">
        <w:rPr>
          <w:rFonts w:hint="eastAsia"/>
          <w:b/>
          <w:color w:val="000000"/>
          <w:kern w:val="0"/>
          <w:sz w:val="24"/>
        </w:rPr>
        <w:t>天情况说明</w:t>
      </w:r>
    </w:p>
    <w:p w:rsidR="00041E87" w:rsidRPr="000E4C40" w:rsidRDefault="00041E87" w:rsidP="00041E87">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本基金投资组合的平均剩余期限在每个交易日均不得超过</w:t>
      </w:r>
      <w:r w:rsidRPr="000E4C40">
        <w:rPr>
          <w:color w:val="000000"/>
          <w:sz w:val="24"/>
        </w:rPr>
        <w:t>1</w:t>
      </w:r>
      <w:r>
        <w:rPr>
          <w:rFonts w:hint="eastAsia"/>
          <w:color w:val="000000"/>
          <w:sz w:val="24"/>
        </w:rPr>
        <w:t>20</w:t>
      </w:r>
      <w:r w:rsidRPr="000E4C40">
        <w:rPr>
          <w:color w:val="000000"/>
          <w:sz w:val="24"/>
        </w:rPr>
        <w:t>天</w:t>
      </w:r>
      <w:r w:rsidRPr="000E4C40">
        <w:rPr>
          <w:color w:val="000000"/>
          <w:sz w:val="24"/>
        </w:rPr>
        <w:t>”</w:t>
      </w:r>
      <w:r w:rsidRPr="000E4C40">
        <w:rPr>
          <w:color w:val="000000"/>
          <w:sz w:val="24"/>
        </w:rPr>
        <w:t>。本报告期内，本基金未发生超标情况。</w:t>
      </w:r>
    </w:p>
    <w:p w:rsidR="00193BCF" w:rsidRPr="006662B2" w:rsidRDefault="00193BCF" w:rsidP="00814461">
      <w:pPr>
        <w:adjustRightInd w:val="0"/>
        <w:spacing w:line="360" w:lineRule="auto"/>
        <w:rPr>
          <w:rFonts w:asciiTheme="minorEastAsia" w:eastAsiaTheme="minorEastAsia" w:hAnsiTheme="minorEastAsia"/>
          <w:sz w:val="24"/>
        </w:rPr>
      </w:pPr>
    </w:p>
    <w:p w:rsidR="00902E3F" w:rsidRPr="0035705A" w:rsidRDefault="00902E3F" w:rsidP="0035705A">
      <w:pPr>
        <w:spacing w:before="29" w:line="288" w:lineRule="auto"/>
        <w:rPr>
          <w:b/>
          <w:color w:val="000000"/>
          <w:kern w:val="0"/>
          <w:sz w:val="24"/>
        </w:rPr>
      </w:pPr>
      <w:r w:rsidRPr="0035705A">
        <w:rPr>
          <w:b/>
          <w:color w:val="000000"/>
          <w:kern w:val="0"/>
          <w:sz w:val="24"/>
        </w:rPr>
        <w:t xml:space="preserve">5.3.2 </w:t>
      </w:r>
      <w:r w:rsidRPr="0035705A">
        <w:rPr>
          <w:rFonts w:hint="eastAsia"/>
          <w:b/>
          <w:color w:val="000000"/>
          <w:kern w:val="0"/>
          <w:sz w:val="24"/>
        </w:rPr>
        <w:t>报告期末投资组合平均剩余期限分布比例</w:t>
      </w:r>
    </w:p>
    <w:tbl>
      <w:tblPr>
        <w:tblW w:w="8998" w:type="dxa"/>
        <w:tblInd w:w="108" w:type="dxa"/>
        <w:tblLayout w:type="fixed"/>
        <w:tblLook w:val="0000" w:firstRow="0" w:lastRow="0" w:firstColumn="0" w:lastColumn="0" w:noHBand="0" w:noVBand="0"/>
      </w:tblPr>
      <w:tblGrid>
        <w:gridCol w:w="841"/>
        <w:gridCol w:w="3364"/>
        <w:gridCol w:w="2445"/>
        <w:gridCol w:w="2348"/>
      </w:tblGrid>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序号</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平均剩余期限</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各期限资产占基金资产净值的比例（</w:t>
            </w:r>
            <w:r w:rsidRPr="00E61DC5">
              <w:rPr>
                <w:rFonts w:hAnsi="宋体"/>
                <w:color w:val="000000"/>
                <w:kern w:val="0"/>
                <w:sz w:val="24"/>
              </w:rPr>
              <w:t>%</w:t>
            </w:r>
            <w:r w:rsidRPr="00E61DC5">
              <w:rPr>
                <w:rFonts w:hAnsi="宋体" w:hint="eastAsia"/>
                <w:color w:val="000000"/>
                <w:kern w:val="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各期限负债占基金资产净值的比例（</w:t>
            </w:r>
            <w:r w:rsidR="00BD6918" w:rsidRPr="00E61DC5">
              <w:rPr>
                <w:rFonts w:hAnsi="宋体" w:hint="eastAsia"/>
                <w:color w:val="000000"/>
                <w:kern w:val="0"/>
                <w:sz w:val="24"/>
              </w:rPr>
              <w:t>％</w:t>
            </w:r>
            <w:r w:rsidRPr="00E61DC5">
              <w:rPr>
                <w:rFonts w:hAnsi="宋体" w:hint="eastAsia"/>
                <w:color w:val="000000"/>
                <w:kern w:val="0"/>
                <w:sz w:val="24"/>
              </w:rPr>
              <w:t>）</w:t>
            </w:r>
          </w:p>
        </w:tc>
      </w:tr>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1</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天以内</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91.09</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2</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天（含）</w:t>
            </w:r>
            <w:r w:rsidRPr="00937B34">
              <w:rPr>
                <w:color w:val="000000"/>
                <w:sz w:val="24"/>
              </w:rPr>
              <w:t>—60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3.35</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3</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60</w:t>
            </w:r>
            <w:r w:rsidRPr="00937B34">
              <w:rPr>
                <w:color w:val="000000"/>
                <w:sz w:val="24"/>
              </w:rPr>
              <w:t>天（含）</w:t>
            </w:r>
            <w:r w:rsidRPr="00937B34">
              <w:rPr>
                <w:color w:val="000000"/>
                <w:sz w:val="24"/>
              </w:rPr>
              <w:t>—90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1.67</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4</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90</w:t>
            </w:r>
            <w:r w:rsidRPr="00937B34">
              <w:rPr>
                <w:color w:val="000000"/>
                <w:sz w:val="24"/>
              </w:rPr>
              <w:t>天（含）</w:t>
            </w:r>
            <w:r w:rsidRPr="00937B34">
              <w:rPr>
                <w:color w:val="000000"/>
                <w:sz w:val="24"/>
              </w:rPr>
              <w:t>—180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3.34</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5</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180</w:t>
            </w:r>
            <w:r w:rsidRPr="00937B34">
              <w:rPr>
                <w:color w:val="000000"/>
                <w:sz w:val="24"/>
              </w:rPr>
              <w:t>天（含）</w:t>
            </w:r>
            <w:r w:rsidRPr="00937B34">
              <w:rPr>
                <w:color w:val="000000"/>
                <w:sz w:val="24"/>
              </w:rPr>
              <w:t>—397</w:t>
            </w:r>
            <w:r w:rsidRPr="00937B34">
              <w:rPr>
                <w:color w:val="000000"/>
                <w:sz w:val="24"/>
              </w:rPr>
              <w:t>天（含）</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4144" w:type="dxa"/>
            <w:gridSpan w:val="2"/>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99.45</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bl>
    <w:p w:rsidR="005B15BD" w:rsidRPr="006662B2" w:rsidRDefault="005B15BD" w:rsidP="00100EC8">
      <w:pPr>
        <w:autoSpaceDE w:val="0"/>
        <w:autoSpaceDN w:val="0"/>
        <w:adjustRightInd w:val="0"/>
        <w:spacing w:line="360" w:lineRule="auto"/>
        <w:jc w:val="left"/>
        <w:rPr>
          <w:rFonts w:asciiTheme="minorEastAsia" w:eastAsiaTheme="minorEastAsia" w:hAnsiTheme="minorEastAsia"/>
          <w:color w:val="000000"/>
          <w:sz w:val="24"/>
        </w:rPr>
      </w:pPr>
    </w:p>
    <w:p w:rsidR="00902E3F" w:rsidRPr="0025252D" w:rsidRDefault="00902E3F" w:rsidP="0025252D">
      <w:pPr>
        <w:spacing w:before="29" w:line="288" w:lineRule="auto"/>
        <w:rPr>
          <w:b/>
          <w:color w:val="000000"/>
          <w:kern w:val="0"/>
          <w:sz w:val="24"/>
        </w:rPr>
      </w:pPr>
      <w:r w:rsidRPr="0025252D">
        <w:rPr>
          <w:b/>
          <w:color w:val="000000"/>
          <w:kern w:val="0"/>
          <w:sz w:val="24"/>
        </w:rPr>
        <w:t xml:space="preserve">5.4 </w:t>
      </w:r>
      <w:r w:rsidRPr="0025252D">
        <w:rPr>
          <w:rFonts w:hint="eastAsia"/>
          <w:b/>
          <w:color w:val="000000"/>
          <w:kern w:val="0"/>
          <w:sz w:val="24"/>
        </w:rPr>
        <w:t>报告期末按债券品种分类的债券投资组合</w:t>
      </w:r>
    </w:p>
    <w:tbl>
      <w:tblPr>
        <w:tblStyle w:val="a8"/>
        <w:tblW w:w="8998" w:type="dxa"/>
        <w:tblInd w:w="108" w:type="dxa"/>
        <w:tblLayout w:type="fixed"/>
        <w:tblLook w:val="04A0" w:firstRow="1" w:lastRow="0" w:firstColumn="1" w:lastColumn="0" w:noHBand="0" w:noVBand="1"/>
      </w:tblPr>
      <w:tblGrid>
        <w:gridCol w:w="1039"/>
        <w:gridCol w:w="2877"/>
        <w:gridCol w:w="3165"/>
        <w:gridCol w:w="1917"/>
      </w:tblGrid>
      <w:tr w:rsidR="009751C6" w:rsidRPr="006662B2" w:rsidTr="00A8129A">
        <w:tc>
          <w:tcPr>
            <w:tcW w:w="1025"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序号</w:t>
            </w:r>
          </w:p>
        </w:tc>
        <w:tc>
          <w:tcPr>
            <w:tcW w:w="2835"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债券品种</w:t>
            </w:r>
          </w:p>
        </w:tc>
        <w:tc>
          <w:tcPr>
            <w:tcW w:w="3119" w:type="dxa"/>
            <w:vAlign w:val="center"/>
          </w:tcPr>
          <w:p w:rsidR="009751C6" w:rsidRPr="00A5064D" w:rsidRDefault="00181585" w:rsidP="00A5064D">
            <w:pPr>
              <w:spacing w:before="29" w:line="288" w:lineRule="auto"/>
              <w:ind w:left="17"/>
              <w:jc w:val="center"/>
              <w:rPr>
                <w:rFonts w:hAnsi="宋体"/>
                <w:color w:val="000000"/>
                <w:sz w:val="24"/>
              </w:rPr>
            </w:pPr>
            <w:r w:rsidRPr="000E4C40">
              <w:rPr>
                <w:rFonts w:hAnsi="宋体"/>
                <w:sz w:val="24"/>
              </w:rPr>
              <w:t>摊余成本</w:t>
            </w:r>
            <w:r w:rsidR="009751C6" w:rsidRPr="00A5064D">
              <w:rPr>
                <w:rFonts w:hAnsi="宋体" w:hint="eastAsia"/>
                <w:color w:val="000000"/>
                <w:sz w:val="24"/>
              </w:rPr>
              <w:t>(</w:t>
            </w:r>
            <w:r w:rsidR="009751C6" w:rsidRPr="00A5064D">
              <w:rPr>
                <w:rFonts w:hAnsi="宋体" w:hint="eastAsia"/>
                <w:color w:val="000000"/>
                <w:sz w:val="24"/>
              </w:rPr>
              <w:t>元</w:t>
            </w:r>
            <w:r w:rsidR="009751C6" w:rsidRPr="00A5064D">
              <w:rPr>
                <w:rFonts w:hAnsi="宋体" w:hint="eastAsia"/>
                <w:color w:val="000000"/>
                <w:sz w:val="24"/>
              </w:rPr>
              <w:t>)</w:t>
            </w:r>
          </w:p>
        </w:tc>
        <w:tc>
          <w:tcPr>
            <w:tcW w:w="1889"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占基金资产净值比例</w:t>
            </w:r>
            <w:r w:rsidRPr="00A5064D">
              <w:rPr>
                <w:rFonts w:hAnsi="宋体" w:hint="eastAsia"/>
                <w:color w:val="000000"/>
                <w:sz w:val="24"/>
              </w:rPr>
              <w:t>(</w:t>
            </w:r>
            <w:r w:rsidRPr="00A5064D">
              <w:rPr>
                <w:rFonts w:hAnsi="宋体" w:hint="eastAsia"/>
                <w:color w:val="000000"/>
                <w:sz w:val="24"/>
              </w:rPr>
              <w:t>％</w:t>
            </w:r>
            <w:r w:rsidRPr="00A5064D">
              <w:rPr>
                <w:rFonts w:hAnsi="宋体" w:hint="eastAsia"/>
                <w:color w:val="000000"/>
                <w:sz w:val="24"/>
              </w:rPr>
              <w:t>)</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1</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国家债券</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2</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央行票据</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3</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金融债券</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40,028,233.85</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6.68</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其中：政策性金融债</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40,028,233.85</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6.68</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4</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企业债券</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5</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企业短期融资</w:t>
            </w:r>
            <w:r w:rsidR="00280B02" w:rsidRPr="0076066F">
              <w:rPr>
                <w:rFonts w:hint="eastAsia"/>
                <w:color w:val="000000"/>
                <w:sz w:val="24"/>
              </w:rPr>
              <w:t>券</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30,099,673.74</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5.02</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6</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中期票据</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A8129A">
        <w:tc>
          <w:tcPr>
            <w:tcW w:w="1025" w:type="dxa"/>
            <w:vAlign w:val="center"/>
          </w:tcPr>
          <w:p w:rsidR="009751C6" w:rsidRPr="00210C5D" w:rsidRDefault="009751C6" w:rsidP="00210C5D">
            <w:pPr>
              <w:spacing w:before="29" w:line="288" w:lineRule="auto"/>
              <w:ind w:left="17"/>
              <w:jc w:val="center"/>
              <w:rPr>
                <w:color w:val="000000"/>
                <w:sz w:val="24"/>
              </w:rPr>
            </w:pPr>
            <w:r w:rsidRPr="00210C5D">
              <w:rPr>
                <w:color w:val="000000"/>
                <w:sz w:val="24"/>
              </w:rPr>
              <w:t>7</w:t>
            </w:r>
          </w:p>
        </w:tc>
        <w:tc>
          <w:tcPr>
            <w:tcW w:w="2835"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其他</w:t>
            </w:r>
          </w:p>
        </w:tc>
        <w:tc>
          <w:tcPr>
            <w:tcW w:w="311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88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r w:rsidR="009751C6" w:rsidRPr="006662B2" w:rsidTr="00A8129A">
        <w:tc>
          <w:tcPr>
            <w:tcW w:w="1025" w:type="dxa"/>
            <w:vAlign w:val="center"/>
          </w:tcPr>
          <w:p w:rsidR="009751C6" w:rsidRPr="00210C5D" w:rsidRDefault="009751C6" w:rsidP="00210C5D">
            <w:pPr>
              <w:spacing w:before="29" w:line="288" w:lineRule="auto"/>
              <w:ind w:left="17"/>
              <w:jc w:val="center"/>
              <w:rPr>
                <w:color w:val="000000"/>
                <w:sz w:val="24"/>
              </w:rPr>
            </w:pPr>
            <w:r w:rsidRPr="00210C5D">
              <w:rPr>
                <w:color w:val="000000"/>
                <w:sz w:val="24"/>
              </w:rPr>
              <w:t>8</w:t>
            </w:r>
          </w:p>
        </w:tc>
        <w:tc>
          <w:tcPr>
            <w:tcW w:w="2835"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合计</w:t>
            </w:r>
          </w:p>
        </w:tc>
        <w:tc>
          <w:tcPr>
            <w:tcW w:w="311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70,127,907.59</w:t>
            </w:r>
          </w:p>
        </w:tc>
        <w:tc>
          <w:tcPr>
            <w:tcW w:w="188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11.70</w:t>
            </w:r>
          </w:p>
        </w:tc>
      </w:tr>
      <w:tr w:rsidR="009751C6" w:rsidRPr="006662B2" w:rsidTr="00A8129A">
        <w:tc>
          <w:tcPr>
            <w:tcW w:w="1025" w:type="dxa"/>
            <w:vAlign w:val="center"/>
          </w:tcPr>
          <w:p w:rsidR="009751C6" w:rsidRPr="00210C5D" w:rsidRDefault="009751C6" w:rsidP="00210C5D">
            <w:pPr>
              <w:spacing w:before="29" w:line="288" w:lineRule="auto"/>
              <w:ind w:left="17"/>
              <w:jc w:val="center"/>
              <w:rPr>
                <w:color w:val="000000"/>
                <w:sz w:val="24"/>
              </w:rPr>
            </w:pPr>
            <w:r w:rsidRPr="00210C5D">
              <w:rPr>
                <w:color w:val="000000"/>
                <w:sz w:val="24"/>
              </w:rPr>
              <w:t>9</w:t>
            </w:r>
          </w:p>
        </w:tc>
        <w:tc>
          <w:tcPr>
            <w:tcW w:w="2835"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剩余存续期超过</w:t>
            </w:r>
            <w:r w:rsidRPr="00210C5D">
              <w:rPr>
                <w:rFonts w:hint="eastAsia"/>
                <w:color w:val="000000"/>
                <w:sz w:val="24"/>
              </w:rPr>
              <w:t>397</w:t>
            </w:r>
            <w:r w:rsidRPr="00210C5D">
              <w:rPr>
                <w:rFonts w:hint="eastAsia"/>
                <w:color w:val="000000"/>
                <w:sz w:val="24"/>
              </w:rPr>
              <w:t>天的浮动利率债券</w:t>
            </w:r>
          </w:p>
        </w:tc>
        <w:tc>
          <w:tcPr>
            <w:tcW w:w="311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88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bl>
    <w:p w:rsidR="009D74FC" w:rsidRPr="006662B2" w:rsidRDefault="009D74FC"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AD28A5" w:rsidRPr="006A4382" w:rsidRDefault="00902E3F" w:rsidP="006A4382">
      <w:pPr>
        <w:spacing w:before="29" w:line="288" w:lineRule="auto"/>
        <w:rPr>
          <w:b/>
          <w:color w:val="000000"/>
          <w:kern w:val="0"/>
          <w:sz w:val="24"/>
        </w:rPr>
      </w:pPr>
      <w:r w:rsidRPr="006A4382">
        <w:rPr>
          <w:b/>
          <w:color w:val="000000"/>
          <w:kern w:val="0"/>
          <w:sz w:val="24"/>
        </w:rPr>
        <w:t xml:space="preserve">5.5 </w:t>
      </w:r>
      <w:r w:rsidRPr="006A4382">
        <w:rPr>
          <w:rFonts w:hint="eastAsia"/>
          <w:b/>
          <w:color w:val="000000"/>
          <w:kern w:val="0"/>
          <w:sz w:val="24"/>
        </w:rPr>
        <w:t>报告期末按摊余成本占基金资产净值比例大小排</w:t>
      </w:r>
      <w:r w:rsidR="008713AD" w:rsidRPr="000E4C40">
        <w:rPr>
          <w:rFonts w:hAnsi="宋体"/>
          <w:b/>
          <w:color w:val="000000"/>
          <w:kern w:val="0"/>
          <w:sz w:val="24"/>
        </w:rPr>
        <w:t>序</w:t>
      </w:r>
      <w:r w:rsidRPr="006A4382">
        <w:rPr>
          <w:rFonts w:hint="eastAsia"/>
          <w:b/>
          <w:color w:val="000000"/>
          <w:kern w:val="0"/>
          <w:sz w:val="24"/>
        </w:rPr>
        <w:t>的前十名债券投资明细</w:t>
      </w:r>
    </w:p>
    <w:tbl>
      <w:tblPr>
        <w:tblStyle w:val="a8"/>
        <w:tblW w:w="8998" w:type="dxa"/>
        <w:tblInd w:w="108" w:type="dxa"/>
        <w:tblLook w:val="04A0" w:firstRow="1" w:lastRow="0" w:firstColumn="1" w:lastColumn="0" w:noHBand="0" w:noVBand="1"/>
      </w:tblPr>
      <w:tblGrid>
        <w:gridCol w:w="1321"/>
        <w:gridCol w:w="1495"/>
        <w:gridCol w:w="1731"/>
        <w:gridCol w:w="1432"/>
        <w:gridCol w:w="1596"/>
        <w:gridCol w:w="1423"/>
      </w:tblGrid>
      <w:tr w:rsidR="00AD28A5" w:rsidRPr="006662B2" w:rsidTr="00A8129A">
        <w:tc>
          <w:tcPr>
            <w:tcW w:w="1547"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序号</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债券代码</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债券名称</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债券数量</w:t>
            </w:r>
          </w:p>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color w:val="000000"/>
                <w:kern w:val="0"/>
                <w:sz w:val="24"/>
              </w:rPr>
              <w:t>(</w:t>
            </w:r>
            <w:r w:rsidRPr="00D840C9">
              <w:rPr>
                <w:rFonts w:hAnsi="宋体" w:hint="eastAsia"/>
                <w:color w:val="000000"/>
                <w:kern w:val="0"/>
                <w:sz w:val="24"/>
              </w:rPr>
              <w:t>张</w:t>
            </w:r>
            <w:r w:rsidRPr="00D840C9">
              <w:rPr>
                <w:rFonts w:hAnsi="宋体"/>
                <w:color w:val="000000"/>
                <w:kern w:val="0"/>
                <w:sz w:val="24"/>
              </w:rPr>
              <w:t>)</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摊余成本（元）</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占基金资产净值比例（％）</w:t>
            </w:r>
          </w:p>
        </w:tc>
      </w:tr>
      <w:tr w:rsidR="00D7022C">
        <w:tc>
          <w:tcPr>
            <w:tcW w:w="0" w:type="auto"/>
            <w:vAlign w:val="center"/>
          </w:tcPr>
          <w:p w:rsidR="00D7022C" w:rsidRDefault="005367AA">
            <w:pPr>
              <w:jc w:val="center"/>
            </w:pPr>
            <w:r>
              <w:rPr>
                <w:color w:val="000000"/>
                <w:sz w:val="24"/>
              </w:rPr>
              <w:t>1</w:t>
            </w:r>
          </w:p>
        </w:tc>
        <w:tc>
          <w:tcPr>
            <w:tcW w:w="0" w:type="auto"/>
            <w:vAlign w:val="center"/>
          </w:tcPr>
          <w:p w:rsidR="00D7022C" w:rsidRDefault="005367AA">
            <w:pPr>
              <w:jc w:val="center"/>
            </w:pPr>
            <w:r>
              <w:rPr>
                <w:color w:val="000000"/>
                <w:sz w:val="24"/>
              </w:rPr>
              <w:t>140204</w:t>
            </w:r>
          </w:p>
        </w:tc>
        <w:tc>
          <w:tcPr>
            <w:tcW w:w="0" w:type="auto"/>
            <w:vAlign w:val="center"/>
          </w:tcPr>
          <w:p w:rsidR="00D7022C" w:rsidRDefault="005367AA">
            <w:pPr>
              <w:jc w:val="center"/>
            </w:pPr>
            <w:r>
              <w:rPr>
                <w:color w:val="000000"/>
                <w:sz w:val="24"/>
              </w:rPr>
              <w:t>14</w:t>
            </w:r>
            <w:r>
              <w:rPr>
                <w:color w:val="000000"/>
                <w:sz w:val="24"/>
              </w:rPr>
              <w:t>国开</w:t>
            </w:r>
            <w:r>
              <w:rPr>
                <w:color w:val="000000"/>
                <w:sz w:val="24"/>
              </w:rPr>
              <w:t>04</w:t>
            </w:r>
          </w:p>
        </w:tc>
        <w:tc>
          <w:tcPr>
            <w:tcW w:w="0" w:type="auto"/>
            <w:vAlign w:val="center"/>
          </w:tcPr>
          <w:p w:rsidR="00D7022C" w:rsidRDefault="005367AA">
            <w:pPr>
              <w:jc w:val="right"/>
            </w:pPr>
            <w:r>
              <w:rPr>
                <w:color w:val="000000"/>
                <w:sz w:val="24"/>
              </w:rPr>
              <w:t>400,000</w:t>
            </w:r>
          </w:p>
        </w:tc>
        <w:tc>
          <w:tcPr>
            <w:tcW w:w="0" w:type="auto"/>
            <w:vAlign w:val="center"/>
          </w:tcPr>
          <w:p w:rsidR="00D7022C" w:rsidRDefault="005367AA">
            <w:pPr>
              <w:jc w:val="right"/>
            </w:pPr>
            <w:r>
              <w:rPr>
                <w:color w:val="000000"/>
                <w:sz w:val="24"/>
              </w:rPr>
              <w:t>40,028,233.85</w:t>
            </w:r>
          </w:p>
        </w:tc>
        <w:tc>
          <w:tcPr>
            <w:tcW w:w="0" w:type="auto"/>
            <w:vAlign w:val="center"/>
          </w:tcPr>
          <w:p w:rsidR="00D7022C" w:rsidRDefault="005367AA">
            <w:pPr>
              <w:jc w:val="right"/>
            </w:pPr>
            <w:r>
              <w:rPr>
                <w:color w:val="000000"/>
                <w:sz w:val="24"/>
              </w:rPr>
              <w:t>6.68</w:t>
            </w:r>
          </w:p>
        </w:tc>
      </w:tr>
      <w:tr w:rsidR="00D7022C">
        <w:tc>
          <w:tcPr>
            <w:tcW w:w="0" w:type="auto"/>
            <w:vAlign w:val="center"/>
          </w:tcPr>
          <w:p w:rsidR="00D7022C" w:rsidRDefault="005367AA">
            <w:pPr>
              <w:jc w:val="center"/>
            </w:pPr>
            <w:r>
              <w:rPr>
                <w:color w:val="000000"/>
                <w:sz w:val="24"/>
              </w:rPr>
              <w:t>2</w:t>
            </w:r>
          </w:p>
        </w:tc>
        <w:tc>
          <w:tcPr>
            <w:tcW w:w="0" w:type="auto"/>
            <w:vAlign w:val="center"/>
          </w:tcPr>
          <w:p w:rsidR="00D7022C" w:rsidRDefault="005367AA">
            <w:pPr>
              <w:jc w:val="center"/>
            </w:pPr>
            <w:r>
              <w:rPr>
                <w:color w:val="000000"/>
                <w:sz w:val="24"/>
              </w:rPr>
              <w:t>041454010</w:t>
            </w:r>
          </w:p>
        </w:tc>
        <w:tc>
          <w:tcPr>
            <w:tcW w:w="0" w:type="auto"/>
            <w:vAlign w:val="center"/>
          </w:tcPr>
          <w:p w:rsidR="00D7022C" w:rsidRDefault="005367AA">
            <w:pPr>
              <w:jc w:val="center"/>
            </w:pPr>
            <w:r>
              <w:rPr>
                <w:color w:val="000000"/>
                <w:sz w:val="24"/>
              </w:rPr>
              <w:t>14</w:t>
            </w:r>
            <w:r>
              <w:rPr>
                <w:color w:val="000000"/>
                <w:sz w:val="24"/>
              </w:rPr>
              <w:t>洋河</w:t>
            </w:r>
            <w:r>
              <w:rPr>
                <w:color w:val="000000"/>
                <w:sz w:val="24"/>
              </w:rPr>
              <w:t>CP001</w:t>
            </w:r>
          </w:p>
        </w:tc>
        <w:tc>
          <w:tcPr>
            <w:tcW w:w="0" w:type="auto"/>
            <w:vAlign w:val="center"/>
          </w:tcPr>
          <w:p w:rsidR="00D7022C" w:rsidRDefault="005367AA">
            <w:pPr>
              <w:jc w:val="right"/>
            </w:pPr>
            <w:r>
              <w:rPr>
                <w:color w:val="000000"/>
                <w:sz w:val="24"/>
              </w:rPr>
              <w:t>100,000</w:t>
            </w:r>
          </w:p>
        </w:tc>
        <w:tc>
          <w:tcPr>
            <w:tcW w:w="0" w:type="auto"/>
            <w:vAlign w:val="center"/>
          </w:tcPr>
          <w:p w:rsidR="00D7022C" w:rsidRDefault="005367AA">
            <w:pPr>
              <w:jc w:val="right"/>
            </w:pPr>
            <w:r>
              <w:rPr>
                <w:color w:val="000000"/>
                <w:sz w:val="24"/>
              </w:rPr>
              <w:t>10,062,642.51</w:t>
            </w:r>
          </w:p>
        </w:tc>
        <w:tc>
          <w:tcPr>
            <w:tcW w:w="0" w:type="auto"/>
            <w:vAlign w:val="center"/>
          </w:tcPr>
          <w:p w:rsidR="00D7022C" w:rsidRDefault="005367AA">
            <w:pPr>
              <w:jc w:val="right"/>
            </w:pPr>
            <w:r>
              <w:rPr>
                <w:color w:val="000000"/>
                <w:sz w:val="24"/>
              </w:rPr>
              <w:t>1.68</w:t>
            </w:r>
          </w:p>
        </w:tc>
      </w:tr>
      <w:tr w:rsidR="00D7022C">
        <w:tc>
          <w:tcPr>
            <w:tcW w:w="0" w:type="auto"/>
            <w:vAlign w:val="center"/>
          </w:tcPr>
          <w:p w:rsidR="00D7022C" w:rsidRDefault="005367AA">
            <w:pPr>
              <w:jc w:val="center"/>
            </w:pPr>
            <w:r>
              <w:rPr>
                <w:color w:val="000000"/>
                <w:sz w:val="24"/>
              </w:rPr>
              <w:t>3</w:t>
            </w:r>
          </w:p>
        </w:tc>
        <w:tc>
          <w:tcPr>
            <w:tcW w:w="0" w:type="auto"/>
            <w:vAlign w:val="center"/>
          </w:tcPr>
          <w:p w:rsidR="00D7022C" w:rsidRDefault="005367AA">
            <w:pPr>
              <w:jc w:val="center"/>
            </w:pPr>
            <w:r>
              <w:rPr>
                <w:color w:val="000000"/>
                <w:sz w:val="24"/>
              </w:rPr>
              <w:t>041464034</w:t>
            </w:r>
          </w:p>
        </w:tc>
        <w:tc>
          <w:tcPr>
            <w:tcW w:w="0" w:type="auto"/>
            <w:vAlign w:val="center"/>
          </w:tcPr>
          <w:p w:rsidR="00D7022C" w:rsidRDefault="005367AA">
            <w:pPr>
              <w:jc w:val="center"/>
            </w:pPr>
            <w:r>
              <w:rPr>
                <w:color w:val="000000"/>
                <w:sz w:val="24"/>
              </w:rPr>
              <w:t>14</w:t>
            </w:r>
            <w:r>
              <w:rPr>
                <w:color w:val="000000"/>
                <w:sz w:val="24"/>
              </w:rPr>
              <w:t>鄂联投</w:t>
            </w:r>
            <w:r>
              <w:rPr>
                <w:color w:val="000000"/>
                <w:sz w:val="24"/>
              </w:rPr>
              <w:t>CP001</w:t>
            </w:r>
          </w:p>
        </w:tc>
        <w:tc>
          <w:tcPr>
            <w:tcW w:w="0" w:type="auto"/>
            <w:vAlign w:val="center"/>
          </w:tcPr>
          <w:p w:rsidR="00D7022C" w:rsidRDefault="005367AA">
            <w:pPr>
              <w:jc w:val="right"/>
            </w:pPr>
            <w:r>
              <w:rPr>
                <w:color w:val="000000"/>
                <w:sz w:val="24"/>
              </w:rPr>
              <w:t>100,000</w:t>
            </w:r>
          </w:p>
        </w:tc>
        <w:tc>
          <w:tcPr>
            <w:tcW w:w="0" w:type="auto"/>
            <w:vAlign w:val="center"/>
          </w:tcPr>
          <w:p w:rsidR="00D7022C" w:rsidRDefault="005367AA">
            <w:pPr>
              <w:jc w:val="right"/>
            </w:pPr>
            <w:r>
              <w:rPr>
                <w:color w:val="000000"/>
                <w:sz w:val="24"/>
              </w:rPr>
              <w:t>10,036,924.28</w:t>
            </w:r>
          </w:p>
        </w:tc>
        <w:tc>
          <w:tcPr>
            <w:tcW w:w="0" w:type="auto"/>
            <w:vAlign w:val="center"/>
          </w:tcPr>
          <w:p w:rsidR="00D7022C" w:rsidRDefault="005367AA">
            <w:pPr>
              <w:jc w:val="right"/>
            </w:pPr>
            <w:r>
              <w:rPr>
                <w:color w:val="000000"/>
                <w:sz w:val="24"/>
              </w:rPr>
              <w:t>1.67</w:t>
            </w:r>
          </w:p>
        </w:tc>
      </w:tr>
      <w:tr w:rsidR="00D7022C">
        <w:tc>
          <w:tcPr>
            <w:tcW w:w="0" w:type="auto"/>
            <w:vAlign w:val="center"/>
          </w:tcPr>
          <w:p w:rsidR="00D7022C" w:rsidRDefault="005367AA">
            <w:pPr>
              <w:jc w:val="center"/>
            </w:pPr>
            <w:r>
              <w:rPr>
                <w:color w:val="000000"/>
                <w:sz w:val="24"/>
              </w:rPr>
              <w:t>4</w:t>
            </w:r>
          </w:p>
        </w:tc>
        <w:tc>
          <w:tcPr>
            <w:tcW w:w="0" w:type="auto"/>
            <w:vAlign w:val="center"/>
          </w:tcPr>
          <w:p w:rsidR="00D7022C" w:rsidRDefault="005367AA">
            <w:pPr>
              <w:jc w:val="center"/>
            </w:pPr>
            <w:r>
              <w:rPr>
                <w:color w:val="000000"/>
                <w:sz w:val="24"/>
              </w:rPr>
              <w:t>041456050</w:t>
            </w:r>
          </w:p>
        </w:tc>
        <w:tc>
          <w:tcPr>
            <w:tcW w:w="0" w:type="auto"/>
            <w:vAlign w:val="center"/>
          </w:tcPr>
          <w:p w:rsidR="00D7022C" w:rsidRDefault="005367AA">
            <w:pPr>
              <w:jc w:val="center"/>
            </w:pPr>
            <w:r>
              <w:rPr>
                <w:color w:val="000000"/>
                <w:sz w:val="24"/>
              </w:rPr>
              <w:t>14TCL</w:t>
            </w:r>
            <w:r>
              <w:rPr>
                <w:color w:val="000000"/>
                <w:sz w:val="24"/>
              </w:rPr>
              <w:t>集</w:t>
            </w:r>
            <w:r>
              <w:rPr>
                <w:color w:val="000000"/>
                <w:sz w:val="24"/>
              </w:rPr>
              <w:t>CP001</w:t>
            </w:r>
          </w:p>
        </w:tc>
        <w:tc>
          <w:tcPr>
            <w:tcW w:w="0" w:type="auto"/>
            <w:vAlign w:val="center"/>
          </w:tcPr>
          <w:p w:rsidR="00D7022C" w:rsidRDefault="005367AA">
            <w:pPr>
              <w:jc w:val="right"/>
            </w:pPr>
            <w:r>
              <w:rPr>
                <w:color w:val="000000"/>
                <w:sz w:val="24"/>
              </w:rPr>
              <w:t>100,000</w:t>
            </w:r>
          </w:p>
        </w:tc>
        <w:tc>
          <w:tcPr>
            <w:tcW w:w="0" w:type="auto"/>
            <w:vAlign w:val="center"/>
          </w:tcPr>
          <w:p w:rsidR="00D7022C" w:rsidRDefault="005367AA">
            <w:pPr>
              <w:jc w:val="right"/>
            </w:pPr>
            <w:r>
              <w:rPr>
                <w:color w:val="000000"/>
                <w:sz w:val="24"/>
              </w:rPr>
              <w:t>10,000,106.95</w:t>
            </w:r>
          </w:p>
        </w:tc>
        <w:tc>
          <w:tcPr>
            <w:tcW w:w="0" w:type="auto"/>
            <w:vAlign w:val="center"/>
          </w:tcPr>
          <w:p w:rsidR="00D7022C" w:rsidRDefault="005367AA">
            <w:pPr>
              <w:jc w:val="right"/>
            </w:pPr>
            <w:r>
              <w:rPr>
                <w:color w:val="000000"/>
                <w:sz w:val="24"/>
              </w:rPr>
              <w:t>1.67</w:t>
            </w:r>
          </w:p>
        </w:tc>
      </w:tr>
    </w:tbl>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FF17D9" w:rsidRDefault="00D51E96" w:rsidP="00FF17D9">
      <w:pPr>
        <w:spacing w:before="29" w:line="288" w:lineRule="auto"/>
        <w:rPr>
          <w:b/>
          <w:color w:val="000000"/>
          <w:kern w:val="0"/>
          <w:sz w:val="24"/>
        </w:rPr>
      </w:pPr>
      <w:r w:rsidRPr="00FF17D9">
        <w:rPr>
          <w:b/>
          <w:color w:val="000000"/>
          <w:kern w:val="0"/>
          <w:sz w:val="24"/>
        </w:rPr>
        <w:t>5.6</w:t>
      </w:r>
      <w:r w:rsidR="00902E3F" w:rsidRPr="00FF17D9">
        <w:rPr>
          <w:rFonts w:hint="eastAsia"/>
          <w:b/>
          <w:color w:val="000000"/>
          <w:kern w:val="0"/>
          <w:sz w:val="24"/>
        </w:rPr>
        <w:t>“影子定价”与“摊余成本法”确定的基金资产净值的偏离</w:t>
      </w:r>
    </w:p>
    <w:tbl>
      <w:tblPr>
        <w:tblW w:w="8998" w:type="dxa"/>
        <w:tblInd w:w="108" w:type="dxa"/>
        <w:tblLayout w:type="fixed"/>
        <w:tblLook w:val="0000" w:firstRow="0" w:lastRow="0" w:firstColumn="0" w:lastColumn="0" w:noHBand="0" w:noVBand="0"/>
      </w:tblPr>
      <w:tblGrid>
        <w:gridCol w:w="5643"/>
        <w:gridCol w:w="3355"/>
      </w:tblGrid>
      <w:tr w:rsidR="00902E3F"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项目</w:t>
            </w:r>
          </w:p>
        </w:tc>
        <w:tc>
          <w:tcPr>
            <w:tcW w:w="3307"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偏离情况</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报告期内偏离度的绝对值在</w:t>
            </w:r>
            <w:r w:rsidRPr="00EC0CB3">
              <w:rPr>
                <w:rFonts w:hAnsi="宋体"/>
                <w:color w:val="000000"/>
                <w:kern w:val="0"/>
                <w:sz w:val="24"/>
              </w:rPr>
              <w:t>0.25(</w:t>
            </w:r>
            <w:r w:rsidRPr="00EC0CB3">
              <w:rPr>
                <w:rFonts w:hAnsi="宋体" w:hint="eastAsia"/>
                <w:color w:val="000000"/>
                <w:kern w:val="0"/>
                <w:sz w:val="24"/>
              </w:rPr>
              <w:t>含</w:t>
            </w:r>
            <w:r w:rsidRPr="00EC0CB3">
              <w:rPr>
                <w:rFonts w:hAnsi="宋体"/>
                <w:color w:val="000000"/>
                <w:kern w:val="0"/>
                <w:sz w:val="24"/>
              </w:rPr>
              <w:t>)-0.5%</w:t>
            </w:r>
            <w:r w:rsidRPr="00EC0CB3">
              <w:rPr>
                <w:rFonts w:hAnsi="宋体" w:hint="eastAsia"/>
                <w:color w:val="000000"/>
                <w:kern w:val="0"/>
                <w:sz w:val="24"/>
              </w:rPr>
              <w:t>间的次数</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w:t>
            </w:r>
            <w:r w:rsidR="006D56D3" w:rsidRPr="009B0DD7">
              <w:rPr>
                <w:rFonts w:hint="eastAsia"/>
                <w:color w:val="000000"/>
                <w:sz w:val="24"/>
              </w:rPr>
              <w:t>次</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报告期内偏离度的最高值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0.0707%</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报告期内偏离度的最低值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-0.1423%</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报告期内每个</w:t>
            </w:r>
            <w:r w:rsidR="0045641F" w:rsidRPr="000E4C40">
              <w:rPr>
                <w:rFonts w:hAnsi="宋体"/>
                <w:color w:val="000000"/>
                <w:kern w:val="0"/>
                <w:sz w:val="24"/>
              </w:rPr>
              <w:t>交易日</w:t>
            </w:r>
            <w:r w:rsidRPr="00EC0CB3">
              <w:rPr>
                <w:rFonts w:hAnsi="宋体" w:hint="eastAsia"/>
                <w:color w:val="000000"/>
                <w:kern w:val="0"/>
                <w:sz w:val="24"/>
              </w:rPr>
              <w:t>偏离度的绝对值的简单平均值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0.0359%</w:t>
            </w:r>
          </w:p>
        </w:tc>
      </w:tr>
    </w:tbl>
    <w:p w:rsidR="00AC4576" w:rsidRPr="00AC4576" w:rsidRDefault="00AC4576" w:rsidP="00AC4576">
      <w:pPr>
        <w:autoSpaceDE w:val="0"/>
        <w:autoSpaceDN w:val="0"/>
        <w:adjustRightInd w:val="0"/>
        <w:spacing w:before="29" w:line="288" w:lineRule="auto"/>
        <w:jc w:val="left"/>
        <w:rPr>
          <w:color w:val="000000"/>
          <w:sz w:val="24"/>
        </w:rPr>
      </w:pPr>
    </w:p>
    <w:p w:rsidR="004677E5" w:rsidRPr="009449E3" w:rsidRDefault="00902E3F" w:rsidP="009449E3">
      <w:pPr>
        <w:spacing w:before="29" w:line="288" w:lineRule="auto"/>
        <w:rPr>
          <w:b/>
          <w:color w:val="000000"/>
          <w:kern w:val="0"/>
          <w:sz w:val="24"/>
        </w:rPr>
      </w:pPr>
      <w:r w:rsidRPr="009449E3">
        <w:rPr>
          <w:b/>
          <w:color w:val="000000"/>
          <w:kern w:val="0"/>
          <w:sz w:val="24"/>
        </w:rPr>
        <w:t>5.7</w:t>
      </w:r>
      <w:r w:rsidRPr="009449E3">
        <w:rPr>
          <w:rFonts w:hint="eastAsia"/>
          <w:b/>
          <w:color w:val="000000"/>
          <w:kern w:val="0"/>
          <w:sz w:val="24"/>
        </w:rPr>
        <w:t>报告期末按公允价值占基金资产净值比例大小排</w:t>
      </w:r>
      <w:r w:rsidR="001E15D3">
        <w:rPr>
          <w:rFonts w:hint="eastAsia"/>
          <w:b/>
          <w:color w:val="000000"/>
          <w:kern w:val="0"/>
          <w:sz w:val="24"/>
        </w:rPr>
        <w:t>序</w:t>
      </w:r>
      <w:r w:rsidRPr="009449E3">
        <w:rPr>
          <w:rFonts w:hint="eastAsia"/>
          <w:b/>
          <w:color w:val="000000"/>
          <w:kern w:val="0"/>
          <w:sz w:val="24"/>
        </w:rPr>
        <w:t>的前十名资产支持证券投资明细</w:t>
      </w:r>
    </w:p>
    <w:p w:rsidR="00EB3346" w:rsidRPr="007E4113" w:rsidRDefault="00EB3346" w:rsidP="007E4113">
      <w:pPr>
        <w:autoSpaceDE w:val="0"/>
        <w:autoSpaceDN w:val="0"/>
        <w:adjustRightInd w:val="0"/>
        <w:spacing w:before="29" w:line="288" w:lineRule="auto"/>
        <w:jc w:val="left"/>
        <w:rPr>
          <w:color w:val="000000"/>
          <w:sz w:val="24"/>
        </w:rPr>
      </w:pPr>
      <w:r w:rsidRPr="007E4113">
        <w:rPr>
          <w:color w:val="000000"/>
          <w:sz w:val="24"/>
        </w:rPr>
        <w:t>本基金本报告期末未持有资产支持证券。</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F4D02" w:rsidRDefault="0028250D" w:rsidP="000F4D02">
      <w:pPr>
        <w:spacing w:before="29" w:line="288" w:lineRule="auto"/>
        <w:rPr>
          <w:b/>
          <w:color w:val="000000"/>
          <w:kern w:val="0"/>
          <w:sz w:val="24"/>
        </w:rPr>
      </w:pPr>
      <w:r w:rsidRPr="000F4D02">
        <w:rPr>
          <w:rFonts w:hint="eastAsia"/>
          <w:b/>
          <w:color w:val="000000"/>
          <w:kern w:val="0"/>
          <w:sz w:val="24"/>
        </w:rPr>
        <w:t>5</w:t>
      </w:r>
      <w:r w:rsidR="00902E3F" w:rsidRPr="000F4D02">
        <w:rPr>
          <w:b/>
          <w:color w:val="000000"/>
          <w:kern w:val="0"/>
          <w:sz w:val="24"/>
        </w:rPr>
        <w:t>.</w:t>
      </w:r>
      <w:r w:rsidRPr="000F4D02">
        <w:rPr>
          <w:rFonts w:hint="eastAsia"/>
          <w:b/>
          <w:color w:val="000000"/>
          <w:kern w:val="0"/>
          <w:sz w:val="24"/>
        </w:rPr>
        <w:t>8</w:t>
      </w:r>
      <w:r w:rsidR="00902E3F" w:rsidRPr="000F4D02">
        <w:rPr>
          <w:b/>
          <w:color w:val="000000"/>
          <w:kern w:val="0"/>
          <w:sz w:val="24"/>
        </w:rPr>
        <w:t xml:space="preserve"> </w:t>
      </w:r>
      <w:r w:rsidR="00902E3F" w:rsidRPr="000F4D02">
        <w:rPr>
          <w:rFonts w:hint="eastAsia"/>
          <w:b/>
          <w:color w:val="000000"/>
          <w:kern w:val="0"/>
          <w:sz w:val="24"/>
        </w:rPr>
        <w:t>投资组合报告附注</w:t>
      </w:r>
    </w:p>
    <w:p w:rsidR="009D74FC" w:rsidRPr="000F4D02" w:rsidRDefault="0028250D" w:rsidP="000F4D02">
      <w:pPr>
        <w:spacing w:before="29" w:line="288" w:lineRule="auto"/>
        <w:rPr>
          <w:sz w:val="24"/>
        </w:rPr>
      </w:pPr>
      <w:r w:rsidRPr="000F4D02">
        <w:rPr>
          <w:rFonts w:hint="eastAsia"/>
          <w:sz w:val="24"/>
        </w:rPr>
        <w:t>5</w:t>
      </w:r>
      <w:r w:rsidR="00902E3F" w:rsidRPr="000F4D02">
        <w:rPr>
          <w:sz w:val="24"/>
        </w:rPr>
        <w:t>.</w:t>
      </w:r>
      <w:r w:rsidRPr="000F4D02">
        <w:rPr>
          <w:rFonts w:hint="eastAsia"/>
          <w:sz w:val="24"/>
        </w:rPr>
        <w:t>8</w:t>
      </w:r>
      <w:r w:rsidR="00902E3F" w:rsidRPr="000F4D02">
        <w:rPr>
          <w:sz w:val="24"/>
        </w:rPr>
        <w:t>.</w:t>
      </w:r>
      <w:r w:rsidRPr="000F4D02">
        <w:rPr>
          <w:rFonts w:hint="eastAsia"/>
          <w:sz w:val="24"/>
        </w:rPr>
        <w:t>1</w:t>
      </w:r>
      <w:r w:rsidR="009D74FC" w:rsidRPr="000F4D02">
        <w:rPr>
          <w:rFonts w:hint="eastAsia"/>
          <w:sz w:val="24"/>
        </w:rPr>
        <w:t>基金计价方法说明</w:t>
      </w:r>
    </w:p>
    <w:p w:rsidR="00687B3E" w:rsidRPr="006662B2" w:rsidRDefault="00EA0BA4" w:rsidP="00131317">
      <w:pPr>
        <w:spacing w:before="29" w:line="288" w:lineRule="auto"/>
        <w:rPr>
          <w:rFonts w:asciiTheme="minorEastAsia" w:eastAsiaTheme="minorEastAsia" w:hAnsiTheme="minorEastAsia" w:cs="STSong-Light"/>
          <w:sz w:val="24"/>
        </w:rPr>
      </w:pPr>
      <w:r w:rsidRPr="004749BC">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687B3E" w:rsidRPr="006C6323" w:rsidRDefault="0028250D" w:rsidP="006C6323">
      <w:pPr>
        <w:spacing w:before="29" w:line="288" w:lineRule="auto"/>
        <w:rPr>
          <w:sz w:val="24"/>
        </w:rPr>
      </w:pPr>
      <w:r w:rsidRPr="006C6323">
        <w:rPr>
          <w:rFonts w:hint="eastAsia"/>
          <w:sz w:val="24"/>
        </w:rPr>
        <w:t>5</w:t>
      </w:r>
      <w:r w:rsidRPr="006C6323">
        <w:rPr>
          <w:sz w:val="24"/>
        </w:rPr>
        <w:t>.</w:t>
      </w:r>
      <w:r w:rsidRPr="006C6323">
        <w:rPr>
          <w:rFonts w:hint="eastAsia"/>
          <w:sz w:val="24"/>
        </w:rPr>
        <w:t>8</w:t>
      </w:r>
      <w:r w:rsidRPr="006C6323">
        <w:rPr>
          <w:sz w:val="24"/>
        </w:rPr>
        <w:t>.</w:t>
      </w:r>
      <w:r w:rsidRPr="006C6323">
        <w:rPr>
          <w:rFonts w:hint="eastAsia"/>
          <w:sz w:val="24"/>
        </w:rPr>
        <w:t>2</w:t>
      </w:r>
      <w:r w:rsidR="00D44DA9" w:rsidRPr="000E4C40">
        <w:rPr>
          <w:sz w:val="24"/>
        </w:rPr>
        <w:t>本基金报告期每日持有剩余期限小于</w:t>
      </w:r>
      <w:r w:rsidR="00D44DA9" w:rsidRPr="000E4C40">
        <w:rPr>
          <w:sz w:val="24"/>
        </w:rPr>
        <w:t>397</w:t>
      </w:r>
      <w:r w:rsidR="00D44DA9" w:rsidRPr="000E4C40">
        <w:rPr>
          <w:sz w:val="24"/>
        </w:rPr>
        <w:t>天但剩余存续期超过</w:t>
      </w:r>
      <w:r w:rsidR="00D44DA9" w:rsidRPr="000E4C40">
        <w:rPr>
          <w:sz w:val="24"/>
        </w:rPr>
        <w:t>397</w:t>
      </w:r>
      <w:r w:rsidR="00D44DA9" w:rsidRPr="000E4C40">
        <w:rPr>
          <w:sz w:val="24"/>
        </w:rPr>
        <w:t>天的浮动利率债券的摊余成本均未超过当日基金资产净值的</w:t>
      </w:r>
      <w:r w:rsidR="00D44DA9" w:rsidRPr="000E4C40">
        <w:rPr>
          <w:sz w:val="24"/>
        </w:rPr>
        <w:t>20%</w:t>
      </w:r>
      <w:r w:rsidR="00D44DA9" w:rsidRPr="000E4C40">
        <w:rPr>
          <w:sz w:val="24"/>
        </w:rPr>
        <w:t>。</w:t>
      </w:r>
    </w:p>
    <w:p w:rsidR="000A2104" w:rsidRPr="008F7E56" w:rsidRDefault="000A2104" w:rsidP="008F7E56">
      <w:pPr>
        <w:adjustRightInd w:val="0"/>
        <w:spacing w:before="29" w:line="288" w:lineRule="auto"/>
        <w:ind w:left="17"/>
        <w:rPr>
          <w:bCs/>
          <w:sz w:val="24"/>
        </w:rPr>
      </w:pPr>
      <w:r w:rsidRPr="008F7E56">
        <w:rPr>
          <w:bCs/>
          <w:sz w:val="24"/>
        </w:rPr>
        <w:t>5.8.3</w:t>
      </w:r>
      <w:r w:rsidRPr="008F7E56">
        <w:rPr>
          <w:bCs/>
          <w:sz w:val="24"/>
        </w:rPr>
        <w:t>报告期内本基金投资的前十名证券的发行主体未被监管部门立案调查，在本报告编制日前一年内本基金投资的前十名证券的发行主体未受到公开谴责和处罚。</w:t>
      </w:r>
    </w:p>
    <w:p w:rsidR="00082C37" w:rsidRPr="008526B4" w:rsidRDefault="00082C37" w:rsidP="008526B4">
      <w:pPr>
        <w:spacing w:before="29" w:line="288" w:lineRule="auto"/>
        <w:rPr>
          <w:b/>
          <w:color w:val="000000"/>
          <w:kern w:val="0"/>
          <w:sz w:val="24"/>
        </w:rPr>
      </w:pPr>
    </w:p>
    <w:p w:rsidR="009D74FC" w:rsidRPr="008526B4" w:rsidRDefault="0028250D" w:rsidP="008526B4">
      <w:pPr>
        <w:spacing w:before="29" w:line="288" w:lineRule="auto"/>
        <w:rPr>
          <w:b/>
          <w:color w:val="000000"/>
          <w:kern w:val="0"/>
          <w:sz w:val="24"/>
        </w:rPr>
      </w:pPr>
      <w:r w:rsidRPr="008526B4">
        <w:rPr>
          <w:rFonts w:hint="eastAsia"/>
          <w:b/>
          <w:color w:val="000000"/>
          <w:kern w:val="0"/>
          <w:sz w:val="24"/>
        </w:rPr>
        <w:t>5</w:t>
      </w:r>
      <w:r w:rsidRPr="008526B4">
        <w:rPr>
          <w:b/>
          <w:color w:val="000000"/>
          <w:kern w:val="0"/>
          <w:sz w:val="24"/>
        </w:rPr>
        <w:t>.</w:t>
      </w:r>
      <w:r w:rsidRPr="008526B4">
        <w:rPr>
          <w:rFonts w:hint="eastAsia"/>
          <w:b/>
          <w:color w:val="000000"/>
          <w:kern w:val="0"/>
          <w:sz w:val="24"/>
        </w:rPr>
        <w:t>8</w:t>
      </w:r>
      <w:r w:rsidRPr="008526B4">
        <w:rPr>
          <w:b/>
          <w:color w:val="000000"/>
          <w:kern w:val="0"/>
          <w:sz w:val="24"/>
        </w:rPr>
        <w:t>.</w:t>
      </w:r>
      <w:r w:rsidRPr="008526B4">
        <w:rPr>
          <w:rFonts w:hint="eastAsia"/>
          <w:b/>
          <w:color w:val="000000"/>
          <w:kern w:val="0"/>
          <w:sz w:val="24"/>
        </w:rPr>
        <w:t>4</w:t>
      </w:r>
      <w:r w:rsidR="00E22F73" w:rsidRPr="008526B4">
        <w:rPr>
          <w:rFonts w:hint="eastAsia"/>
          <w:b/>
          <w:color w:val="000000"/>
          <w:kern w:val="0"/>
          <w:sz w:val="24"/>
        </w:rPr>
        <w:t>其他各项资产构成</w:t>
      </w:r>
    </w:p>
    <w:tbl>
      <w:tblPr>
        <w:tblStyle w:val="a8"/>
        <w:tblW w:w="8998" w:type="dxa"/>
        <w:tblInd w:w="108" w:type="dxa"/>
        <w:tblLayout w:type="fixed"/>
        <w:tblLook w:val="04A0" w:firstRow="1" w:lastRow="0" w:firstColumn="1" w:lastColumn="0" w:noHBand="0" w:noVBand="1"/>
      </w:tblPr>
      <w:tblGrid>
        <w:gridCol w:w="918"/>
        <w:gridCol w:w="3425"/>
        <w:gridCol w:w="4655"/>
      </w:tblGrid>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序号</w:t>
            </w:r>
          </w:p>
        </w:tc>
        <w:tc>
          <w:tcPr>
            <w:tcW w:w="3535"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名称</w:t>
            </w:r>
          </w:p>
        </w:tc>
        <w:tc>
          <w:tcPr>
            <w:tcW w:w="4808"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金额</w:t>
            </w:r>
            <w:r w:rsidRPr="006A40AB">
              <w:rPr>
                <w:rFonts w:hAnsi="宋体" w:hint="eastAsia"/>
                <w:color w:val="000000"/>
                <w:kern w:val="0"/>
                <w:sz w:val="24"/>
              </w:rPr>
              <w:t>(</w:t>
            </w:r>
            <w:r w:rsidRPr="006A40AB">
              <w:rPr>
                <w:rFonts w:hAnsi="宋体" w:hint="eastAsia"/>
                <w:color w:val="000000"/>
                <w:kern w:val="0"/>
                <w:sz w:val="24"/>
              </w:rPr>
              <w:t>元</w:t>
            </w:r>
            <w:r w:rsidRPr="006A40AB">
              <w:rPr>
                <w:rFonts w:hAnsi="宋体" w:hint="eastAsia"/>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1</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存出保证金</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2</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应收证券清算款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3</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应收利息</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3,080,250.30</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4</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应收申购款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464,583.38</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5</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其他应收款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E04AF5" w:rsidRPr="006662B2" w:rsidTr="00A8129A">
        <w:tc>
          <w:tcPr>
            <w:tcW w:w="942" w:type="dxa"/>
            <w:vAlign w:val="center"/>
          </w:tcPr>
          <w:p w:rsidR="00E04AF5" w:rsidRPr="006A40AB" w:rsidRDefault="00E04AF5" w:rsidP="006A40AB">
            <w:pPr>
              <w:autoSpaceDE w:val="0"/>
              <w:autoSpaceDN w:val="0"/>
              <w:adjustRightInd w:val="0"/>
              <w:spacing w:before="29" w:line="288" w:lineRule="auto"/>
              <w:ind w:left="15"/>
              <w:jc w:val="center"/>
              <w:rPr>
                <w:color w:val="000000"/>
                <w:sz w:val="24"/>
              </w:rPr>
            </w:pPr>
            <w:r w:rsidRPr="006A40AB">
              <w:rPr>
                <w:rFonts w:hint="eastAsia"/>
                <w:color w:val="000000"/>
                <w:sz w:val="24"/>
              </w:rPr>
              <w:t>6</w:t>
            </w:r>
          </w:p>
        </w:tc>
        <w:tc>
          <w:tcPr>
            <w:tcW w:w="3535" w:type="dxa"/>
            <w:vAlign w:val="center"/>
          </w:tcPr>
          <w:p w:rsidR="00E04AF5" w:rsidRPr="006A40AB" w:rsidRDefault="00E04AF5" w:rsidP="006A40AB">
            <w:pPr>
              <w:autoSpaceDE w:val="0"/>
              <w:autoSpaceDN w:val="0"/>
              <w:adjustRightInd w:val="0"/>
              <w:spacing w:before="29" w:line="288" w:lineRule="auto"/>
              <w:ind w:left="15"/>
              <w:jc w:val="left"/>
              <w:rPr>
                <w:color w:val="000000"/>
                <w:sz w:val="24"/>
              </w:rPr>
            </w:pPr>
            <w:r w:rsidRPr="006A40AB">
              <w:rPr>
                <w:rFonts w:hint="eastAsia"/>
                <w:color w:val="000000"/>
                <w:sz w:val="24"/>
              </w:rPr>
              <w:t>待摊费用</w:t>
            </w:r>
          </w:p>
        </w:tc>
        <w:tc>
          <w:tcPr>
            <w:tcW w:w="4808" w:type="dxa"/>
            <w:vAlign w:val="center"/>
          </w:tcPr>
          <w:p w:rsidR="00E04AF5" w:rsidRPr="007D20F5" w:rsidRDefault="00E04AF5" w:rsidP="007D20F5">
            <w:pPr>
              <w:autoSpaceDE w:val="0"/>
              <w:autoSpaceDN w:val="0"/>
              <w:adjustRightInd w:val="0"/>
              <w:spacing w:before="29" w:line="288" w:lineRule="auto"/>
              <w:ind w:left="15"/>
              <w:jc w:val="right"/>
              <w:rPr>
                <w:color w:val="000000"/>
                <w:kern w:val="0"/>
                <w:sz w:val="24"/>
              </w:rPr>
            </w:pPr>
            <w:r w:rsidRPr="007D20F5">
              <w:rPr>
                <w:rFonts w:hint="eastAsia"/>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7</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其他</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8</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合计</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3,544,833.68</w:t>
            </w:r>
          </w:p>
        </w:tc>
      </w:tr>
    </w:tbl>
    <w:p w:rsidR="00E6219D" w:rsidRPr="005A26FF" w:rsidRDefault="00E6219D" w:rsidP="005A26FF">
      <w:pPr>
        <w:spacing w:before="29" w:line="288" w:lineRule="auto"/>
        <w:rPr>
          <w:color w:val="000000"/>
          <w:kern w:val="0"/>
          <w:sz w:val="24"/>
        </w:rPr>
      </w:pPr>
    </w:p>
    <w:p w:rsidR="009D74FC" w:rsidRPr="005A26FF" w:rsidRDefault="0028250D" w:rsidP="005A26FF">
      <w:pPr>
        <w:spacing w:before="29" w:line="288" w:lineRule="auto"/>
        <w:rPr>
          <w:color w:val="000000"/>
          <w:kern w:val="0"/>
          <w:sz w:val="24"/>
        </w:rPr>
      </w:pPr>
      <w:r w:rsidRPr="005A26FF">
        <w:rPr>
          <w:rFonts w:hint="eastAsia"/>
          <w:color w:val="000000"/>
          <w:kern w:val="0"/>
          <w:sz w:val="24"/>
        </w:rPr>
        <w:t>5</w:t>
      </w:r>
      <w:r w:rsidRPr="005A26FF">
        <w:rPr>
          <w:color w:val="000000"/>
          <w:kern w:val="0"/>
          <w:sz w:val="24"/>
        </w:rPr>
        <w:t>.</w:t>
      </w:r>
      <w:r w:rsidRPr="005A26FF">
        <w:rPr>
          <w:rFonts w:hint="eastAsia"/>
          <w:color w:val="000000"/>
          <w:kern w:val="0"/>
          <w:sz w:val="24"/>
        </w:rPr>
        <w:t>8</w:t>
      </w:r>
      <w:r w:rsidRPr="005A26FF">
        <w:rPr>
          <w:color w:val="000000"/>
          <w:kern w:val="0"/>
          <w:sz w:val="24"/>
        </w:rPr>
        <w:t>.</w:t>
      </w:r>
      <w:r w:rsidRPr="005A26FF">
        <w:rPr>
          <w:rFonts w:hint="eastAsia"/>
          <w:color w:val="000000"/>
          <w:kern w:val="0"/>
          <w:sz w:val="24"/>
        </w:rPr>
        <w:t>5</w:t>
      </w:r>
      <w:r w:rsidR="00B76977" w:rsidRPr="005A26FF">
        <w:rPr>
          <w:rFonts w:hint="eastAsia"/>
          <w:color w:val="000000"/>
          <w:kern w:val="0"/>
          <w:sz w:val="24"/>
        </w:rPr>
        <w:t>投资组合报告附注的其他文字描述部分</w:t>
      </w:r>
    </w:p>
    <w:p w:rsidR="00274097" w:rsidRDefault="00274097" w:rsidP="005A26FF">
      <w:pPr>
        <w:spacing w:before="29" w:line="288" w:lineRule="auto"/>
        <w:rPr>
          <w:color w:val="000000"/>
          <w:sz w:val="24"/>
        </w:rPr>
      </w:pPr>
      <w:r w:rsidRPr="005A26FF">
        <w:rPr>
          <w:color w:val="000000"/>
          <w:sz w:val="24"/>
        </w:rPr>
        <w:t>由于四舍五入的原因，分项之和与合计项之间可能存在尾差。</w:t>
      </w:r>
    </w:p>
    <w:p w:rsidR="006F44DE" w:rsidRPr="005A26FF" w:rsidRDefault="006F44DE" w:rsidP="005A26FF">
      <w:pPr>
        <w:spacing w:before="29" w:line="288" w:lineRule="auto"/>
        <w:rPr>
          <w:color w:val="000000"/>
          <w:sz w:val="24"/>
        </w:rPr>
      </w:pPr>
    </w:p>
    <w:p w:rsidR="00902E3F" w:rsidRPr="009551BF" w:rsidRDefault="00902E3F" w:rsidP="00B60FB7">
      <w:pPr>
        <w:pStyle w:val="1"/>
        <w:spacing w:beforeLines="100" w:before="240" w:afterLines="100" w:after="240" w:line="288" w:lineRule="auto"/>
        <w:jc w:val="center"/>
        <w:rPr>
          <w:color w:val="000000"/>
          <w:kern w:val="0"/>
          <w:sz w:val="24"/>
          <w:szCs w:val="24"/>
        </w:rPr>
      </w:pPr>
      <w:r w:rsidRPr="009551BF">
        <w:rPr>
          <w:rFonts w:hint="eastAsia"/>
          <w:color w:val="000000"/>
          <w:kern w:val="0"/>
          <w:sz w:val="24"/>
          <w:szCs w:val="24"/>
        </w:rPr>
        <w:t>§</w:t>
      </w:r>
      <w:r w:rsidR="0028250D" w:rsidRPr="009551BF">
        <w:rPr>
          <w:rFonts w:hint="eastAsia"/>
          <w:color w:val="000000"/>
          <w:kern w:val="0"/>
          <w:sz w:val="24"/>
          <w:szCs w:val="24"/>
        </w:rPr>
        <w:t>6</w:t>
      </w:r>
      <w:r w:rsidRPr="009551BF">
        <w:rPr>
          <w:color w:val="000000"/>
          <w:kern w:val="0"/>
          <w:sz w:val="24"/>
          <w:szCs w:val="24"/>
        </w:rPr>
        <w:t xml:space="preserve">  </w:t>
      </w:r>
      <w:r w:rsidRPr="009551BF">
        <w:rPr>
          <w:rFonts w:hint="eastAsia"/>
          <w:color w:val="000000"/>
          <w:kern w:val="0"/>
          <w:sz w:val="24"/>
          <w:szCs w:val="24"/>
        </w:rPr>
        <w:t>开放式基金份额变动</w:t>
      </w:r>
    </w:p>
    <w:p w:rsidR="00902E3F" w:rsidRPr="006C593A" w:rsidRDefault="00902E3F" w:rsidP="006C593A">
      <w:pPr>
        <w:autoSpaceDE w:val="0"/>
        <w:autoSpaceDN w:val="0"/>
        <w:adjustRightInd w:val="0"/>
        <w:spacing w:before="29" w:line="288" w:lineRule="auto"/>
        <w:ind w:left="15"/>
        <w:jc w:val="right"/>
        <w:rPr>
          <w:rFonts w:hAnsi="宋体"/>
          <w:color w:val="000000"/>
          <w:kern w:val="0"/>
          <w:sz w:val="24"/>
        </w:rPr>
      </w:pPr>
      <w:r w:rsidRPr="006C593A">
        <w:rPr>
          <w:rFonts w:hAnsi="宋体" w:hint="eastAsia"/>
          <w:color w:val="000000"/>
          <w:kern w:val="0"/>
          <w:sz w:val="24"/>
        </w:rPr>
        <w:t>单位：份</w:t>
      </w:r>
    </w:p>
    <w:tbl>
      <w:tblPr>
        <w:tblW w:w="8998" w:type="dxa"/>
        <w:tblInd w:w="108" w:type="dxa"/>
        <w:tblLayout w:type="fixed"/>
        <w:tblLook w:val="0000" w:firstRow="0" w:lastRow="0" w:firstColumn="0" w:lastColumn="0" w:noHBand="0" w:noVBand="0"/>
      </w:tblPr>
      <w:tblGrid>
        <w:gridCol w:w="4499"/>
        <w:gridCol w:w="4499"/>
      </w:tblGrid>
      <w:tr w:rsidR="00642494"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066E52" w:rsidRDefault="00642494"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报告期期初基金份额总额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482548" w:rsidRDefault="00642494"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154,392,557.97</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基金总申购份额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606,313,993.35</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基金总赎回份额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161,262,787.81</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报告期期末基金份额总额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599,443,763.51</w:t>
            </w:r>
          </w:p>
        </w:tc>
      </w:tr>
    </w:tbl>
    <w:p w:rsidR="00D7022C" w:rsidRDefault="005367A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63302E" w:rsidRDefault="00683E0D" w:rsidP="0021147F">
      <w:pPr>
        <w:autoSpaceDE w:val="0"/>
        <w:autoSpaceDN w:val="0"/>
        <w:adjustRightInd w:val="0"/>
        <w:spacing w:before="29" w:line="288" w:lineRule="auto"/>
        <w:jc w:val="left"/>
        <w:rPr>
          <w:color w:val="000000"/>
          <w:sz w:val="24"/>
        </w:rPr>
      </w:pPr>
      <w:r w:rsidRPr="0021147F">
        <w:rPr>
          <w:color w:val="000000"/>
          <w:sz w:val="24"/>
        </w:rPr>
        <w:t xml:space="preserve">    2</w:t>
      </w:r>
      <w:r w:rsidRPr="0021147F">
        <w:rPr>
          <w:color w:val="000000"/>
          <w:sz w:val="24"/>
        </w:rPr>
        <w:t>、如果本报告期间发生转换出、份额级别调整业务，则总赎回份额中包含该业务。</w:t>
      </w:r>
    </w:p>
    <w:p w:rsidR="0021147F" w:rsidRPr="0021147F" w:rsidRDefault="0021147F" w:rsidP="0021147F">
      <w:pPr>
        <w:autoSpaceDE w:val="0"/>
        <w:autoSpaceDN w:val="0"/>
        <w:adjustRightInd w:val="0"/>
        <w:spacing w:before="29" w:line="288" w:lineRule="auto"/>
        <w:jc w:val="left"/>
        <w:rPr>
          <w:color w:val="000000"/>
          <w:sz w:val="24"/>
        </w:rPr>
      </w:pPr>
    </w:p>
    <w:p w:rsidR="00474A43" w:rsidRPr="003E1FB8" w:rsidRDefault="00474A43" w:rsidP="00B60FB7">
      <w:pPr>
        <w:pStyle w:val="1"/>
        <w:spacing w:beforeLines="100" w:before="240" w:afterLines="100" w:after="240" w:line="288" w:lineRule="auto"/>
        <w:jc w:val="center"/>
        <w:rPr>
          <w:color w:val="000000"/>
          <w:kern w:val="0"/>
          <w:sz w:val="24"/>
          <w:szCs w:val="24"/>
        </w:rPr>
      </w:pPr>
      <w:r w:rsidRPr="003E1FB8">
        <w:rPr>
          <w:rFonts w:hint="eastAsia"/>
          <w:color w:val="000000"/>
          <w:kern w:val="0"/>
          <w:sz w:val="24"/>
          <w:szCs w:val="24"/>
        </w:rPr>
        <w:t>§</w:t>
      </w:r>
      <w:r w:rsidRPr="003E1FB8">
        <w:rPr>
          <w:rFonts w:hint="eastAsia"/>
          <w:color w:val="000000"/>
          <w:kern w:val="0"/>
          <w:sz w:val="24"/>
          <w:szCs w:val="24"/>
        </w:rPr>
        <w:t xml:space="preserve">7  </w:t>
      </w:r>
      <w:r w:rsidRPr="003E1FB8">
        <w:rPr>
          <w:rFonts w:hint="eastAsia"/>
          <w:color w:val="000000"/>
          <w:kern w:val="0"/>
          <w:sz w:val="24"/>
          <w:szCs w:val="24"/>
        </w:rPr>
        <w:t>基金管理人运用固有资金投资本基金交易明细</w:t>
      </w:r>
    </w:p>
    <w:p w:rsidR="00474A43" w:rsidRDefault="00474A43" w:rsidP="009B4AAD">
      <w:pPr>
        <w:autoSpaceDE w:val="0"/>
        <w:autoSpaceDN w:val="0"/>
        <w:adjustRightInd w:val="0"/>
        <w:spacing w:before="29" w:line="288" w:lineRule="auto"/>
        <w:jc w:val="left"/>
        <w:rPr>
          <w:color w:val="000000"/>
          <w:sz w:val="24"/>
        </w:rPr>
      </w:pPr>
      <w:r w:rsidRPr="009B4AAD">
        <w:rPr>
          <w:color w:val="000000"/>
          <w:sz w:val="24"/>
        </w:rPr>
        <w:t>本基金管理人本报告期内未进行本基金的申购、赎回、红利再投等；本基金管理人本报告期末持有本基金份额</w:t>
      </w:r>
      <w:r w:rsidRPr="009B4AAD">
        <w:rPr>
          <w:color w:val="000000"/>
          <w:sz w:val="24"/>
        </w:rPr>
        <w:t>0.00</w:t>
      </w:r>
      <w:r w:rsidRPr="009B4AAD">
        <w:rPr>
          <w:color w:val="000000"/>
          <w:sz w:val="24"/>
        </w:rPr>
        <w:t>份，占本基金期末总份额的</w:t>
      </w:r>
      <w:r w:rsidRPr="009B4AAD">
        <w:rPr>
          <w:color w:val="000000"/>
          <w:sz w:val="24"/>
        </w:rPr>
        <w:t>0.00%</w:t>
      </w:r>
      <w:r w:rsidRPr="009B4AAD">
        <w:rPr>
          <w:color w:val="000000"/>
          <w:sz w:val="24"/>
        </w:rPr>
        <w:t>。</w:t>
      </w:r>
    </w:p>
    <w:p w:rsidR="009B4AAD" w:rsidRPr="0078105B" w:rsidRDefault="009B4AAD" w:rsidP="009B4AAD">
      <w:pPr>
        <w:autoSpaceDE w:val="0"/>
        <w:autoSpaceDN w:val="0"/>
        <w:adjustRightInd w:val="0"/>
        <w:spacing w:before="29" w:line="288" w:lineRule="auto"/>
        <w:jc w:val="left"/>
        <w:rPr>
          <w:rFonts w:asciiTheme="minorEastAsia" w:eastAsiaTheme="minorEastAsia" w:hAnsiTheme="minorEastAsia"/>
          <w:color w:val="000000"/>
          <w:sz w:val="24"/>
        </w:rPr>
      </w:pPr>
    </w:p>
    <w:p w:rsidR="009D74FC" w:rsidRPr="00356E45" w:rsidRDefault="009D74FC" w:rsidP="00B60FB7">
      <w:pPr>
        <w:pStyle w:val="1"/>
        <w:spacing w:beforeLines="100" w:before="240" w:afterLines="100" w:after="240" w:line="288" w:lineRule="auto"/>
        <w:jc w:val="center"/>
        <w:rPr>
          <w:color w:val="000000"/>
          <w:kern w:val="0"/>
          <w:sz w:val="24"/>
          <w:szCs w:val="24"/>
        </w:rPr>
      </w:pPr>
      <w:r w:rsidRPr="00356E45">
        <w:rPr>
          <w:rFonts w:hint="eastAsia"/>
          <w:color w:val="000000"/>
          <w:kern w:val="0"/>
          <w:sz w:val="24"/>
          <w:szCs w:val="24"/>
        </w:rPr>
        <w:t>§</w:t>
      </w:r>
      <w:r w:rsidR="00930E3A" w:rsidRPr="00356E45">
        <w:rPr>
          <w:rFonts w:hint="eastAsia"/>
          <w:color w:val="000000"/>
          <w:kern w:val="0"/>
          <w:sz w:val="24"/>
          <w:szCs w:val="24"/>
        </w:rPr>
        <w:t>8</w:t>
      </w:r>
      <w:r w:rsidRPr="00356E45">
        <w:rPr>
          <w:rFonts w:hint="eastAsia"/>
          <w:color w:val="000000"/>
          <w:kern w:val="0"/>
          <w:sz w:val="24"/>
          <w:szCs w:val="24"/>
        </w:rPr>
        <w:t xml:space="preserve">  </w:t>
      </w:r>
      <w:r w:rsidRPr="00356E45">
        <w:rPr>
          <w:color w:val="000000"/>
          <w:kern w:val="0"/>
          <w:sz w:val="24"/>
          <w:szCs w:val="24"/>
        </w:rPr>
        <w:t>备查文件目录</w:t>
      </w:r>
    </w:p>
    <w:p w:rsidR="00980386" w:rsidRPr="00356E45" w:rsidRDefault="00930E3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006F30FA" w:rsidRPr="00356E45">
        <w:rPr>
          <w:b/>
          <w:color w:val="000000"/>
          <w:kern w:val="0"/>
          <w:sz w:val="24"/>
        </w:rPr>
        <w:t>.</w:t>
      </w:r>
      <w:r w:rsidR="006F30FA" w:rsidRPr="00356E45">
        <w:rPr>
          <w:rFonts w:hint="eastAsia"/>
          <w:b/>
          <w:color w:val="000000"/>
          <w:kern w:val="0"/>
          <w:sz w:val="24"/>
        </w:rPr>
        <w:t>1</w:t>
      </w:r>
      <w:r w:rsidR="00980386" w:rsidRPr="00356E45">
        <w:rPr>
          <w:b/>
          <w:color w:val="000000"/>
          <w:kern w:val="0"/>
          <w:sz w:val="24"/>
        </w:rPr>
        <w:t xml:space="preserve"> </w:t>
      </w:r>
      <w:r w:rsidR="00980386" w:rsidRPr="00356E45">
        <w:rPr>
          <w:rFonts w:hint="eastAsia"/>
          <w:b/>
          <w:color w:val="000000"/>
          <w:kern w:val="0"/>
          <w:sz w:val="24"/>
        </w:rPr>
        <w:t>备查文件目录</w:t>
      </w:r>
    </w:p>
    <w:p w:rsidR="00D7022C" w:rsidRDefault="005367AA">
      <w:pPr>
        <w:spacing w:before="29" w:line="288" w:lineRule="auto"/>
        <w:ind w:firstLineChars="200" w:firstLine="480"/>
        <w:rPr>
          <w:color w:val="000000"/>
          <w:sz w:val="24"/>
        </w:rPr>
      </w:pPr>
      <w:r>
        <w:rPr>
          <w:rFonts w:hint="eastAsia"/>
          <w:color w:val="000000"/>
          <w:sz w:val="24"/>
        </w:rPr>
        <w:t>1</w:t>
      </w:r>
      <w:r>
        <w:rPr>
          <w:rFonts w:hint="eastAsia"/>
          <w:color w:val="000000"/>
          <w:sz w:val="24"/>
        </w:rPr>
        <w:t>、中国证监会</w:t>
      </w:r>
      <w:r w:rsidR="001B3517">
        <w:rPr>
          <w:rFonts w:hint="eastAsia"/>
          <w:color w:val="000000"/>
          <w:sz w:val="24"/>
        </w:rPr>
        <w:t>准予</w:t>
      </w:r>
      <w:r>
        <w:rPr>
          <w:rFonts w:hint="eastAsia"/>
          <w:color w:val="000000"/>
          <w:sz w:val="24"/>
        </w:rPr>
        <w:t>交银施罗德现金宝货币市场基金募集</w:t>
      </w:r>
      <w:r w:rsidR="001B3517">
        <w:rPr>
          <w:rFonts w:hint="eastAsia"/>
          <w:color w:val="000000"/>
          <w:sz w:val="24"/>
        </w:rPr>
        <w:t>注册</w:t>
      </w:r>
      <w:r>
        <w:rPr>
          <w:rFonts w:hint="eastAsia"/>
          <w:color w:val="000000"/>
          <w:sz w:val="24"/>
        </w:rPr>
        <w:t>的文件；</w:t>
      </w:r>
      <w:r>
        <w:rPr>
          <w:rFonts w:hint="eastAsia"/>
          <w:color w:val="000000"/>
          <w:sz w:val="24"/>
        </w:rPr>
        <w:t xml:space="preserve"> </w:t>
      </w:r>
    </w:p>
    <w:p w:rsidR="00D7022C" w:rsidRDefault="005367AA">
      <w:pPr>
        <w:spacing w:before="29" w:line="288" w:lineRule="auto"/>
        <w:ind w:firstLineChars="200" w:firstLine="480"/>
        <w:rPr>
          <w:color w:val="000000"/>
          <w:sz w:val="24"/>
        </w:rPr>
      </w:pPr>
      <w:r>
        <w:rPr>
          <w:rFonts w:hint="eastAsia"/>
          <w:color w:val="000000"/>
          <w:sz w:val="24"/>
        </w:rPr>
        <w:t>2</w:t>
      </w:r>
      <w:r>
        <w:rPr>
          <w:rFonts w:hint="eastAsia"/>
          <w:color w:val="000000"/>
          <w:sz w:val="24"/>
        </w:rPr>
        <w:t>、《交银施罗德现金宝货币市场基金基金合同》；</w:t>
      </w:r>
      <w:r>
        <w:rPr>
          <w:rFonts w:hint="eastAsia"/>
          <w:color w:val="000000"/>
          <w:sz w:val="24"/>
        </w:rPr>
        <w:t xml:space="preserve"> </w:t>
      </w:r>
    </w:p>
    <w:p w:rsidR="00D7022C" w:rsidRDefault="005367AA">
      <w:pPr>
        <w:spacing w:before="29" w:line="288" w:lineRule="auto"/>
        <w:ind w:firstLineChars="200" w:firstLine="480"/>
        <w:rPr>
          <w:color w:val="000000"/>
          <w:sz w:val="24"/>
        </w:rPr>
      </w:pPr>
      <w:r>
        <w:rPr>
          <w:rFonts w:hint="eastAsia"/>
          <w:color w:val="000000"/>
          <w:sz w:val="24"/>
        </w:rPr>
        <w:t>3</w:t>
      </w:r>
      <w:r>
        <w:rPr>
          <w:rFonts w:hint="eastAsia"/>
          <w:color w:val="000000"/>
          <w:sz w:val="24"/>
        </w:rPr>
        <w:t>、《交银施罗德现金宝货币市场基金招募说明书》；</w:t>
      </w:r>
      <w:r>
        <w:rPr>
          <w:rFonts w:hint="eastAsia"/>
          <w:color w:val="000000"/>
          <w:sz w:val="24"/>
        </w:rPr>
        <w:t xml:space="preserve"> </w:t>
      </w:r>
    </w:p>
    <w:p w:rsidR="00D7022C" w:rsidRDefault="005367AA">
      <w:pPr>
        <w:spacing w:before="29" w:line="288" w:lineRule="auto"/>
        <w:ind w:firstLineChars="200" w:firstLine="480"/>
        <w:rPr>
          <w:color w:val="000000"/>
          <w:sz w:val="24"/>
        </w:rPr>
      </w:pPr>
      <w:r>
        <w:rPr>
          <w:rFonts w:hint="eastAsia"/>
          <w:color w:val="000000"/>
          <w:sz w:val="24"/>
        </w:rPr>
        <w:t>4</w:t>
      </w:r>
      <w:r>
        <w:rPr>
          <w:rFonts w:hint="eastAsia"/>
          <w:color w:val="000000"/>
          <w:sz w:val="24"/>
        </w:rPr>
        <w:t>、《交银施罗德现金宝货币市场基金托管协议》；</w:t>
      </w:r>
    </w:p>
    <w:p w:rsidR="00D7022C" w:rsidRDefault="005367AA">
      <w:pPr>
        <w:spacing w:before="29" w:line="288" w:lineRule="auto"/>
        <w:ind w:firstLineChars="200" w:firstLine="480"/>
        <w:rPr>
          <w:color w:val="000000"/>
          <w:sz w:val="24"/>
        </w:rPr>
      </w:pPr>
      <w:r>
        <w:rPr>
          <w:rFonts w:hint="eastAsia"/>
          <w:color w:val="000000"/>
          <w:sz w:val="24"/>
        </w:rPr>
        <w:t>5</w:t>
      </w:r>
      <w:r>
        <w:rPr>
          <w:rFonts w:hint="eastAsia"/>
          <w:color w:val="000000"/>
          <w:sz w:val="24"/>
        </w:rPr>
        <w:t>、关于</w:t>
      </w:r>
      <w:r w:rsidR="001B3517">
        <w:rPr>
          <w:rFonts w:hint="eastAsia"/>
          <w:color w:val="000000"/>
          <w:sz w:val="24"/>
        </w:rPr>
        <w:t>申请</w:t>
      </w:r>
      <w:r>
        <w:rPr>
          <w:rFonts w:hint="eastAsia"/>
          <w:color w:val="000000"/>
          <w:sz w:val="24"/>
        </w:rPr>
        <w:t>募集交银施罗德现金宝货币市场基金</w:t>
      </w:r>
      <w:r w:rsidR="001B3517">
        <w:rPr>
          <w:rFonts w:hint="eastAsia"/>
          <w:color w:val="000000"/>
          <w:sz w:val="24"/>
        </w:rPr>
        <w:t>的</w:t>
      </w:r>
      <w:r>
        <w:rPr>
          <w:rFonts w:hint="eastAsia"/>
          <w:color w:val="000000"/>
          <w:sz w:val="24"/>
        </w:rPr>
        <w:t>法律意见书；</w:t>
      </w:r>
    </w:p>
    <w:p w:rsidR="00D7022C" w:rsidRDefault="005367AA">
      <w:pPr>
        <w:spacing w:before="29" w:line="288" w:lineRule="auto"/>
        <w:ind w:firstLineChars="200" w:firstLine="480"/>
        <w:rPr>
          <w:color w:val="000000"/>
          <w:sz w:val="24"/>
        </w:rPr>
      </w:pPr>
      <w:r>
        <w:rPr>
          <w:rFonts w:hint="eastAsia"/>
          <w:color w:val="000000"/>
          <w:sz w:val="24"/>
        </w:rPr>
        <w:t>6</w:t>
      </w:r>
      <w:r>
        <w:rPr>
          <w:rFonts w:hint="eastAsia"/>
          <w:color w:val="000000"/>
          <w:sz w:val="24"/>
        </w:rPr>
        <w:t>、基金管理人业务资格批件、营业执照；</w:t>
      </w:r>
      <w:r>
        <w:rPr>
          <w:rFonts w:hint="eastAsia"/>
          <w:color w:val="000000"/>
          <w:sz w:val="24"/>
        </w:rPr>
        <w:t xml:space="preserve"> </w:t>
      </w:r>
    </w:p>
    <w:p w:rsidR="00D7022C" w:rsidRDefault="005367AA">
      <w:pPr>
        <w:spacing w:before="29" w:line="288" w:lineRule="auto"/>
        <w:ind w:firstLineChars="200" w:firstLine="480"/>
        <w:rPr>
          <w:color w:val="000000"/>
          <w:sz w:val="24"/>
        </w:rPr>
      </w:pPr>
      <w:r>
        <w:rPr>
          <w:rFonts w:hint="eastAsia"/>
          <w:color w:val="000000"/>
          <w:sz w:val="24"/>
        </w:rPr>
        <w:t>7</w:t>
      </w:r>
      <w:r>
        <w:rPr>
          <w:rFonts w:hint="eastAsia"/>
          <w:color w:val="000000"/>
          <w:sz w:val="24"/>
        </w:rPr>
        <w:t>、基金托管人业务资格批件、营业执照；</w:t>
      </w:r>
      <w:r>
        <w:rPr>
          <w:rFonts w:hint="eastAsia"/>
          <w:color w:val="000000"/>
          <w:sz w:val="24"/>
        </w:rPr>
        <w:t xml:space="preserve"> </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8</w:t>
      </w:r>
      <w:r w:rsidRPr="00356E45">
        <w:rPr>
          <w:rFonts w:hint="eastAsia"/>
          <w:color w:val="000000"/>
          <w:sz w:val="24"/>
        </w:rPr>
        <w:t>、报告期内交银施罗德现金宝货币市场基金在指定报刊上各项公告的原稿。</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2</w:t>
      </w:r>
      <w:r w:rsidR="00980386" w:rsidRPr="00356E45">
        <w:rPr>
          <w:b/>
          <w:color w:val="000000"/>
          <w:kern w:val="0"/>
          <w:sz w:val="24"/>
        </w:rPr>
        <w:t xml:space="preserve"> </w:t>
      </w:r>
      <w:r w:rsidR="00980386" w:rsidRPr="00356E45">
        <w:rPr>
          <w:rFonts w:hint="eastAsia"/>
          <w:b/>
          <w:color w:val="000000"/>
          <w:kern w:val="0"/>
          <w:sz w:val="24"/>
        </w:rPr>
        <w:t>存放地点</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备查文件存放于基金管理人的办公场所。</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3</w:t>
      </w:r>
      <w:r w:rsidR="00980386" w:rsidRPr="00356E45">
        <w:rPr>
          <w:b/>
          <w:color w:val="000000"/>
          <w:kern w:val="0"/>
          <w:sz w:val="24"/>
        </w:rPr>
        <w:t xml:space="preserve"> </w:t>
      </w:r>
      <w:r w:rsidR="00980386" w:rsidRPr="00356E45">
        <w:rPr>
          <w:rFonts w:hint="eastAsia"/>
          <w:b/>
          <w:color w:val="000000"/>
          <w:kern w:val="0"/>
          <w:sz w:val="24"/>
        </w:rPr>
        <w:t>查阅方式</w:t>
      </w:r>
    </w:p>
    <w:p w:rsidR="00D7022C" w:rsidRDefault="005367AA">
      <w:pPr>
        <w:tabs>
          <w:tab w:val="left" w:pos="5715"/>
        </w:tabs>
        <w:spacing w:before="29" w:line="288" w:lineRule="auto"/>
        <w:ind w:firstLineChars="200" w:firstLine="480"/>
        <w:rPr>
          <w:rFonts w:asciiTheme="minorEastAsia" w:eastAsiaTheme="minorEastAsia" w:hAnsiTheme="minorEastAsia"/>
          <w:color w:val="000000"/>
          <w:sz w:val="24"/>
        </w:rPr>
      </w:pPr>
      <w:r>
        <w:rPr>
          <w:rFonts w:hint="eastAsia"/>
          <w:color w:val="000000"/>
          <w:sz w:val="24"/>
        </w:rPr>
        <w:t>投资者可在办公时间内至基金管理人的办公场所免费查阅备查文件，或者登录基金管理人的网站</w:t>
      </w:r>
      <w:r>
        <w:rPr>
          <w:rFonts w:hint="eastAsia"/>
          <w:color w:val="000000"/>
          <w:sz w:val="24"/>
        </w:rPr>
        <w:t>(www.fund001.com</w:t>
      </w:r>
      <w:r>
        <w:rPr>
          <w:rFonts w:hint="eastAsia"/>
          <w:color w:val="000000"/>
          <w:sz w:val="24"/>
        </w:rPr>
        <w:t>，</w:t>
      </w:r>
      <w:r>
        <w:rPr>
          <w:rFonts w:hint="eastAsia"/>
          <w:color w:val="000000"/>
          <w:sz w:val="24"/>
        </w:rPr>
        <w:t>www.bocomschroder.com)</w:t>
      </w:r>
      <w:r>
        <w:rPr>
          <w:rFonts w:hint="eastAsia"/>
          <w:color w:val="000000"/>
          <w:sz w:val="24"/>
        </w:rPr>
        <w:t>查阅。在支付工本费后，投资者可在合理时间内取得上述文件的复制件或复印件。</w:t>
      </w:r>
      <w:r>
        <w:rPr>
          <w:rFonts w:hint="eastAsia"/>
          <w:color w:val="000000"/>
          <w:sz w:val="24"/>
        </w:rPr>
        <w:t xml:space="preserve"> </w:t>
      </w:r>
    </w:p>
    <w:p w:rsidR="004E3ADB" w:rsidRPr="006662B2" w:rsidRDefault="00980386" w:rsidP="00ED4FB7">
      <w:pPr>
        <w:tabs>
          <w:tab w:val="left" w:pos="5715"/>
        </w:tabs>
        <w:spacing w:before="29" w:line="288" w:lineRule="auto"/>
        <w:ind w:firstLineChars="200" w:firstLine="480"/>
        <w:rPr>
          <w:rFonts w:asciiTheme="minorEastAsia" w:eastAsiaTheme="minorEastAsia" w:hAnsiTheme="minorEastAsia"/>
          <w:color w:val="000000"/>
          <w:sz w:val="24"/>
        </w:rPr>
      </w:pPr>
      <w:r w:rsidRPr="00356E45">
        <w:rPr>
          <w:rFonts w:hint="eastAsia"/>
          <w:color w:val="000000"/>
          <w:sz w:val="24"/>
        </w:rPr>
        <w:t>投资者对本报告书如有疑问，可咨询本基金管理人交银施罗德基金管理有限公司。本公司客户服务中心电话：</w:t>
      </w:r>
      <w:r w:rsidRPr="00356E45">
        <w:rPr>
          <w:rFonts w:hint="eastAsia"/>
          <w:color w:val="000000"/>
          <w:sz w:val="24"/>
        </w:rPr>
        <w:t>400-700-5000</w:t>
      </w:r>
      <w:r w:rsidRPr="00356E45">
        <w:rPr>
          <w:rFonts w:hint="eastAsia"/>
          <w:color w:val="000000"/>
          <w:sz w:val="24"/>
        </w:rPr>
        <w:t>（免长途话费），</w:t>
      </w:r>
      <w:r w:rsidRPr="00356E45">
        <w:rPr>
          <w:rFonts w:hint="eastAsia"/>
          <w:color w:val="000000"/>
          <w:sz w:val="24"/>
        </w:rPr>
        <w:t>021-61055000</w:t>
      </w:r>
      <w:r w:rsidRPr="00356E45">
        <w:rPr>
          <w:rFonts w:hint="eastAsia"/>
          <w:color w:val="000000"/>
          <w:sz w:val="24"/>
        </w:rPr>
        <w:t>，电子邮件：</w:t>
      </w:r>
      <w:r w:rsidRPr="00356E45">
        <w:rPr>
          <w:rFonts w:hint="eastAsia"/>
          <w:color w:val="000000"/>
          <w:sz w:val="24"/>
        </w:rPr>
        <w:t>services@jysld.com</w:t>
      </w:r>
      <w:r w:rsidRPr="00356E45">
        <w:rPr>
          <w:rFonts w:hint="eastAsia"/>
          <w:color w:val="000000"/>
          <w:sz w:val="24"/>
        </w:rPr>
        <w:t>。</w:t>
      </w:r>
      <w:r w:rsidR="00ED4FB7">
        <w:rPr>
          <w:color w:val="000000"/>
          <w:sz w:val="24"/>
        </w:rPr>
        <w:tab/>
      </w:r>
    </w:p>
    <w:sectPr w:rsidR="004E3ADB" w:rsidRPr="006662B2" w:rsidSect="00A13382">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59" w:rsidRDefault="006E1259">
      <w:r>
        <w:separator/>
      </w:r>
    </w:p>
  </w:endnote>
  <w:endnote w:type="continuationSeparator" w:id="0">
    <w:p w:rsidR="006E1259" w:rsidRDefault="006E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48" w:rsidRPr="001D0DB0" w:rsidRDefault="002C7D48" w:rsidP="001D0DB0">
    <w:pPr>
      <w:pStyle w:val="a5"/>
      <w:jc w:val="center"/>
    </w:pPr>
    <w:r>
      <w:rPr>
        <w:rFonts w:hint="eastAsia"/>
        <w:kern w:val="0"/>
        <w:szCs w:val="21"/>
      </w:rPr>
      <w:t>第</w:t>
    </w:r>
    <w:r w:rsidR="00B65891">
      <w:rPr>
        <w:rFonts w:hint="eastAsia"/>
        <w:kern w:val="0"/>
        <w:szCs w:val="21"/>
      </w:rPr>
      <w:t xml:space="preserve"> </w:t>
    </w:r>
    <w:r w:rsidR="0031546A">
      <w:rPr>
        <w:kern w:val="0"/>
        <w:szCs w:val="21"/>
      </w:rPr>
      <w:fldChar w:fldCharType="begin"/>
    </w:r>
    <w:r>
      <w:rPr>
        <w:kern w:val="0"/>
        <w:szCs w:val="21"/>
      </w:rPr>
      <w:instrText xml:space="preserve"> PAGE </w:instrText>
    </w:r>
    <w:r w:rsidR="0031546A">
      <w:rPr>
        <w:kern w:val="0"/>
        <w:szCs w:val="21"/>
      </w:rPr>
      <w:fldChar w:fldCharType="separate"/>
    </w:r>
    <w:r w:rsidR="00111224">
      <w:rPr>
        <w:noProof/>
        <w:kern w:val="0"/>
        <w:szCs w:val="21"/>
      </w:rPr>
      <w:t>1</w:t>
    </w:r>
    <w:r w:rsidR="0031546A">
      <w:rPr>
        <w:kern w:val="0"/>
        <w:szCs w:val="21"/>
      </w:rPr>
      <w:fldChar w:fldCharType="end"/>
    </w:r>
    <w:r w:rsidR="00B65891">
      <w:rPr>
        <w:rFonts w:hint="eastAsia"/>
        <w:kern w:val="0"/>
        <w:szCs w:val="21"/>
      </w:rPr>
      <w:t xml:space="preserve"> </w:t>
    </w:r>
    <w:r>
      <w:rPr>
        <w:rFonts w:hint="eastAsia"/>
        <w:kern w:val="0"/>
        <w:szCs w:val="21"/>
      </w:rPr>
      <w:t>页</w:t>
    </w:r>
    <w:r w:rsidR="00B65891">
      <w:rPr>
        <w:rFonts w:hint="eastAsia"/>
        <w:kern w:val="0"/>
        <w:szCs w:val="21"/>
      </w:rPr>
      <w:t xml:space="preserve"> </w:t>
    </w:r>
    <w:r>
      <w:rPr>
        <w:rFonts w:hint="eastAsia"/>
        <w:kern w:val="0"/>
        <w:szCs w:val="21"/>
      </w:rPr>
      <w:t>共</w:t>
    </w:r>
    <w:r w:rsidR="00B65891">
      <w:rPr>
        <w:rFonts w:hint="eastAsia"/>
        <w:kern w:val="0"/>
        <w:szCs w:val="21"/>
      </w:rPr>
      <w:t xml:space="preserve"> </w:t>
    </w:r>
    <w:r w:rsidR="0031546A">
      <w:rPr>
        <w:kern w:val="0"/>
        <w:szCs w:val="21"/>
      </w:rPr>
      <w:fldChar w:fldCharType="begin"/>
    </w:r>
    <w:r>
      <w:rPr>
        <w:kern w:val="0"/>
        <w:szCs w:val="21"/>
      </w:rPr>
      <w:instrText xml:space="preserve"> NUMPAGES </w:instrText>
    </w:r>
    <w:r w:rsidR="0031546A">
      <w:rPr>
        <w:kern w:val="0"/>
        <w:szCs w:val="21"/>
      </w:rPr>
      <w:fldChar w:fldCharType="separate"/>
    </w:r>
    <w:r w:rsidR="00111224">
      <w:rPr>
        <w:noProof/>
        <w:kern w:val="0"/>
        <w:szCs w:val="21"/>
      </w:rPr>
      <w:t>11</w:t>
    </w:r>
    <w:r w:rsidR="0031546A">
      <w:rPr>
        <w:kern w:val="0"/>
        <w:szCs w:val="21"/>
      </w:rPr>
      <w:fldChar w:fldCharType="end"/>
    </w:r>
    <w:r w:rsidR="00B6589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59" w:rsidRDefault="006E1259">
      <w:r>
        <w:separator/>
      </w:r>
    </w:p>
  </w:footnote>
  <w:footnote w:type="continuationSeparator" w:id="0">
    <w:p w:rsidR="006E1259" w:rsidRDefault="006E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B6" w:rsidRDefault="00795056" w:rsidP="00FE5BB6">
    <w:pPr>
      <w:pStyle w:val="a4"/>
      <w:pBdr>
        <w:bottom w:val="single" w:sz="6" w:space="0" w:color="auto"/>
      </w:pBdr>
      <w:jc w:val="right"/>
    </w:pPr>
    <w:r w:rsidRPr="00795056">
      <w:rPr>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E4B"/>
    <w:rsid w:val="000014F3"/>
    <w:rsid w:val="000028CE"/>
    <w:rsid w:val="00004773"/>
    <w:rsid w:val="00004DE7"/>
    <w:rsid w:val="00005E2D"/>
    <w:rsid w:val="00014416"/>
    <w:rsid w:val="0001552D"/>
    <w:rsid w:val="00017C6F"/>
    <w:rsid w:val="00017E35"/>
    <w:rsid w:val="00021416"/>
    <w:rsid w:val="0004063B"/>
    <w:rsid w:val="00041165"/>
    <w:rsid w:val="00041E87"/>
    <w:rsid w:val="000454BE"/>
    <w:rsid w:val="0004762D"/>
    <w:rsid w:val="00047661"/>
    <w:rsid w:val="00052CA4"/>
    <w:rsid w:val="0005518A"/>
    <w:rsid w:val="0005571F"/>
    <w:rsid w:val="00055790"/>
    <w:rsid w:val="00057D26"/>
    <w:rsid w:val="000636E5"/>
    <w:rsid w:val="0006697D"/>
    <w:rsid w:val="00066E52"/>
    <w:rsid w:val="00070092"/>
    <w:rsid w:val="000705C1"/>
    <w:rsid w:val="0007109E"/>
    <w:rsid w:val="00075CA2"/>
    <w:rsid w:val="000818ED"/>
    <w:rsid w:val="00082C37"/>
    <w:rsid w:val="000844BD"/>
    <w:rsid w:val="000851A7"/>
    <w:rsid w:val="00085416"/>
    <w:rsid w:val="000A2104"/>
    <w:rsid w:val="000A22A2"/>
    <w:rsid w:val="000A37D1"/>
    <w:rsid w:val="000B0144"/>
    <w:rsid w:val="000B1FC4"/>
    <w:rsid w:val="000B3935"/>
    <w:rsid w:val="000B4104"/>
    <w:rsid w:val="000B5BBD"/>
    <w:rsid w:val="000C1881"/>
    <w:rsid w:val="000D0F44"/>
    <w:rsid w:val="000D5E16"/>
    <w:rsid w:val="000D774B"/>
    <w:rsid w:val="000E13E9"/>
    <w:rsid w:val="000E2F13"/>
    <w:rsid w:val="000E6630"/>
    <w:rsid w:val="000F4826"/>
    <w:rsid w:val="000F4D02"/>
    <w:rsid w:val="00100A35"/>
    <w:rsid w:val="00100EC8"/>
    <w:rsid w:val="00101278"/>
    <w:rsid w:val="00103B93"/>
    <w:rsid w:val="001067D9"/>
    <w:rsid w:val="00111224"/>
    <w:rsid w:val="00113547"/>
    <w:rsid w:val="00114310"/>
    <w:rsid w:val="001170EA"/>
    <w:rsid w:val="00117451"/>
    <w:rsid w:val="00126B62"/>
    <w:rsid w:val="001302DB"/>
    <w:rsid w:val="00131317"/>
    <w:rsid w:val="0013369C"/>
    <w:rsid w:val="0014010A"/>
    <w:rsid w:val="001429FF"/>
    <w:rsid w:val="00142C60"/>
    <w:rsid w:val="001540CE"/>
    <w:rsid w:val="00157686"/>
    <w:rsid w:val="00161860"/>
    <w:rsid w:val="00177706"/>
    <w:rsid w:val="001806FA"/>
    <w:rsid w:val="00181585"/>
    <w:rsid w:val="0018401C"/>
    <w:rsid w:val="00186667"/>
    <w:rsid w:val="00190674"/>
    <w:rsid w:val="0019125A"/>
    <w:rsid w:val="00191B28"/>
    <w:rsid w:val="00192AF8"/>
    <w:rsid w:val="00193BCF"/>
    <w:rsid w:val="001956EA"/>
    <w:rsid w:val="00195C6F"/>
    <w:rsid w:val="001A0592"/>
    <w:rsid w:val="001A19C5"/>
    <w:rsid w:val="001B3517"/>
    <w:rsid w:val="001C5D80"/>
    <w:rsid w:val="001D0D4C"/>
    <w:rsid w:val="001D0DB0"/>
    <w:rsid w:val="001D3FAC"/>
    <w:rsid w:val="001D54B1"/>
    <w:rsid w:val="001D6ECD"/>
    <w:rsid w:val="001E0091"/>
    <w:rsid w:val="001E15D3"/>
    <w:rsid w:val="001F0286"/>
    <w:rsid w:val="001F302C"/>
    <w:rsid w:val="001F6D09"/>
    <w:rsid w:val="001F6FF8"/>
    <w:rsid w:val="001F78C1"/>
    <w:rsid w:val="0020640F"/>
    <w:rsid w:val="00210C5D"/>
    <w:rsid w:val="0021147F"/>
    <w:rsid w:val="002204D2"/>
    <w:rsid w:val="00221191"/>
    <w:rsid w:val="0022445E"/>
    <w:rsid w:val="002315C8"/>
    <w:rsid w:val="00232095"/>
    <w:rsid w:val="002345F6"/>
    <w:rsid w:val="002357A0"/>
    <w:rsid w:val="00236975"/>
    <w:rsid w:val="00245004"/>
    <w:rsid w:val="00251E3E"/>
    <w:rsid w:val="0025252D"/>
    <w:rsid w:val="002525C7"/>
    <w:rsid w:val="00254040"/>
    <w:rsid w:val="002623A6"/>
    <w:rsid w:val="00267283"/>
    <w:rsid w:val="00274097"/>
    <w:rsid w:val="002743E3"/>
    <w:rsid w:val="00274FAC"/>
    <w:rsid w:val="00280B02"/>
    <w:rsid w:val="0028250D"/>
    <w:rsid w:val="0029158C"/>
    <w:rsid w:val="0029234B"/>
    <w:rsid w:val="002A62FC"/>
    <w:rsid w:val="002A7841"/>
    <w:rsid w:val="002B45A4"/>
    <w:rsid w:val="002B48E3"/>
    <w:rsid w:val="002C2123"/>
    <w:rsid w:val="002C22D6"/>
    <w:rsid w:val="002C6604"/>
    <w:rsid w:val="002C7D48"/>
    <w:rsid w:val="002D691E"/>
    <w:rsid w:val="002E0F4A"/>
    <w:rsid w:val="002E0F7F"/>
    <w:rsid w:val="002E12CD"/>
    <w:rsid w:val="002E333F"/>
    <w:rsid w:val="002E4DBF"/>
    <w:rsid w:val="002E540E"/>
    <w:rsid w:val="002E65E3"/>
    <w:rsid w:val="002F40B8"/>
    <w:rsid w:val="002F6539"/>
    <w:rsid w:val="003076EF"/>
    <w:rsid w:val="00311ADA"/>
    <w:rsid w:val="00314C64"/>
    <w:rsid w:val="0031546A"/>
    <w:rsid w:val="003220F0"/>
    <w:rsid w:val="00322F2E"/>
    <w:rsid w:val="003306EE"/>
    <w:rsid w:val="00331DA0"/>
    <w:rsid w:val="00340C3A"/>
    <w:rsid w:val="00343AF0"/>
    <w:rsid w:val="00346B82"/>
    <w:rsid w:val="00347167"/>
    <w:rsid w:val="00351044"/>
    <w:rsid w:val="0035215C"/>
    <w:rsid w:val="0035649D"/>
    <w:rsid w:val="00356E45"/>
    <w:rsid w:val="0035705A"/>
    <w:rsid w:val="003622A7"/>
    <w:rsid w:val="00371E26"/>
    <w:rsid w:val="003743E1"/>
    <w:rsid w:val="0038095B"/>
    <w:rsid w:val="00384942"/>
    <w:rsid w:val="003856CF"/>
    <w:rsid w:val="00386903"/>
    <w:rsid w:val="00387992"/>
    <w:rsid w:val="00391065"/>
    <w:rsid w:val="003923B3"/>
    <w:rsid w:val="00395151"/>
    <w:rsid w:val="00397A1A"/>
    <w:rsid w:val="003A1397"/>
    <w:rsid w:val="003A169E"/>
    <w:rsid w:val="003A49D5"/>
    <w:rsid w:val="003B36DD"/>
    <w:rsid w:val="003B4633"/>
    <w:rsid w:val="003B6DC6"/>
    <w:rsid w:val="003B709E"/>
    <w:rsid w:val="003C0E8C"/>
    <w:rsid w:val="003C1137"/>
    <w:rsid w:val="003D0B35"/>
    <w:rsid w:val="003D0E87"/>
    <w:rsid w:val="003E14FE"/>
    <w:rsid w:val="003E1FB8"/>
    <w:rsid w:val="003F0835"/>
    <w:rsid w:val="003F468F"/>
    <w:rsid w:val="003F65C4"/>
    <w:rsid w:val="003F6B4D"/>
    <w:rsid w:val="004010F4"/>
    <w:rsid w:val="00401D61"/>
    <w:rsid w:val="00402654"/>
    <w:rsid w:val="00403ED2"/>
    <w:rsid w:val="00406A01"/>
    <w:rsid w:val="00422BC7"/>
    <w:rsid w:val="0042456A"/>
    <w:rsid w:val="004250C5"/>
    <w:rsid w:val="00425438"/>
    <w:rsid w:val="00426FAD"/>
    <w:rsid w:val="00427505"/>
    <w:rsid w:val="00431618"/>
    <w:rsid w:val="004359DF"/>
    <w:rsid w:val="004369B0"/>
    <w:rsid w:val="00437706"/>
    <w:rsid w:val="00440C71"/>
    <w:rsid w:val="0044257C"/>
    <w:rsid w:val="0045068A"/>
    <w:rsid w:val="004538AA"/>
    <w:rsid w:val="0045641F"/>
    <w:rsid w:val="00460000"/>
    <w:rsid w:val="00462488"/>
    <w:rsid w:val="004677E5"/>
    <w:rsid w:val="0047191A"/>
    <w:rsid w:val="004730A9"/>
    <w:rsid w:val="004730B4"/>
    <w:rsid w:val="00474896"/>
    <w:rsid w:val="004749BC"/>
    <w:rsid w:val="00474A43"/>
    <w:rsid w:val="004771B9"/>
    <w:rsid w:val="0048086E"/>
    <w:rsid w:val="004817F4"/>
    <w:rsid w:val="00482548"/>
    <w:rsid w:val="00492647"/>
    <w:rsid w:val="004926EE"/>
    <w:rsid w:val="00493304"/>
    <w:rsid w:val="00494F41"/>
    <w:rsid w:val="004A1A8E"/>
    <w:rsid w:val="004A2432"/>
    <w:rsid w:val="004A46A0"/>
    <w:rsid w:val="004A5FCE"/>
    <w:rsid w:val="004A672F"/>
    <w:rsid w:val="004B1C09"/>
    <w:rsid w:val="004B26A7"/>
    <w:rsid w:val="004B5DCF"/>
    <w:rsid w:val="004B7B7F"/>
    <w:rsid w:val="004C3FA9"/>
    <w:rsid w:val="004D22E1"/>
    <w:rsid w:val="004D43C7"/>
    <w:rsid w:val="004D5065"/>
    <w:rsid w:val="004E041A"/>
    <w:rsid w:val="004E2D41"/>
    <w:rsid w:val="004E3ADB"/>
    <w:rsid w:val="004E7F2B"/>
    <w:rsid w:val="004F3020"/>
    <w:rsid w:val="004F72E6"/>
    <w:rsid w:val="00512FE1"/>
    <w:rsid w:val="005141F5"/>
    <w:rsid w:val="0051578D"/>
    <w:rsid w:val="00520731"/>
    <w:rsid w:val="00527876"/>
    <w:rsid w:val="00534548"/>
    <w:rsid w:val="005367AA"/>
    <w:rsid w:val="0054785C"/>
    <w:rsid w:val="005519B1"/>
    <w:rsid w:val="00555883"/>
    <w:rsid w:val="00560D73"/>
    <w:rsid w:val="00561E69"/>
    <w:rsid w:val="005632B4"/>
    <w:rsid w:val="005633AD"/>
    <w:rsid w:val="005648A3"/>
    <w:rsid w:val="00567BAC"/>
    <w:rsid w:val="00575970"/>
    <w:rsid w:val="005773D6"/>
    <w:rsid w:val="00582960"/>
    <w:rsid w:val="00591814"/>
    <w:rsid w:val="00591E69"/>
    <w:rsid w:val="00592D0A"/>
    <w:rsid w:val="00594DCA"/>
    <w:rsid w:val="00595C4A"/>
    <w:rsid w:val="00596386"/>
    <w:rsid w:val="005A26FF"/>
    <w:rsid w:val="005A4EEA"/>
    <w:rsid w:val="005B15BD"/>
    <w:rsid w:val="005B527B"/>
    <w:rsid w:val="005B697D"/>
    <w:rsid w:val="005C3412"/>
    <w:rsid w:val="005C6D15"/>
    <w:rsid w:val="005E05CC"/>
    <w:rsid w:val="005E2087"/>
    <w:rsid w:val="005E2EDD"/>
    <w:rsid w:val="005E6FA5"/>
    <w:rsid w:val="005F1846"/>
    <w:rsid w:val="005F270C"/>
    <w:rsid w:val="005F409A"/>
    <w:rsid w:val="005F46DA"/>
    <w:rsid w:val="00607DCB"/>
    <w:rsid w:val="00610D87"/>
    <w:rsid w:val="00611AEC"/>
    <w:rsid w:val="00613327"/>
    <w:rsid w:val="00614780"/>
    <w:rsid w:val="00615ED9"/>
    <w:rsid w:val="006169F7"/>
    <w:rsid w:val="00617ADB"/>
    <w:rsid w:val="0062091D"/>
    <w:rsid w:val="0062127F"/>
    <w:rsid w:val="006268E8"/>
    <w:rsid w:val="00626BEF"/>
    <w:rsid w:val="00631312"/>
    <w:rsid w:val="00631C0B"/>
    <w:rsid w:val="0063302E"/>
    <w:rsid w:val="00636553"/>
    <w:rsid w:val="00637395"/>
    <w:rsid w:val="00637E6E"/>
    <w:rsid w:val="00642494"/>
    <w:rsid w:val="0065055A"/>
    <w:rsid w:val="0065220D"/>
    <w:rsid w:val="0065614E"/>
    <w:rsid w:val="00661E17"/>
    <w:rsid w:val="00664834"/>
    <w:rsid w:val="006662B2"/>
    <w:rsid w:val="0067057E"/>
    <w:rsid w:val="0067106E"/>
    <w:rsid w:val="00673BA5"/>
    <w:rsid w:val="00673ED8"/>
    <w:rsid w:val="00681200"/>
    <w:rsid w:val="00683E0D"/>
    <w:rsid w:val="00687B3E"/>
    <w:rsid w:val="006911A1"/>
    <w:rsid w:val="00691A38"/>
    <w:rsid w:val="00695A7B"/>
    <w:rsid w:val="0069632C"/>
    <w:rsid w:val="006A07F9"/>
    <w:rsid w:val="006A1E40"/>
    <w:rsid w:val="006A2A4A"/>
    <w:rsid w:val="006A2D00"/>
    <w:rsid w:val="006A2EE4"/>
    <w:rsid w:val="006A40AB"/>
    <w:rsid w:val="006A4382"/>
    <w:rsid w:val="006B25FD"/>
    <w:rsid w:val="006B2BB6"/>
    <w:rsid w:val="006B4C67"/>
    <w:rsid w:val="006B6EF4"/>
    <w:rsid w:val="006C30D6"/>
    <w:rsid w:val="006C593A"/>
    <w:rsid w:val="006C6323"/>
    <w:rsid w:val="006D2FC6"/>
    <w:rsid w:val="006D4C22"/>
    <w:rsid w:val="006D56D3"/>
    <w:rsid w:val="006E05E1"/>
    <w:rsid w:val="006E0DAE"/>
    <w:rsid w:val="006E1259"/>
    <w:rsid w:val="006F30FA"/>
    <w:rsid w:val="006F44DE"/>
    <w:rsid w:val="006F622C"/>
    <w:rsid w:val="00710487"/>
    <w:rsid w:val="00714B3D"/>
    <w:rsid w:val="007160BD"/>
    <w:rsid w:val="007277D1"/>
    <w:rsid w:val="00727EA0"/>
    <w:rsid w:val="0073105A"/>
    <w:rsid w:val="00737A36"/>
    <w:rsid w:val="00741288"/>
    <w:rsid w:val="007478BF"/>
    <w:rsid w:val="00751966"/>
    <w:rsid w:val="00752660"/>
    <w:rsid w:val="00756489"/>
    <w:rsid w:val="0076066F"/>
    <w:rsid w:val="00761E9C"/>
    <w:rsid w:val="00762E87"/>
    <w:rsid w:val="00762F55"/>
    <w:rsid w:val="00765001"/>
    <w:rsid w:val="007656D4"/>
    <w:rsid w:val="00771109"/>
    <w:rsid w:val="007723FD"/>
    <w:rsid w:val="00772687"/>
    <w:rsid w:val="00775892"/>
    <w:rsid w:val="00780252"/>
    <w:rsid w:val="0079212D"/>
    <w:rsid w:val="00795056"/>
    <w:rsid w:val="007952CD"/>
    <w:rsid w:val="007A6267"/>
    <w:rsid w:val="007A7FBE"/>
    <w:rsid w:val="007B1C3E"/>
    <w:rsid w:val="007B632F"/>
    <w:rsid w:val="007C11C3"/>
    <w:rsid w:val="007C42E5"/>
    <w:rsid w:val="007C6A87"/>
    <w:rsid w:val="007D20F5"/>
    <w:rsid w:val="007D27C2"/>
    <w:rsid w:val="007D38EA"/>
    <w:rsid w:val="007E0C74"/>
    <w:rsid w:val="007E1F7F"/>
    <w:rsid w:val="007E4113"/>
    <w:rsid w:val="007F500A"/>
    <w:rsid w:val="007F525E"/>
    <w:rsid w:val="007F7B68"/>
    <w:rsid w:val="00806609"/>
    <w:rsid w:val="00806882"/>
    <w:rsid w:val="00806E79"/>
    <w:rsid w:val="00811188"/>
    <w:rsid w:val="008115B6"/>
    <w:rsid w:val="00814461"/>
    <w:rsid w:val="0082024F"/>
    <w:rsid w:val="00825EA5"/>
    <w:rsid w:val="00833555"/>
    <w:rsid w:val="008347B3"/>
    <w:rsid w:val="0084013B"/>
    <w:rsid w:val="008424EC"/>
    <w:rsid w:val="00843E53"/>
    <w:rsid w:val="008462A0"/>
    <w:rsid w:val="00847FCE"/>
    <w:rsid w:val="00850906"/>
    <w:rsid w:val="00851F57"/>
    <w:rsid w:val="008526B4"/>
    <w:rsid w:val="008604A9"/>
    <w:rsid w:val="0086245E"/>
    <w:rsid w:val="008713AD"/>
    <w:rsid w:val="008727C5"/>
    <w:rsid w:val="00880EE6"/>
    <w:rsid w:val="00882EE2"/>
    <w:rsid w:val="00885212"/>
    <w:rsid w:val="00890FC3"/>
    <w:rsid w:val="008A0619"/>
    <w:rsid w:val="008A2D02"/>
    <w:rsid w:val="008B3CD0"/>
    <w:rsid w:val="008B7FBD"/>
    <w:rsid w:val="008C7286"/>
    <w:rsid w:val="008C7777"/>
    <w:rsid w:val="008D023F"/>
    <w:rsid w:val="008D0F13"/>
    <w:rsid w:val="008D2EEC"/>
    <w:rsid w:val="008D4143"/>
    <w:rsid w:val="008E4638"/>
    <w:rsid w:val="008F0481"/>
    <w:rsid w:val="008F1ECB"/>
    <w:rsid w:val="008F44F3"/>
    <w:rsid w:val="008F7E56"/>
    <w:rsid w:val="00900445"/>
    <w:rsid w:val="009004F7"/>
    <w:rsid w:val="00902E3F"/>
    <w:rsid w:val="00903BD4"/>
    <w:rsid w:val="00903E98"/>
    <w:rsid w:val="00904247"/>
    <w:rsid w:val="00914C4D"/>
    <w:rsid w:val="009153D7"/>
    <w:rsid w:val="00915775"/>
    <w:rsid w:val="00924422"/>
    <w:rsid w:val="00925C97"/>
    <w:rsid w:val="0092641C"/>
    <w:rsid w:val="00926A13"/>
    <w:rsid w:val="00930BA7"/>
    <w:rsid w:val="00930E3A"/>
    <w:rsid w:val="00936A19"/>
    <w:rsid w:val="00937B34"/>
    <w:rsid w:val="0094213C"/>
    <w:rsid w:val="00943183"/>
    <w:rsid w:val="00943AFD"/>
    <w:rsid w:val="009449E3"/>
    <w:rsid w:val="009452B9"/>
    <w:rsid w:val="0095221F"/>
    <w:rsid w:val="009551BF"/>
    <w:rsid w:val="0095721A"/>
    <w:rsid w:val="009674D7"/>
    <w:rsid w:val="009715B5"/>
    <w:rsid w:val="00971A57"/>
    <w:rsid w:val="00971D35"/>
    <w:rsid w:val="009751C6"/>
    <w:rsid w:val="009802DA"/>
    <w:rsid w:val="00980386"/>
    <w:rsid w:val="0098181F"/>
    <w:rsid w:val="00983FC2"/>
    <w:rsid w:val="009850F4"/>
    <w:rsid w:val="00987069"/>
    <w:rsid w:val="009912EF"/>
    <w:rsid w:val="00994FAA"/>
    <w:rsid w:val="009A1A3A"/>
    <w:rsid w:val="009A52A5"/>
    <w:rsid w:val="009B0994"/>
    <w:rsid w:val="009B0DD7"/>
    <w:rsid w:val="009B2693"/>
    <w:rsid w:val="009B2BC4"/>
    <w:rsid w:val="009B4AAD"/>
    <w:rsid w:val="009B4CA6"/>
    <w:rsid w:val="009C01AB"/>
    <w:rsid w:val="009C1A42"/>
    <w:rsid w:val="009C1DE9"/>
    <w:rsid w:val="009C5083"/>
    <w:rsid w:val="009C53F8"/>
    <w:rsid w:val="009C63AB"/>
    <w:rsid w:val="009D063F"/>
    <w:rsid w:val="009D0796"/>
    <w:rsid w:val="009D2F0E"/>
    <w:rsid w:val="009D60EB"/>
    <w:rsid w:val="009D74FC"/>
    <w:rsid w:val="009E07F4"/>
    <w:rsid w:val="009E2BAA"/>
    <w:rsid w:val="009E4169"/>
    <w:rsid w:val="009E4601"/>
    <w:rsid w:val="009F28CA"/>
    <w:rsid w:val="009F39B0"/>
    <w:rsid w:val="009F4C55"/>
    <w:rsid w:val="009F66E8"/>
    <w:rsid w:val="00A13382"/>
    <w:rsid w:val="00A147F8"/>
    <w:rsid w:val="00A1530B"/>
    <w:rsid w:val="00A16747"/>
    <w:rsid w:val="00A17A92"/>
    <w:rsid w:val="00A207E5"/>
    <w:rsid w:val="00A4057D"/>
    <w:rsid w:val="00A467D4"/>
    <w:rsid w:val="00A5064D"/>
    <w:rsid w:val="00A51719"/>
    <w:rsid w:val="00A530BA"/>
    <w:rsid w:val="00A56135"/>
    <w:rsid w:val="00A62762"/>
    <w:rsid w:val="00A63B36"/>
    <w:rsid w:val="00A64B4F"/>
    <w:rsid w:val="00A67179"/>
    <w:rsid w:val="00A67244"/>
    <w:rsid w:val="00A710D9"/>
    <w:rsid w:val="00A73419"/>
    <w:rsid w:val="00A7349A"/>
    <w:rsid w:val="00A734B9"/>
    <w:rsid w:val="00A80F9F"/>
    <w:rsid w:val="00A81075"/>
    <w:rsid w:val="00A8129A"/>
    <w:rsid w:val="00A862D0"/>
    <w:rsid w:val="00A95FA9"/>
    <w:rsid w:val="00AA7575"/>
    <w:rsid w:val="00AB3B0D"/>
    <w:rsid w:val="00AB7E6A"/>
    <w:rsid w:val="00AC0359"/>
    <w:rsid w:val="00AC1C28"/>
    <w:rsid w:val="00AC2B47"/>
    <w:rsid w:val="00AC4576"/>
    <w:rsid w:val="00AC7FEB"/>
    <w:rsid w:val="00AD12A2"/>
    <w:rsid w:val="00AD28A5"/>
    <w:rsid w:val="00AD2E4E"/>
    <w:rsid w:val="00AD2F99"/>
    <w:rsid w:val="00AD3AAD"/>
    <w:rsid w:val="00AD752F"/>
    <w:rsid w:val="00AE17F1"/>
    <w:rsid w:val="00AE2FB9"/>
    <w:rsid w:val="00AE4F96"/>
    <w:rsid w:val="00AE6D9A"/>
    <w:rsid w:val="00AE76C5"/>
    <w:rsid w:val="00AF185F"/>
    <w:rsid w:val="00AF2397"/>
    <w:rsid w:val="00B0226E"/>
    <w:rsid w:val="00B05537"/>
    <w:rsid w:val="00B0789C"/>
    <w:rsid w:val="00B12E72"/>
    <w:rsid w:val="00B306EF"/>
    <w:rsid w:val="00B33FA5"/>
    <w:rsid w:val="00B415B8"/>
    <w:rsid w:val="00B44F2F"/>
    <w:rsid w:val="00B46885"/>
    <w:rsid w:val="00B47322"/>
    <w:rsid w:val="00B53A17"/>
    <w:rsid w:val="00B55F93"/>
    <w:rsid w:val="00B5600C"/>
    <w:rsid w:val="00B60FB7"/>
    <w:rsid w:val="00B612AB"/>
    <w:rsid w:val="00B65891"/>
    <w:rsid w:val="00B76977"/>
    <w:rsid w:val="00B83944"/>
    <w:rsid w:val="00B906B6"/>
    <w:rsid w:val="00B9544E"/>
    <w:rsid w:val="00B95A4B"/>
    <w:rsid w:val="00BA2F6A"/>
    <w:rsid w:val="00BA3FBE"/>
    <w:rsid w:val="00BA5353"/>
    <w:rsid w:val="00BA5E15"/>
    <w:rsid w:val="00BA7C71"/>
    <w:rsid w:val="00BB1640"/>
    <w:rsid w:val="00BB2469"/>
    <w:rsid w:val="00BB4C11"/>
    <w:rsid w:val="00BB7518"/>
    <w:rsid w:val="00BB7638"/>
    <w:rsid w:val="00BC144F"/>
    <w:rsid w:val="00BC2146"/>
    <w:rsid w:val="00BC2D23"/>
    <w:rsid w:val="00BC4CF1"/>
    <w:rsid w:val="00BC4DD4"/>
    <w:rsid w:val="00BC55D2"/>
    <w:rsid w:val="00BC63DF"/>
    <w:rsid w:val="00BD1FF6"/>
    <w:rsid w:val="00BD57A8"/>
    <w:rsid w:val="00BD6918"/>
    <w:rsid w:val="00BE0F50"/>
    <w:rsid w:val="00BE1E45"/>
    <w:rsid w:val="00BF1894"/>
    <w:rsid w:val="00BF59DE"/>
    <w:rsid w:val="00C04DE1"/>
    <w:rsid w:val="00C10D80"/>
    <w:rsid w:val="00C1461A"/>
    <w:rsid w:val="00C14EDC"/>
    <w:rsid w:val="00C25C54"/>
    <w:rsid w:val="00C27CF9"/>
    <w:rsid w:val="00C27F61"/>
    <w:rsid w:val="00C30110"/>
    <w:rsid w:val="00C31708"/>
    <w:rsid w:val="00C3183C"/>
    <w:rsid w:val="00C32E36"/>
    <w:rsid w:val="00C40458"/>
    <w:rsid w:val="00C4119D"/>
    <w:rsid w:val="00C43397"/>
    <w:rsid w:val="00C4492C"/>
    <w:rsid w:val="00C45B13"/>
    <w:rsid w:val="00C50BA8"/>
    <w:rsid w:val="00C52039"/>
    <w:rsid w:val="00C6089D"/>
    <w:rsid w:val="00C637D1"/>
    <w:rsid w:val="00C7033B"/>
    <w:rsid w:val="00C71204"/>
    <w:rsid w:val="00C72367"/>
    <w:rsid w:val="00C77252"/>
    <w:rsid w:val="00C82A05"/>
    <w:rsid w:val="00C83157"/>
    <w:rsid w:val="00C83F70"/>
    <w:rsid w:val="00C841C9"/>
    <w:rsid w:val="00C84CCE"/>
    <w:rsid w:val="00C855A3"/>
    <w:rsid w:val="00C86529"/>
    <w:rsid w:val="00C92014"/>
    <w:rsid w:val="00C938AF"/>
    <w:rsid w:val="00CA0F59"/>
    <w:rsid w:val="00CA3808"/>
    <w:rsid w:val="00CA640D"/>
    <w:rsid w:val="00CB08EA"/>
    <w:rsid w:val="00CB1AEB"/>
    <w:rsid w:val="00CB2552"/>
    <w:rsid w:val="00CB6A05"/>
    <w:rsid w:val="00CC098E"/>
    <w:rsid w:val="00CC0A34"/>
    <w:rsid w:val="00CC7A4E"/>
    <w:rsid w:val="00CD08B5"/>
    <w:rsid w:val="00CD3718"/>
    <w:rsid w:val="00CD4C0D"/>
    <w:rsid w:val="00CD5FC2"/>
    <w:rsid w:val="00CE0E18"/>
    <w:rsid w:val="00CE193A"/>
    <w:rsid w:val="00CE1F91"/>
    <w:rsid w:val="00CE636F"/>
    <w:rsid w:val="00D15D82"/>
    <w:rsid w:val="00D23538"/>
    <w:rsid w:val="00D25291"/>
    <w:rsid w:val="00D25602"/>
    <w:rsid w:val="00D25A77"/>
    <w:rsid w:val="00D2743E"/>
    <w:rsid w:val="00D33791"/>
    <w:rsid w:val="00D33BA8"/>
    <w:rsid w:val="00D353E9"/>
    <w:rsid w:val="00D43232"/>
    <w:rsid w:val="00D44DA9"/>
    <w:rsid w:val="00D44E95"/>
    <w:rsid w:val="00D47A56"/>
    <w:rsid w:val="00D51E96"/>
    <w:rsid w:val="00D521DA"/>
    <w:rsid w:val="00D638E8"/>
    <w:rsid w:val="00D63B9E"/>
    <w:rsid w:val="00D64248"/>
    <w:rsid w:val="00D65D90"/>
    <w:rsid w:val="00D7022C"/>
    <w:rsid w:val="00D769BA"/>
    <w:rsid w:val="00D7751B"/>
    <w:rsid w:val="00D8034F"/>
    <w:rsid w:val="00D840C9"/>
    <w:rsid w:val="00D93109"/>
    <w:rsid w:val="00D9412B"/>
    <w:rsid w:val="00DA2F1E"/>
    <w:rsid w:val="00DA3451"/>
    <w:rsid w:val="00DA511D"/>
    <w:rsid w:val="00DA5975"/>
    <w:rsid w:val="00DA67B3"/>
    <w:rsid w:val="00DA6A4F"/>
    <w:rsid w:val="00DB2873"/>
    <w:rsid w:val="00DC101E"/>
    <w:rsid w:val="00DC22F9"/>
    <w:rsid w:val="00DC4482"/>
    <w:rsid w:val="00DD5028"/>
    <w:rsid w:val="00DD590E"/>
    <w:rsid w:val="00DD6704"/>
    <w:rsid w:val="00DE0D94"/>
    <w:rsid w:val="00DF39E3"/>
    <w:rsid w:val="00DF3E1E"/>
    <w:rsid w:val="00DF45D5"/>
    <w:rsid w:val="00DF53EE"/>
    <w:rsid w:val="00E0237F"/>
    <w:rsid w:val="00E04AF5"/>
    <w:rsid w:val="00E069B5"/>
    <w:rsid w:val="00E13B22"/>
    <w:rsid w:val="00E145BC"/>
    <w:rsid w:val="00E149A5"/>
    <w:rsid w:val="00E14F95"/>
    <w:rsid w:val="00E151DF"/>
    <w:rsid w:val="00E21589"/>
    <w:rsid w:val="00E22F73"/>
    <w:rsid w:val="00E23CF8"/>
    <w:rsid w:val="00E24D9E"/>
    <w:rsid w:val="00E264BD"/>
    <w:rsid w:val="00E26581"/>
    <w:rsid w:val="00E2722E"/>
    <w:rsid w:val="00E30517"/>
    <w:rsid w:val="00E431CE"/>
    <w:rsid w:val="00E4440D"/>
    <w:rsid w:val="00E445F8"/>
    <w:rsid w:val="00E507FD"/>
    <w:rsid w:val="00E611A2"/>
    <w:rsid w:val="00E61DC5"/>
    <w:rsid w:val="00E6219D"/>
    <w:rsid w:val="00E64BF4"/>
    <w:rsid w:val="00E70188"/>
    <w:rsid w:val="00E73AE5"/>
    <w:rsid w:val="00E76913"/>
    <w:rsid w:val="00E83136"/>
    <w:rsid w:val="00E84450"/>
    <w:rsid w:val="00E84A2D"/>
    <w:rsid w:val="00E85AC9"/>
    <w:rsid w:val="00E85CF2"/>
    <w:rsid w:val="00E8653E"/>
    <w:rsid w:val="00E92AA8"/>
    <w:rsid w:val="00E92D23"/>
    <w:rsid w:val="00E9312A"/>
    <w:rsid w:val="00E95356"/>
    <w:rsid w:val="00E966E5"/>
    <w:rsid w:val="00EA0BA4"/>
    <w:rsid w:val="00EA1C82"/>
    <w:rsid w:val="00EA3D96"/>
    <w:rsid w:val="00EA4D5C"/>
    <w:rsid w:val="00EA6B7B"/>
    <w:rsid w:val="00EB2A39"/>
    <w:rsid w:val="00EB2C41"/>
    <w:rsid w:val="00EB3346"/>
    <w:rsid w:val="00EB3D8B"/>
    <w:rsid w:val="00EB4276"/>
    <w:rsid w:val="00EB5186"/>
    <w:rsid w:val="00EB5F2B"/>
    <w:rsid w:val="00EC0CB3"/>
    <w:rsid w:val="00EC483F"/>
    <w:rsid w:val="00EC5D1C"/>
    <w:rsid w:val="00ED1110"/>
    <w:rsid w:val="00ED1B77"/>
    <w:rsid w:val="00ED2E5D"/>
    <w:rsid w:val="00ED4FB7"/>
    <w:rsid w:val="00ED57D1"/>
    <w:rsid w:val="00ED622B"/>
    <w:rsid w:val="00ED7185"/>
    <w:rsid w:val="00EE38A8"/>
    <w:rsid w:val="00EE661A"/>
    <w:rsid w:val="00EF3994"/>
    <w:rsid w:val="00EF4595"/>
    <w:rsid w:val="00EF6216"/>
    <w:rsid w:val="00F0251A"/>
    <w:rsid w:val="00F029D6"/>
    <w:rsid w:val="00F0366E"/>
    <w:rsid w:val="00F03F87"/>
    <w:rsid w:val="00F048DE"/>
    <w:rsid w:val="00F12547"/>
    <w:rsid w:val="00F13F24"/>
    <w:rsid w:val="00F14A7B"/>
    <w:rsid w:val="00F17736"/>
    <w:rsid w:val="00F2540D"/>
    <w:rsid w:val="00F36B9C"/>
    <w:rsid w:val="00F40C82"/>
    <w:rsid w:val="00F4541F"/>
    <w:rsid w:val="00F53B1A"/>
    <w:rsid w:val="00F54568"/>
    <w:rsid w:val="00F54E4B"/>
    <w:rsid w:val="00F5602C"/>
    <w:rsid w:val="00F570FD"/>
    <w:rsid w:val="00F57249"/>
    <w:rsid w:val="00F61508"/>
    <w:rsid w:val="00F62617"/>
    <w:rsid w:val="00F62DE3"/>
    <w:rsid w:val="00F632F6"/>
    <w:rsid w:val="00F72CA6"/>
    <w:rsid w:val="00F73656"/>
    <w:rsid w:val="00F81CE7"/>
    <w:rsid w:val="00F81E33"/>
    <w:rsid w:val="00F834A1"/>
    <w:rsid w:val="00F86FBC"/>
    <w:rsid w:val="00F914C6"/>
    <w:rsid w:val="00F91F8E"/>
    <w:rsid w:val="00FA2208"/>
    <w:rsid w:val="00FA4C13"/>
    <w:rsid w:val="00FA76E2"/>
    <w:rsid w:val="00FB2783"/>
    <w:rsid w:val="00FB345F"/>
    <w:rsid w:val="00FB570E"/>
    <w:rsid w:val="00FB74C1"/>
    <w:rsid w:val="00FC57A1"/>
    <w:rsid w:val="00FD0100"/>
    <w:rsid w:val="00FD3820"/>
    <w:rsid w:val="00FD6C39"/>
    <w:rsid w:val="00FD7EF0"/>
    <w:rsid w:val="00FE5BB6"/>
    <w:rsid w:val="00FF17D9"/>
    <w:rsid w:val="00FF1B46"/>
    <w:rsid w:val="00FF3092"/>
    <w:rsid w:val="00FF4C79"/>
    <w:rsid w:val="00FF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2D3BAEA-29C7-4083-8FA6-B4398F06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82"/>
    <w:pPr>
      <w:widowControl w:val="0"/>
      <w:jc w:val="both"/>
    </w:pPr>
    <w:rPr>
      <w:kern w:val="2"/>
      <w:sz w:val="21"/>
      <w:szCs w:val="24"/>
    </w:rPr>
  </w:style>
  <w:style w:type="paragraph" w:styleId="1">
    <w:name w:val="heading 1"/>
    <w:basedOn w:val="a"/>
    <w:next w:val="a"/>
    <w:link w:val="1Char"/>
    <w:qFormat/>
    <w:rsid w:val="004926EE"/>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C6D15"/>
    <w:pPr>
      <w:shd w:val="clear" w:color="auto" w:fill="000080"/>
    </w:pPr>
  </w:style>
  <w:style w:type="table" w:styleId="a8">
    <w:name w:val="Table Grid"/>
    <w:basedOn w:val="a2"/>
    <w:uiPriority w:val="99"/>
    <w:rsid w:val="00D43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6"/>
    <w:uiPriority w:val="99"/>
    <w:rsid w:val="00C86529"/>
    <w:rPr>
      <w:rFonts w:ascii="宋体" w:hAnsi="Courier New"/>
      <w:kern w:val="2"/>
      <w:sz w:val="21"/>
      <w:szCs w:val="21"/>
    </w:rPr>
  </w:style>
  <w:style w:type="paragraph" w:styleId="a9">
    <w:name w:val="footnote text"/>
    <w:basedOn w:val="a"/>
    <w:link w:val="Char2"/>
    <w:rsid w:val="00683E0D"/>
    <w:pPr>
      <w:snapToGrid w:val="0"/>
      <w:jc w:val="left"/>
    </w:pPr>
    <w:rPr>
      <w:sz w:val="18"/>
      <w:szCs w:val="18"/>
    </w:rPr>
  </w:style>
  <w:style w:type="character" w:customStyle="1" w:styleId="Char2">
    <w:name w:val="脚注文本 Char"/>
    <w:link w:val="a9"/>
    <w:rsid w:val="00683E0D"/>
    <w:rPr>
      <w:kern w:val="2"/>
      <w:sz w:val="18"/>
      <w:szCs w:val="18"/>
    </w:rPr>
  </w:style>
  <w:style w:type="character" w:styleId="aa">
    <w:name w:val="footnote reference"/>
    <w:rsid w:val="00683E0D"/>
    <w:rPr>
      <w:vertAlign w:val="superscript"/>
    </w:rPr>
  </w:style>
  <w:style w:type="paragraph" w:styleId="ab">
    <w:name w:val="Balloon Text"/>
    <w:basedOn w:val="a"/>
    <w:link w:val="Char3"/>
    <w:rsid w:val="009D0796"/>
    <w:rPr>
      <w:sz w:val="18"/>
      <w:szCs w:val="18"/>
    </w:rPr>
  </w:style>
  <w:style w:type="character" w:customStyle="1" w:styleId="Char3">
    <w:name w:val="批注框文本 Char"/>
    <w:basedOn w:val="a1"/>
    <w:link w:val="ab"/>
    <w:rsid w:val="009D0796"/>
    <w:rPr>
      <w:kern w:val="2"/>
      <w:sz w:val="18"/>
      <w:szCs w:val="18"/>
    </w:rPr>
  </w:style>
  <w:style w:type="paragraph" w:styleId="ac">
    <w:name w:val="Normal (Web)"/>
    <w:basedOn w:val="a"/>
    <w:rsid w:val="003A169E"/>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FE5BB6"/>
    <w:rPr>
      <w:kern w:val="2"/>
      <w:sz w:val="18"/>
      <w:szCs w:val="18"/>
    </w:rPr>
  </w:style>
  <w:style w:type="character" w:customStyle="1" w:styleId="1Char">
    <w:name w:val="标题 1 Char"/>
    <w:basedOn w:val="a1"/>
    <w:link w:val="1"/>
    <w:rsid w:val="004926EE"/>
    <w:rPr>
      <w:b/>
      <w:bCs/>
      <w:kern w:val="44"/>
      <w:sz w:val="44"/>
      <w:szCs w:val="44"/>
    </w:rPr>
  </w:style>
  <w:style w:type="paragraph" w:styleId="ad">
    <w:name w:val="Date"/>
    <w:basedOn w:val="a"/>
    <w:next w:val="a"/>
    <w:link w:val="Char4"/>
    <w:rsid w:val="00FA76E2"/>
    <w:rPr>
      <w:sz w:val="24"/>
      <w:szCs w:val="20"/>
    </w:rPr>
  </w:style>
  <w:style w:type="character" w:customStyle="1" w:styleId="Char4">
    <w:name w:val="日期 Char"/>
    <w:basedOn w:val="a1"/>
    <w:link w:val="ad"/>
    <w:rsid w:val="00FA76E2"/>
    <w:rPr>
      <w:kern w:val="2"/>
      <w:sz w:val="24"/>
    </w:rPr>
  </w:style>
  <w:style w:type="character" w:styleId="ae">
    <w:name w:val="Strong"/>
    <w:basedOn w:val="a1"/>
    <w:uiPriority w:val="22"/>
    <w:qFormat/>
    <w:rsid w:val="00A73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087">
      <w:bodyDiv w:val="1"/>
      <w:marLeft w:val="0"/>
      <w:marRight w:val="0"/>
      <w:marTop w:val="0"/>
      <w:marBottom w:val="0"/>
      <w:divBdr>
        <w:top w:val="none" w:sz="0" w:space="0" w:color="auto"/>
        <w:left w:val="none" w:sz="0" w:space="0" w:color="auto"/>
        <w:bottom w:val="none" w:sz="0" w:space="0" w:color="auto"/>
        <w:right w:val="none" w:sz="0" w:space="0" w:color="auto"/>
      </w:divBdr>
    </w:div>
    <w:div w:id="211037842">
      <w:bodyDiv w:val="1"/>
      <w:marLeft w:val="0"/>
      <w:marRight w:val="0"/>
      <w:marTop w:val="0"/>
      <w:marBottom w:val="0"/>
      <w:divBdr>
        <w:top w:val="none" w:sz="0" w:space="0" w:color="auto"/>
        <w:left w:val="none" w:sz="0" w:space="0" w:color="auto"/>
        <w:bottom w:val="none" w:sz="0" w:space="0" w:color="auto"/>
        <w:right w:val="none" w:sz="0" w:space="0" w:color="auto"/>
      </w:divBdr>
    </w:div>
    <w:div w:id="267737633">
      <w:bodyDiv w:val="1"/>
      <w:marLeft w:val="0"/>
      <w:marRight w:val="0"/>
      <w:marTop w:val="0"/>
      <w:marBottom w:val="0"/>
      <w:divBdr>
        <w:top w:val="none" w:sz="0" w:space="0" w:color="auto"/>
        <w:left w:val="none" w:sz="0" w:space="0" w:color="auto"/>
        <w:bottom w:val="none" w:sz="0" w:space="0" w:color="auto"/>
        <w:right w:val="none" w:sz="0" w:space="0" w:color="auto"/>
      </w:divBdr>
    </w:div>
    <w:div w:id="312177099">
      <w:bodyDiv w:val="1"/>
      <w:marLeft w:val="0"/>
      <w:marRight w:val="0"/>
      <w:marTop w:val="0"/>
      <w:marBottom w:val="0"/>
      <w:divBdr>
        <w:top w:val="none" w:sz="0" w:space="0" w:color="auto"/>
        <w:left w:val="none" w:sz="0" w:space="0" w:color="auto"/>
        <w:bottom w:val="none" w:sz="0" w:space="0" w:color="auto"/>
        <w:right w:val="none" w:sz="0" w:space="0" w:color="auto"/>
      </w:divBdr>
    </w:div>
    <w:div w:id="568269588">
      <w:bodyDiv w:val="1"/>
      <w:marLeft w:val="0"/>
      <w:marRight w:val="0"/>
      <w:marTop w:val="0"/>
      <w:marBottom w:val="0"/>
      <w:divBdr>
        <w:top w:val="none" w:sz="0" w:space="0" w:color="auto"/>
        <w:left w:val="none" w:sz="0" w:space="0" w:color="auto"/>
        <w:bottom w:val="none" w:sz="0" w:space="0" w:color="auto"/>
        <w:right w:val="none" w:sz="0" w:space="0" w:color="auto"/>
      </w:divBdr>
    </w:div>
    <w:div w:id="798038419">
      <w:bodyDiv w:val="1"/>
      <w:marLeft w:val="0"/>
      <w:marRight w:val="0"/>
      <w:marTop w:val="0"/>
      <w:marBottom w:val="0"/>
      <w:divBdr>
        <w:top w:val="none" w:sz="0" w:space="0" w:color="auto"/>
        <w:left w:val="none" w:sz="0" w:space="0" w:color="auto"/>
        <w:bottom w:val="none" w:sz="0" w:space="0" w:color="auto"/>
        <w:right w:val="none" w:sz="0" w:space="0" w:color="auto"/>
      </w:divBdr>
    </w:div>
    <w:div w:id="808402462">
      <w:bodyDiv w:val="1"/>
      <w:marLeft w:val="0"/>
      <w:marRight w:val="0"/>
      <w:marTop w:val="0"/>
      <w:marBottom w:val="0"/>
      <w:divBdr>
        <w:top w:val="none" w:sz="0" w:space="0" w:color="auto"/>
        <w:left w:val="none" w:sz="0" w:space="0" w:color="auto"/>
        <w:bottom w:val="none" w:sz="0" w:space="0" w:color="auto"/>
        <w:right w:val="none" w:sz="0" w:space="0" w:color="auto"/>
      </w:divBdr>
    </w:div>
    <w:div w:id="12761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monetary.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D0C9-DCD3-4109-BECA-F5ACB66B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monetary.dot</Template>
  <TotalTime>463</TotalTime>
  <Pages>11</Pages>
  <Words>996</Words>
  <Characters>5683</Characters>
  <Application>Microsoft Office Word</Application>
  <DocSecurity>0</DocSecurity>
  <Lines>47</Lines>
  <Paragraphs>13</Paragraphs>
  <ScaleCrop>false</ScaleCrop>
  <Company>jysld</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462</cp:revision>
  <cp:lastPrinted>2009-01-22T10:11:00Z</cp:lastPrinted>
  <dcterms:created xsi:type="dcterms:W3CDTF">2012-11-21T01:34:00Z</dcterms:created>
  <dcterms:modified xsi:type="dcterms:W3CDTF">2015-01-20T03:47:00Z</dcterms:modified>
</cp:coreProperties>
</file>