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DA29C8">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2216F" w:rsidRDefault="00D271E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164,340,938.05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3048" w:rsidRPr="00414345" w:rsidTr="0020304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03048" w:rsidRPr="00414345" w:rsidTr="002030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1,856,471.10</w:t>
            </w:r>
          </w:p>
        </w:tc>
      </w:tr>
      <w:tr w:rsidR="00203048" w:rsidRPr="00414345" w:rsidTr="002030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6,177,960.05</w:t>
            </w:r>
          </w:p>
        </w:tc>
      </w:tr>
      <w:tr w:rsidR="00203048" w:rsidRPr="00414345" w:rsidTr="002030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0.0271</w:t>
            </w:r>
          </w:p>
        </w:tc>
      </w:tr>
      <w:tr w:rsidR="00203048" w:rsidRPr="00414345" w:rsidTr="002030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178,544,291.04</w:t>
            </w:r>
          </w:p>
        </w:tc>
      </w:tr>
      <w:tr w:rsidR="00203048" w:rsidRPr="00414345" w:rsidTr="0020304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1.086</w:t>
            </w:r>
          </w:p>
        </w:tc>
      </w:tr>
    </w:tbl>
    <w:p w:rsidR="00A2216F" w:rsidRDefault="00203048">
      <w:pPr>
        <w:autoSpaceDE w:val="0"/>
        <w:autoSpaceDN w:val="0"/>
        <w:adjustRightInd w:val="0"/>
        <w:spacing w:before="29" w:line="288" w:lineRule="auto"/>
        <w:jc w:val="left"/>
        <w:rPr>
          <w:color w:val="000000"/>
          <w:sz w:val="24"/>
          <w:szCs w:val="24"/>
        </w:rPr>
      </w:pPr>
      <w:r>
        <w:rPr>
          <w:color w:val="000000"/>
          <w:sz w:val="24"/>
          <w:szCs w:val="24"/>
        </w:rPr>
        <w:t>注：</w:t>
      </w:r>
      <w:r w:rsidR="00D271ED">
        <w:rPr>
          <w:color w:val="000000"/>
          <w:sz w:val="24"/>
          <w:szCs w:val="24"/>
        </w:rPr>
        <w:t>1</w:t>
      </w:r>
      <w:r w:rsidR="00D271ED">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2216F">
        <w:trPr>
          <w:jc w:val="center"/>
        </w:trPr>
        <w:tc>
          <w:tcPr>
            <w:tcW w:w="1701" w:type="dxa"/>
            <w:vAlign w:val="center"/>
          </w:tcPr>
          <w:p w:rsidR="00A2216F" w:rsidRDefault="00D271ED">
            <w:pPr>
              <w:jc w:val="left"/>
            </w:pPr>
            <w:r>
              <w:rPr>
                <w:color w:val="000000"/>
                <w:sz w:val="24"/>
                <w:szCs w:val="24"/>
              </w:rPr>
              <w:t>过去三个月</w:t>
            </w:r>
          </w:p>
        </w:tc>
        <w:tc>
          <w:tcPr>
            <w:tcW w:w="1045" w:type="dxa"/>
            <w:vAlign w:val="center"/>
          </w:tcPr>
          <w:p w:rsidR="00A2216F" w:rsidRDefault="00D271ED">
            <w:pPr>
              <w:jc w:val="center"/>
            </w:pPr>
            <w:r>
              <w:rPr>
                <w:color w:val="000000"/>
                <w:sz w:val="24"/>
                <w:szCs w:val="24"/>
              </w:rPr>
              <w:t>3.63%</w:t>
            </w:r>
          </w:p>
        </w:tc>
        <w:tc>
          <w:tcPr>
            <w:tcW w:w="1344" w:type="dxa"/>
            <w:vAlign w:val="center"/>
          </w:tcPr>
          <w:p w:rsidR="00A2216F" w:rsidRDefault="00D271ED">
            <w:pPr>
              <w:jc w:val="center"/>
            </w:pPr>
            <w:r>
              <w:rPr>
                <w:color w:val="000000"/>
                <w:sz w:val="24"/>
                <w:szCs w:val="24"/>
              </w:rPr>
              <w:t>1.38%</w:t>
            </w:r>
          </w:p>
        </w:tc>
        <w:tc>
          <w:tcPr>
            <w:tcW w:w="1194" w:type="dxa"/>
            <w:vAlign w:val="center"/>
          </w:tcPr>
          <w:p w:rsidR="00A2216F" w:rsidRDefault="00D271ED">
            <w:pPr>
              <w:jc w:val="center"/>
            </w:pPr>
            <w:r>
              <w:rPr>
                <w:color w:val="000000"/>
                <w:sz w:val="24"/>
                <w:szCs w:val="24"/>
              </w:rPr>
              <w:t>14.07%</w:t>
            </w:r>
          </w:p>
        </w:tc>
        <w:tc>
          <w:tcPr>
            <w:tcW w:w="1492" w:type="dxa"/>
            <w:vAlign w:val="center"/>
          </w:tcPr>
          <w:p w:rsidR="00A2216F" w:rsidRDefault="00D271ED">
            <w:pPr>
              <w:jc w:val="center"/>
            </w:pPr>
            <w:r>
              <w:rPr>
                <w:color w:val="000000"/>
                <w:sz w:val="24"/>
                <w:szCs w:val="24"/>
              </w:rPr>
              <w:t>1.01%</w:t>
            </w:r>
          </w:p>
        </w:tc>
        <w:tc>
          <w:tcPr>
            <w:tcW w:w="1194" w:type="dxa"/>
            <w:vAlign w:val="center"/>
          </w:tcPr>
          <w:p w:rsidR="00A2216F" w:rsidRDefault="00D271ED">
            <w:pPr>
              <w:jc w:val="center"/>
            </w:pPr>
            <w:r>
              <w:rPr>
                <w:color w:val="000000"/>
                <w:sz w:val="24"/>
                <w:szCs w:val="24"/>
              </w:rPr>
              <w:t>-10.44%</w:t>
            </w:r>
          </w:p>
        </w:tc>
        <w:tc>
          <w:tcPr>
            <w:tcW w:w="898" w:type="dxa"/>
            <w:vAlign w:val="center"/>
          </w:tcPr>
          <w:p w:rsidR="00A2216F" w:rsidRDefault="00D271ED">
            <w:pPr>
              <w:jc w:val="center"/>
            </w:pPr>
            <w:r>
              <w:rPr>
                <w:color w:val="000000"/>
                <w:sz w:val="24"/>
                <w:szCs w:val="24"/>
              </w:rPr>
              <w:t>0.37%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2216F">
        <w:trPr>
          <w:jc w:val="center"/>
        </w:trPr>
        <w:tc>
          <w:tcPr>
            <w:tcW w:w="846" w:type="dxa"/>
            <w:vAlign w:val="center"/>
          </w:tcPr>
          <w:p w:rsidR="00A2216F" w:rsidRDefault="00D271ED">
            <w:pPr>
              <w:jc w:val="center"/>
            </w:pPr>
            <w:r>
              <w:rPr>
                <w:color w:val="000000"/>
                <w:sz w:val="24"/>
                <w:szCs w:val="24"/>
              </w:rPr>
              <w:t>管华雨</w:t>
            </w:r>
          </w:p>
        </w:tc>
        <w:tc>
          <w:tcPr>
            <w:tcW w:w="845" w:type="dxa"/>
            <w:vAlign w:val="center"/>
          </w:tcPr>
          <w:p w:rsidR="00A2216F" w:rsidRDefault="00D271ED">
            <w:pPr>
              <w:jc w:val="center"/>
            </w:pPr>
            <w:r>
              <w:rPr>
                <w:color w:val="000000"/>
                <w:sz w:val="24"/>
                <w:szCs w:val="24"/>
              </w:rPr>
              <w:t>本基金、交银施罗德成长股票证券投资基金，公司权益投资总监</w:t>
            </w:r>
          </w:p>
        </w:tc>
        <w:tc>
          <w:tcPr>
            <w:tcW w:w="1549" w:type="dxa"/>
            <w:vAlign w:val="center"/>
          </w:tcPr>
          <w:p w:rsidR="00A2216F" w:rsidRDefault="00D271ED">
            <w:pPr>
              <w:jc w:val="center"/>
            </w:pPr>
            <w:r>
              <w:rPr>
                <w:color w:val="000000"/>
                <w:sz w:val="24"/>
                <w:szCs w:val="24"/>
              </w:rPr>
              <w:t>2014-05-09</w:t>
            </w:r>
          </w:p>
        </w:tc>
        <w:tc>
          <w:tcPr>
            <w:tcW w:w="1548" w:type="dxa"/>
            <w:vAlign w:val="center"/>
          </w:tcPr>
          <w:p w:rsidR="00A2216F" w:rsidRDefault="00D271ED">
            <w:pPr>
              <w:jc w:val="center"/>
            </w:pPr>
            <w:r>
              <w:rPr>
                <w:color w:val="000000"/>
                <w:sz w:val="24"/>
                <w:szCs w:val="24"/>
              </w:rPr>
              <w:t>-</w:t>
            </w:r>
          </w:p>
        </w:tc>
        <w:tc>
          <w:tcPr>
            <w:tcW w:w="1407" w:type="dxa"/>
            <w:vAlign w:val="center"/>
          </w:tcPr>
          <w:p w:rsidR="00A2216F" w:rsidRDefault="00D271ED">
            <w:pPr>
              <w:jc w:val="center"/>
            </w:pPr>
            <w:r>
              <w:rPr>
                <w:color w:val="000000"/>
                <w:sz w:val="24"/>
                <w:szCs w:val="24"/>
              </w:rPr>
              <w:t>12</w:t>
            </w:r>
            <w:r>
              <w:rPr>
                <w:color w:val="000000"/>
                <w:sz w:val="24"/>
                <w:szCs w:val="24"/>
              </w:rPr>
              <w:t>年</w:t>
            </w:r>
          </w:p>
        </w:tc>
        <w:tc>
          <w:tcPr>
            <w:tcW w:w="2673" w:type="dxa"/>
            <w:vAlign w:val="center"/>
          </w:tcPr>
          <w:p w:rsidR="00A2216F" w:rsidRDefault="00D271ED">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5</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日担任交银施罗德成长</w:t>
            </w:r>
            <w:r>
              <w:rPr>
                <w:color w:val="000000"/>
                <w:sz w:val="24"/>
                <w:szCs w:val="24"/>
              </w:rPr>
              <w:t>30</w:t>
            </w:r>
            <w:r>
              <w:rPr>
                <w:color w:val="000000"/>
                <w:sz w:val="24"/>
                <w:szCs w:val="24"/>
              </w:rPr>
              <w:t>股票型证券投资基金基金经理，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日担任交银施罗德趋势优先股票证券投资基金基金经理。</w:t>
            </w:r>
          </w:p>
        </w:tc>
      </w:tr>
      <w:tr w:rsidR="00A2216F">
        <w:trPr>
          <w:jc w:val="center"/>
        </w:trPr>
        <w:tc>
          <w:tcPr>
            <w:tcW w:w="846" w:type="dxa"/>
            <w:vAlign w:val="center"/>
          </w:tcPr>
          <w:p w:rsidR="00A2216F" w:rsidRDefault="00D271ED">
            <w:pPr>
              <w:jc w:val="center"/>
            </w:pPr>
            <w:r>
              <w:rPr>
                <w:color w:val="000000"/>
                <w:sz w:val="24"/>
                <w:szCs w:val="24"/>
              </w:rPr>
              <w:t>王崇</w:t>
            </w:r>
          </w:p>
        </w:tc>
        <w:tc>
          <w:tcPr>
            <w:tcW w:w="845" w:type="dxa"/>
            <w:vAlign w:val="center"/>
          </w:tcPr>
          <w:p w:rsidR="00A2216F" w:rsidRDefault="00D271ED">
            <w:pPr>
              <w:jc w:val="center"/>
            </w:pPr>
            <w:r>
              <w:rPr>
                <w:color w:val="000000"/>
                <w:sz w:val="24"/>
                <w:szCs w:val="24"/>
              </w:rPr>
              <w:t>本基金的基金经理</w:t>
            </w:r>
          </w:p>
        </w:tc>
        <w:tc>
          <w:tcPr>
            <w:tcW w:w="1549" w:type="dxa"/>
            <w:vAlign w:val="center"/>
          </w:tcPr>
          <w:p w:rsidR="00A2216F" w:rsidRDefault="00D271ED">
            <w:pPr>
              <w:jc w:val="center"/>
            </w:pPr>
            <w:r>
              <w:rPr>
                <w:color w:val="000000"/>
                <w:sz w:val="24"/>
                <w:szCs w:val="24"/>
              </w:rPr>
              <w:t>2014-10-22</w:t>
            </w:r>
          </w:p>
        </w:tc>
        <w:tc>
          <w:tcPr>
            <w:tcW w:w="1548" w:type="dxa"/>
            <w:vAlign w:val="center"/>
          </w:tcPr>
          <w:p w:rsidR="00A2216F" w:rsidRDefault="00D271ED">
            <w:pPr>
              <w:jc w:val="center"/>
            </w:pPr>
            <w:r>
              <w:rPr>
                <w:color w:val="000000"/>
                <w:sz w:val="24"/>
                <w:szCs w:val="24"/>
              </w:rPr>
              <w:t>-</w:t>
            </w:r>
          </w:p>
        </w:tc>
        <w:tc>
          <w:tcPr>
            <w:tcW w:w="1407" w:type="dxa"/>
            <w:vAlign w:val="center"/>
          </w:tcPr>
          <w:p w:rsidR="00A2216F" w:rsidRDefault="00D271ED">
            <w:pPr>
              <w:jc w:val="center"/>
            </w:pPr>
            <w:r>
              <w:rPr>
                <w:color w:val="000000"/>
                <w:sz w:val="24"/>
                <w:szCs w:val="24"/>
              </w:rPr>
              <w:t>6</w:t>
            </w:r>
            <w:r>
              <w:rPr>
                <w:color w:val="000000"/>
                <w:sz w:val="24"/>
                <w:szCs w:val="24"/>
              </w:rPr>
              <w:t>年</w:t>
            </w:r>
          </w:p>
        </w:tc>
        <w:tc>
          <w:tcPr>
            <w:tcW w:w="2673" w:type="dxa"/>
            <w:vAlign w:val="center"/>
          </w:tcPr>
          <w:p w:rsidR="00A2216F" w:rsidRDefault="00D271ED">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2216F" w:rsidRDefault="00D271E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2216F" w:rsidRDefault="00D271E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2216F" w:rsidRDefault="00D271E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2216F" w:rsidRDefault="00D271ED">
      <w:pPr>
        <w:spacing w:before="29" w:line="288" w:lineRule="auto"/>
        <w:ind w:firstLineChars="200" w:firstLine="480"/>
        <w:rPr>
          <w:color w:val="000000"/>
          <w:sz w:val="24"/>
          <w:szCs w:val="24"/>
        </w:rPr>
      </w:pPr>
      <w:r>
        <w:rPr>
          <w:color w:val="000000"/>
          <w:sz w:val="24"/>
          <w:szCs w:val="24"/>
        </w:rPr>
        <w:t>2014</w:t>
      </w:r>
      <w:r>
        <w:rPr>
          <w:color w:val="000000"/>
          <w:sz w:val="24"/>
          <w:szCs w:val="24"/>
        </w:rPr>
        <w:t>年四季度，中国经济整体维持疲弱状态，经济下行压力加大，与此同时政府对冲经济下行的积极财政和货币政策不断出台。在积极财政政策和偏宽松的货币政策刺激下，在国企改革美好前景预期下，</w:t>
      </w:r>
      <w:r>
        <w:rPr>
          <w:color w:val="000000"/>
          <w:sz w:val="24"/>
          <w:szCs w:val="24"/>
        </w:rPr>
        <w:t>A</w:t>
      </w:r>
      <w:r>
        <w:rPr>
          <w:color w:val="000000"/>
          <w:sz w:val="24"/>
          <w:szCs w:val="24"/>
        </w:rPr>
        <w:t>股市场在四季度尤其是</w:t>
      </w:r>
      <w:r>
        <w:rPr>
          <w:color w:val="000000"/>
          <w:sz w:val="24"/>
          <w:szCs w:val="24"/>
        </w:rPr>
        <w:t>11</w:t>
      </w:r>
      <w:r>
        <w:rPr>
          <w:color w:val="000000"/>
          <w:sz w:val="24"/>
          <w:szCs w:val="24"/>
        </w:rPr>
        <w:t>月下旬降息后，经历了一波迅速而猛烈的上涨，其中周期类大型国有企业股票涨幅居前，创业板为首的中小市值股票冲高后回落明显。行业和风格方面，以金融、地产、交运、钢铁为首的传统周期低估值行业大幅跑赢</w:t>
      </w:r>
      <w:r>
        <w:rPr>
          <w:color w:val="000000"/>
          <w:sz w:val="24"/>
          <w:szCs w:val="24"/>
        </w:rPr>
        <w:t>TMT</w:t>
      </w:r>
      <w:r>
        <w:rPr>
          <w:color w:val="000000"/>
          <w:sz w:val="24"/>
          <w:szCs w:val="24"/>
        </w:rPr>
        <w:t>和医药为首的新兴高估值行业。</w:t>
      </w:r>
    </w:p>
    <w:p w:rsidR="00A2216F" w:rsidRDefault="00D271ED">
      <w:pPr>
        <w:spacing w:before="29" w:line="288" w:lineRule="auto"/>
        <w:ind w:firstLineChars="200" w:firstLine="480"/>
        <w:rPr>
          <w:color w:val="000000"/>
          <w:sz w:val="24"/>
          <w:szCs w:val="24"/>
        </w:rPr>
      </w:pPr>
      <w:r>
        <w:rPr>
          <w:color w:val="000000"/>
          <w:sz w:val="24"/>
          <w:szCs w:val="24"/>
        </w:rPr>
        <w:t>本基金</w:t>
      </w:r>
      <w:r>
        <w:rPr>
          <w:color w:val="000000"/>
          <w:sz w:val="24"/>
          <w:szCs w:val="24"/>
        </w:rPr>
        <w:t>2014</w:t>
      </w:r>
      <w:r>
        <w:rPr>
          <w:color w:val="000000"/>
          <w:sz w:val="24"/>
          <w:szCs w:val="24"/>
        </w:rPr>
        <w:t>年</w:t>
      </w:r>
      <w:r>
        <w:rPr>
          <w:color w:val="000000"/>
          <w:sz w:val="24"/>
          <w:szCs w:val="24"/>
        </w:rPr>
        <w:t>11</w:t>
      </w:r>
      <w:r>
        <w:rPr>
          <w:color w:val="000000"/>
          <w:sz w:val="24"/>
          <w:szCs w:val="24"/>
        </w:rPr>
        <w:t>月</w:t>
      </w:r>
      <w:r>
        <w:rPr>
          <w:color w:val="000000"/>
          <w:sz w:val="24"/>
          <w:szCs w:val="24"/>
        </w:rPr>
        <w:t>8</w:t>
      </w:r>
      <w:r>
        <w:rPr>
          <w:color w:val="000000"/>
          <w:sz w:val="24"/>
          <w:szCs w:val="24"/>
        </w:rPr>
        <w:t>号完成新基金建仓，总体风格以具有良好成长前景和盈利增速的行业和个股为主。虽然持有的地产类个股本季度表现较强，但总体仓位仍旧大幅偏向成长类个股，金融、交运、钢铁等低估值板块配置较少，本季度虽然取得绝对收益，但未能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中国经济下行压力仍旧没有消除，甚至在相当长的一段时间内，经济都面临较大的通缩压力和下行风险，同时积极财政政策和中性偏松的货币政策有望延续。在不发生大规模金融风险、中长期利率预期下行、政府反周期政策对经济托底背景下，虽然企业盈利增速面临一定的回落压力，但预计股票市场总体风险不大，市场有望保持活跃的宏观大逻辑不变。预计受益于原材料价格回落的部分中游行业盈利有望得到明显改善，同时国企改革以及互联网对传统行业的改造有望带来继续性的投资机会。本基金继续坚持在一定估值安全边际的前提下，投资具有良好成长前景的行业和个股，并适度参与受益于政策放松的周期类个股的阶段性投资，努力为投资者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1.086</w:t>
      </w:r>
      <w:r w:rsidRPr="00414345">
        <w:rPr>
          <w:color w:val="000000"/>
          <w:sz w:val="24"/>
          <w:szCs w:val="24"/>
        </w:rPr>
        <w:t>元，本报告期份额净值增长率为</w:t>
      </w:r>
      <w:r w:rsidRPr="00414345">
        <w:rPr>
          <w:color w:val="000000"/>
          <w:sz w:val="24"/>
          <w:szCs w:val="24"/>
        </w:rPr>
        <w:t>3.63%</w:t>
      </w:r>
      <w:r w:rsidRPr="00414345">
        <w:rPr>
          <w:color w:val="000000"/>
          <w:sz w:val="24"/>
          <w:szCs w:val="24"/>
        </w:rPr>
        <w:t>，同期业绩比较基准增长率为</w:t>
      </w:r>
      <w:r w:rsidRPr="00414345">
        <w:rPr>
          <w:color w:val="000000"/>
          <w:sz w:val="24"/>
          <w:szCs w:val="24"/>
        </w:rPr>
        <w:t>14.07%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C115B">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152,569,774.45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152,569,774.45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14,029,666.80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14,029,666.80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12,655,400.82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6.95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2,788,965.91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182,043,807.98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45,873,456.95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13,626,837.40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4,132,361.55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7,305,096.91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27,248,666.83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29,137,283.16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8,824,786.00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10,311,256.20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6,110,029.45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152,569,774.45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2216F">
        <w:trPr>
          <w:jc w:val="center"/>
        </w:trPr>
        <w:tc>
          <w:tcPr>
            <w:tcW w:w="855" w:type="dxa"/>
            <w:vAlign w:val="center"/>
          </w:tcPr>
          <w:p w:rsidR="00A2216F" w:rsidRDefault="00D271ED">
            <w:pPr>
              <w:jc w:val="center"/>
            </w:pPr>
            <w:r>
              <w:rPr>
                <w:color w:val="000000"/>
                <w:sz w:val="24"/>
                <w:szCs w:val="24"/>
              </w:rPr>
              <w:t>1</w:t>
            </w:r>
          </w:p>
        </w:tc>
        <w:tc>
          <w:tcPr>
            <w:tcW w:w="1334" w:type="dxa"/>
            <w:vAlign w:val="center"/>
          </w:tcPr>
          <w:p w:rsidR="00A2216F" w:rsidRDefault="00D271ED">
            <w:pPr>
              <w:jc w:val="center"/>
            </w:pPr>
            <w:r>
              <w:rPr>
                <w:color w:val="000000"/>
                <w:sz w:val="24"/>
                <w:szCs w:val="24"/>
              </w:rPr>
              <w:t>601318</w:t>
            </w:r>
          </w:p>
        </w:tc>
        <w:tc>
          <w:tcPr>
            <w:tcW w:w="1777" w:type="dxa"/>
            <w:vAlign w:val="center"/>
          </w:tcPr>
          <w:p w:rsidR="00A2216F" w:rsidRDefault="00D271ED">
            <w:pPr>
              <w:jc w:val="center"/>
            </w:pPr>
            <w:r>
              <w:rPr>
                <w:color w:val="000000"/>
                <w:sz w:val="24"/>
                <w:szCs w:val="24"/>
              </w:rPr>
              <w:t>中国平安</w:t>
            </w:r>
          </w:p>
        </w:tc>
        <w:tc>
          <w:tcPr>
            <w:tcW w:w="1334" w:type="dxa"/>
            <w:vAlign w:val="center"/>
          </w:tcPr>
          <w:p w:rsidR="00A2216F" w:rsidRDefault="00D271ED">
            <w:pPr>
              <w:jc w:val="right"/>
            </w:pPr>
            <w:r>
              <w:rPr>
                <w:color w:val="000000"/>
                <w:sz w:val="24"/>
                <w:szCs w:val="24"/>
              </w:rPr>
              <w:t>176,843</w:t>
            </w:r>
          </w:p>
        </w:tc>
        <w:tc>
          <w:tcPr>
            <w:tcW w:w="1924" w:type="dxa"/>
            <w:vAlign w:val="center"/>
          </w:tcPr>
          <w:p w:rsidR="00A2216F" w:rsidRDefault="00D271ED">
            <w:pPr>
              <w:jc w:val="right"/>
            </w:pPr>
            <w:r>
              <w:rPr>
                <w:color w:val="000000"/>
                <w:sz w:val="24"/>
                <w:szCs w:val="24"/>
              </w:rPr>
              <w:t>13,211,940.53</w:t>
            </w:r>
          </w:p>
        </w:tc>
        <w:tc>
          <w:tcPr>
            <w:tcW w:w="1644" w:type="dxa"/>
            <w:vAlign w:val="center"/>
          </w:tcPr>
          <w:p w:rsidR="00A2216F" w:rsidRDefault="00D271ED">
            <w:pPr>
              <w:jc w:val="right"/>
            </w:pPr>
            <w:r>
              <w:rPr>
                <w:color w:val="000000"/>
                <w:sz w:val="24"/>
                <w:szCs w:val="24"/>
              </w:rPr>
              <w:t>7.40</w:t>
            </w:r>
          </w:p>
        </w:tc>
      </w:tr>
      <w:tr w:rsidR="00A2216F">
        <w:trPr>
          <w:jc w:val="center"/>
        </w:trPr>
        <w:tc>
          <w:tcPr>
            <w:tcW w:w="855" w:type="dxa"/>
            <w:vAlign w:val="center"/>
          </w:tcPr>
          <w:p w:rsidR="00A2216F" w:rsidRDefault="00D271ED">
            <w:pPr>
              <w:jc w:val="center"/>
            </w:pPr>
            <w:r>
              <w:rPr>
                <w:color w:val="000000"/>
                <w:sz w:val="24"/>
                <w:szCs w:val="24"/>
              </w:rPr>
              <w:t>2</w:t>
            </w:r>
          </w:p>
        </w:tc>
        <w:tc>
          <w:tcPr>
            <w:tcW w:w="1334" w:type="dxa"/>
            <w:vAlign w:val="center"/>
          </w:tcPr>
          <w:p w:rsidR="00A2216F" w:rsidRDefault="00D271ED">
            <w:pPr>
              <w:jc w:val="center"/>
            </w:pPr>
            <w:r>
              <w:rPr>
                <w:color w:val="000000"/>
                <w:sz w:val="24"/>
                <w:szCs w:val="24"/>
              </w:rPr>
              <w:t>600048</w:t>
            </w:r>
          </w:p>
        </w:tc>
        <w:tc>
          <w:tcPr>
            <w:tcW w:w="1777" w:type="dxa"/>
            <w:vAlign w:val="center"/>
          </w:tcPr>
          <w:p w:rsidR="00A2216F" w:rsidRDefault="00D271ED">
            <w:pPr>
              <w:jc w:val="center"/>
            </w:pPr>
            <w:r>
              <w:rPr>
                <w:color w:val="000000"/>
                <w:sz w:val="24"/>
                <w:szCs w:val="24"/>
              </w:rPr>
              <w:t>保利地产</w:t>
            </w:r>
          </w:p>
        </w:tc>
        <w:tc>
          <w:tcPr>
            <w:tcW w:w="1334" w:type="dxa"/>
            <w:vAlign w:val="center"/>
          </w:tcPr>
          <w:p w:rsidR="00A2216F" w:rsidRDefault="00D271ED">
            <w:pPr>
              <w:jc w:val="right"/>
            </w:pPr>
            <w:r>
              <w:rPr>
                <w:color w:val="000000"/>
                <w:sz w:val="24"/>
                <w:szCs w:val="24"/>
              </w:rPr>
              <w:t>1,140,056</w:t>
            </w:r>
          </w:p>
        </w:tc>
        <w:tc>
          <w:tcPr>
            <w:tcW w:w="1924" w:type="dxa"/>
            <w:vAlign w:val="center"/>
          </w:tcPr>
          <w:p w:rsidR="00A2216F" w:rsidRDefault="00D271ED">
            <w:pPr>
              <w:jc w:val="right"/>
            </w:pPr>
            <w:r>
              <w:rPr>
                <w:color w:val="000000"/>
                <w:sz w:val="24"/>
                <w:szCs w:val="24"/>
              </w:rPr>
              <w:t>12,335,405.92</w:t>
            </w:r>
          </w:p>
        </w:tc>
        <w:tc>
          <w:tcPr>
            <w:tcW w:w="1644" w:type="dxa"/>
            <w:vAlign w:val="center"/>
          </w:tcPr>
          <w:p w:rsidR="00A2216F" w:rsidRDefault="00D271ED">
            <w:pPr>
              <w:jc w:val="right"/>
            </w:pPr>
            <w:r>
              <w:rPr>
                <w:color w:val="000000"/>
                <w:sz w:val="24"/>
                <w:szCs w:val="24"/>
              </w:rPr>
              <w:t>6.91</w:t>
            </w:r>
          </w:p>
        </w:tc>
      </w:tr>
      <w:tr w:rsidR="00A2216F">
        <w:trPr>
          <w:jc w:val="center"/>
        </w:trPr>
        <w:tc>
          <w:tcPr>
            <w:tcW w:w="855" w:type="dxa"/>
            <w:vAlign w:val="center"/>
          </w:tcPr>
          <w:p w:rsidR="00A2216F" w:rsidRDefault="00D271ED">
            <w:pPr>
              <w:jc w:val="center"/>
            </w:pPr>
            <w:r>
              <w:rPr>
                <w:color w:val="000000"/>
                <w:sz w:val="24"/>
                <w:szCs w:val="24"/>
              </w:rPr>
              <w:t>3</w:t>
            </w:r>
          </w:p>
        </w:tc>
        <w:tc>
          <w:tcPr>
            <w:tcW w:w="1334" w:type="dxa"/>
            <w:vAlign w:val="center"/>
          </w:tcPr>
          <w:p w:rsidR="00A2216F" w:rsidRDefault="00D271ED">
            <w:pPr>
              <w:jc w:val="center"/>
            </w:pPr>
            <w:r>
              <w:rPr>
                <w:color w:val="000000"/>
                <w:sz w:val="24"/>
                <w:szCs w:val="24"/>
              </w:rPr>
              <w:t>002081</w:t>
            </w:r>
          </w:p>
        </w:tc>
        <w:tc>
          <w:tcPr>
            <w:tcW w:w="1777" w:type="dxa"/>
            <w:vAlign w:val="center"/>
          </w:tcPr>
          <w:p w:rsidR="00A2216F" w:rsidRDefault="00D271ED">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A2216F" w:rsidRDefault="00D271ED">
            <w:pPr>
              <w:jc w:val="right"/>
            </w:pPr>
            <w:r>
              <w:rPr>
                <w:color w:val="000000"/>
                <w:sz w:val="24"/>
                <w:szCs w:val="24"/>
              </w:rPr>
              <w:t>723,880</w:t>
            </w:r>
          </w:p>
        </w:tc>
        <w:tc>
          <w:tcPr>
            <w:tcW w:w="1924" w:type="dxa"/>
            <w:vAlign w:val="center"/>
          </w:tcPr>
          <w:p w:rsidR="00A2216F" w:rsidRDefault="00D271ED">
            <w:pPr>
              <w:jc w:val="right"/>
            </w:pPr>
            <w:r>
              <w:rPr>
                <w:color w:val="000000"/>
                <w:sz w:val="24"/>
                <w:szCs w:val="24"/>
              </w:rPr>
              <w:t>12,161,184.00</w:t>
            </w:r>
          </w:p>
        </w:tc>
        <w:tc>
          <w:tcPr>
            <w:tcW w:w="1644" w:type="dxa"/>
            <w:vAlign w:val="center"/>
          </w:tcPr>
          <w:p w:rsidR="00A2216F" w:rsidRDefault="00D271ED">
            <w:pPr>
              <w:jc w:val="right"/>
            </w:pPr>
            <w:r>
              <w:rPr>
                <w:color w:val="000000"/>
                <w:sz w:val="24"/>
                <w:szCs w:val="24"/>
              </w:rPr>
              <w:t>6.81</w:t>
            </w:r>
          </w:p>
        </w:tc>
      </w:tr>
      <w:tr w:rsidR="00A2216F">
        <w:trPr>
          <w:jc w:val="center"/>
        </w:trPr>
        <w:tc>
          <w:tcPr>
            <w:tcW w:w="855" w:type="dxa"/>
            <w:vAlign w:val="center"/>
          </w:tcPr>
          <w:p w:rsidR="00A2216F" w:rsidRDefault="00D271ED">
            <w:pPr>
              <w:jc w:val="center"/>
            </w:pPr>
            <w:r>
              <w:rPr>
                <w:color w:val="000000"/>
                <w:sz w:val="24"/>
                <w:szCs w:val="24"/>
              </w:rPr>
              <w:t>4</w:t>
            </w:r>
          </w:p>
        </w:tc>
        <w:tc>
          <w:tcPr>
            <w:tcW w:w="1334" w:type="dxa"/>
            <w:vAlign w:val="center"/>
          </w:tcPr>
          <w:p w:rsidR="00A2216F" w:rsidRDefault="00D271ED">
            <w:pPr>
              <w:jc w:val="center"/>
            </w:pPr>
            <w:r>
              <w:rPr>
                <w:color w:val="000000"/>
                <w:sz w:val="24"/>
                <w:szCs w:val="24"/>
              </w:rPr>
              <w:t>300347</w:t>
            </w:r>
          </w:p>
        </w:tc>
        <w:tc>
          <w:tcPr>
            <w:tcW w:w="1777" w:type="dxa"/>
            <w:vAlign w:val="center"/>
          </w:tcPr>
          <w:p w:rsidR="00A2216F" w:rsidRDefault="00D271ED">
            <w:pPr>
              <w:jc w:val="center"/>
            </w:pPr>
            <w:r>
              <w:rPr>
                <w:color w:val="000000"/>
                <w:sz w:val="24"/>
                <w:szCs w:val="24"/>
              </w:rPr>
              <w:t>泰格医药</w:t>
            </w:r>
          </w:p>
        </w:tc>
        <w:tc>
          <w:tcPr>
            <w:tcW w:w="1334" w:type="dxa"/>
            <w:vAlign w:val="center"/>
          </w:tcPr>
          <w:p w:rsidR="00A2216F" w:rsidRDefault="00D271ED">
            <w:pPr>
              <w:jc w:val="right"/>
            </w:pPr>
            <w:r>
              <w:rPr>
                <w:color w:val="000000"/>
                <w:sz w:val="24"/>
                <w:szCs w:val="24"/>
              </w:rPr>
              <w:t>350,723</w:t>
            </w:r>
          </w:p>
        </w:tc>
        <w:tc>
          <w:tcPr>
            <w:tcW w:w="1924" w:type="dxa"/>
            <w:vAlign w:val="center"/>
          </w:tcPr>
          <w:p w:rsidR="00A2216F" w:rsidRDefault="00D271ED">
            <w:pPr>
              <w:jc w:val="right"/>
            </w:pPr>
            <w:r>
              <w:rPr>
                <w:color w:val="000000"/>
                <w:sz w:val="24"/>
                <w:szCs w:val="24"/>
              </w:rPr>
              <w:t>10,311,256.20</w:t>
            </w:r>
          </w:p>
        </w:tc>
        <w:tc>
          <w:tcPr>
            <w:tcW w:w="1644" w:type="dxa"/>
            <w:vAlign w:val="center"/>
          </w:tcPr>
          <w:p w:rsidR="00A2216F" w:rsidRDefault="00D271ED">
            <w:pPr>
              <w:jc w:val="right"/>
            </w:pPr>
            <w:r>
              <w:rPr>
                <w:color w:val="000000"/>
                <w:sz w:val="24"/>
                <w:szCs w:val="24"/>
              </w:rPr>
              <w:t>5.78</w:t>
            </w:r>
          </w:p>
        </w:tc>
      </w:tr>
      <w:tr w:rsidR="00A2216F">
        <w:trPr>
          <w:jc w:val="center"/>
        </w:trPr>
        <w:tc>
          <w:tcPr>
            <w:tcW w:w="855" w:type="dxa"/>
            <w:vAlign w:val="center"/>
          </w:tcPr>
          <w:p w:rsidR="00A2216F" w:rsidRDefault="00D271ED">
            <w:pPr>
              <w:jc w:val="center"/>
            </w:pPr>
            <w:r>
              <w:rPr>
                <w:color w:val="000000"/>
                <w:sz w:val="24"/>
                <w:szCs w:val="24"/>
              </w:rPr>
              <w:t>5</w:t>
            </w:r>
          </w:p>
        </w:tc>
        <w:tc>
          <w:tcPr>
            <w:tcW w:w="1334" w:type="dxa"/>
            <w:vAlign w:val="center"/>
          </w:tcPr>
          <w:p w:rsidR="00A2216F" w:rsidRDefault="00D271ED">
            <w:pPr>
              <w:jc w:val="center"/>
            </w:pPr>
            <w:r>
              <w:rPr>
                <w:color w:val="000000"/>
                <w:sz w:val="24"/>
                <w:szCs w:val="24"/>
              </w:rPr>
              <w:t>002568</w:t>
            </w:r>
          </w:p>
        </w:tc>
        <w:tc>
          <w:tcPr>
            <w:tcW w:w="1777" w:type="dxa"/>
            <w:vAlign w:val="center"/>
          </w:tcPr>
          <w:p w:rsidR="00A2216F" w:rsidRDefault="00D271ED">
            <w:pPr>
              <w:jc w:val="center"/>
            </w:pPr>
            <w:r>
              <w:rPr>
                <w:color w:val="000000"/>
                <w:sz w:val="24"/>
                <w:szCs w:val="24"/>
              </w:rPr>
              <w:t>百润股份</w:t>
            </w:r>
          </w:p>
        </w:tc>
        <w:tc>
          <w:tcPr>
            <w:tcW w:w="1334" w:type="dxa"/>
            <w:vAlign w:val="center"/>
          </w:tcPr>
          <w:p w:rsidR="00A2216F" w:rsidRDefault="00D271ED">
            <w:pPr>
              <w:jc w:val="right"/>
            </w:pPr>
            <w:r>
              <w:rPr>
                <w:color w:val="000000"/>
                <w:sz w:val="24"/>
                <w:szCs w:val="24"/>
              </w:rPr>
              <w:t>200,000</w:t>
            </w:r>
          </w:p>
        </w:tc>
        <w:tc>
          <w:tcPr>
            <w:tcW w:w="1924" w:type="dxa"/>
            <w:vAlign w:val="center"/>
          </w:tcPr>
          <w:p w:rsidR="00A2216F" w:rsidRDefault="00D271ED">
            <w:pPr>
              <w:jc w:val="right"/>
            </w:pPr>
            <w:r>
              <w:rPr>
                <w:color w:val="000000"/>
                <w:sz w:val="24"/>
                <w:szCs w:val="24"/>
              </w:rPr>
              <w:t>8,144,000.00</w:t>
            </w:r>
          </w:p>
        </w:tc>
        <w:tc>
          <w:tcPr>
            <w:tcW w:w="1644" w:type="dxa"/>
            <w:vAlign w:val="center"/>
          </w:tcPr>
          <w:p w:rsidR="00A2216F" w:rsidRDefault="00D271ED">
            <w:pPr>
              <w:jc w:val="right"/>
            </w:pPr>
            <w:r>
              <w:rPr>
                <w:color w:val="000000"/>
                <w:sz w:val="24"/>
                <w:szCs w:val="24"/>
              </w:rPr>
              <w:t>4.56</w:t>
            </w:r>
          </w:p>
        </w:tc>
      </w:tr>
      <w:tr w:rsidR="00A2216F">
        <w:trPr>
          <w:jc w:val="center"/>
        </w:trPr>
        <w:tc>
          <w:tcPr>
            <w:tcW w:w="855" w:type="dxa"/>
            <w:vAlign w:val="center"/>
          </w:tcPr>
          <w:p w:rsidR="00A2216F" w:rsidRDefault="00D271ED">
            <w:pPr>
              <w:jc w:val="center"/>
            </w:pPr>
            <w:r>
              <w:rPr>
                <w:color w:val="000000"/>
                <w:sz w:val="24"/>
                <w:szCs w:val="24"/>
              </w:rPr>
              <w:t>6</w:t>
            </w:r>
          </w:p>
        </w:tc>
        <w:tc>
          <w:tcPr>
            <w:tcW w:w="1334" w:type="dxa"/>
            <w:vAlign w:val="center"/>
          </w:tcPr>
          <w:p w:rsidR="00A2216F" w:rsidRDefault="00D271ED">
            <w:pPr>
              <w:jc w:val="center"/>
            </w:pPr>
            <w:r>
              <w:rPr>
                <w:color w:val="000000"/>
                <w:sz w:val="24"/>
                <w:szCs w:val="24"/>
              </w:rPr>
              <w:t>600109</w:t>
            </w:r>
          </w:p>
        </w:tc>
        <w:tc>
          <w:tcPr>
            <w:tcW w:w="1777" w:type="dxa"/>
            <w:vAlign w:val="center"/>
          </w:tcPr>
          <w:p w:rsidR="00A2216F" w:rsidRDefault="00D271ED">
            <w:pPr>
              <w:jc w:val="center"/>
            </w:pPr>
            <w:r>
              <w:rPr>
                <w:color w:val="000000"/>
                <w:sz w:val="24"/>
                <w:szCs w:val="24"/>
              </w:rPr>
              <w:t>国金证券</w:t>
            </w:r>
          </w:p>
        </w:tc>
        <w:tc>
          <w:tcPr>
            <w:tcW w:w="1334" w:type="dxa"/>
            <w:vAlign w:val="center"/>
          </w:tcPr>
          <w:p w:rsidR="00A2216F" w:rsidRDefault="00D271ED">
            <w:pPr>
              <w:jc w:val="right"/>
            </w:pPr>
            <w:r>
              <w:rPr>
                <w:color w:val="000000"/>
                <w:sz w:val="24"/>
                <w:szCs w:val="24"/>
              </w:rPr>
              <w:t>371,970</w:t>
            </w:r>
          </w:p>
        </w:tc>
        <w:tc>
          <w:tcPr>
            <w:tcW w:w="1924" w:type="dxa"/>
            <w:vAlign w:val="center"/>
          </w:tcPr>
          <w:p w:rsidR="00A2216F" w:rsidRDefault="00D271ED">
            <w:pPr>
              <w:jc w:val="right"/>
            </w:pPr>
            <w:r>
              <w:rPr>
                <w:color w:val="000000"/>
                <w:sz w:val="24"/>
                <w:szCs w:val="24"/>
              </w:rPr>
              <w:t>7,361,286.30</w:t>
            </w:r>
          </w:p>
        </w:tc>
        <w:tc>
          <w:tcPr>
            <w:tcW w:w="1644" w:type="dxa"/>
            <w:vAlign w:val="center"/>
          </w:tcPr>
          <w:p w:rsidR="00A2216F" w:rsidRDefault="00D271ED">
            <w:pPr>
              <w:jc w:val="right"/>
            </w:pPr>
            <w:r>
              <w:rPr>
                <w:color w:val="000000"/>
                <w:sz w:val="24"/>
                <w:szCs w:val="24"/>
              </w:rPr>
              <w:t>4.12</w:t>
            </w:r>
          </w:p>
        </w:tc>
      </w:tr>
      <w:tr w:rsidR="00A2216F">
        <w:trPr>
          <w:jc w:val="center"/>
        </w:trPr>
        <w:tc>
          <w:tcPr>
            <w:tcW w:w="855" w:type="dxa"/>
            <w:vAlign w:val="center"/>
          </w:tcPr>
          <w:p w:rsidR="00A2216F" w:rsidRDefault="00D271ED">
            <w:pPr>
              <w:jc w:val="center"/>
            </w:pPr>
            <w:r>
              <w:rPr>
                <w:color w:val="000000"/>
                <w:sz w:val="24"/>
                <w:szCs w:val="24"/>
              </w:rPr>
              <w:t>7</w:t>
            </w:r>
          </w:p>
        </w:tc>
        <w:tc>
          <w:tcPr>
            <w:tcW w:w="1334" w:type="dxa"/>
            <w:vAlign w:val="center"/>
          </w:tcPr>
          <w:p w:rsidR="00A2216F" w:rsidRDefault="00D271ED">
            <w:pPr>
              <w:jc w:val="center"/>
            </w:pPr>
            <w:r>
              <w:rPr>
                <w:color w:val="000000"/>
                <w:sz w:val="24"/>
                <w:szCs w:val="24"/>
              </w:rPr>
              <w:t>002180</w:t>
            </w:r>
          </w:p>
        </w:tc>
        <w:tc>
          <w:tcPr>
            <w:tcW w:w="1777" w:type="dxa"/>
            <w:vAlign w:val="center"/>
          </w:tcPr>
          <w:p w:rsidR="00A2216F" w:rsidRDefault="00D271ED">
            <w:pPr>
              <w:jc w:val="center"/>
            </w:pPr>
            <w:r>
              <w:rPr>
                <w:color w:val="000000"/>
                <w:sz w:val="24"/>
                <w:szCs w:val="24"/>
              </w:rPr>
              <w:t>艾派克</w:t>
            </w:r>
          </w:p>
        </w:tc>
        <w:tc>
          <w:tcPr>
            <w:tcW w:w="1334" w:type="dxa"/>
            <w:vAlign w:val="center"/>
          </w:tcPr>
          <w:p w:rsidR="00A2216F" w:rsidRDefault="00D271ED">
            <w:pPr>
              <w:jc w:val="right"/>
            </w:pPr>
            <w:r>
              <w:rPr>
                <w:color w:val="000000"/>
                <w:sz w:val="24"/>
                <w:szCs w:val="24"/>
              </w:rPr>
              <w:t>299,990</w:t>
            </w:r>
          </w:p>
        </w:tc>
        <w:tc>
          <w:tcPr>
            <w:tcW w:w="1924" w:type="dxa"/>
            <w:vAlign w:val="center"/>
          </w:tcPr>
          <w:p w:rsidR="00A2216F" w:rsidRDefault="00D271ED">
            <w:pPr>
              <w:jc w:val="right"/>
            </w:pPr>
            <w:r>
              <w:rPr>
                <w:color w:val="000000"/>
                <w:sz w:val="24"/>
                <w:szCs w:val="24"/>
              </w:rPr>
              <w:t>7,052,764.90</w:t>
            </w:r>
          </w:p>
        </w:tc>
        <w:tc>
          <w:tcPr>
            <w:tcW w:w="1644" w:type="dxa"/>
            <w:vAlign w:val="center"/>
          </w:tcPr>
          <w:p w:rsidR="00A2216F" w:rsidRDefault="00D271ED">
            <w:pPr>
              <w:jc w:val="right"/>
            </w:pPr>
            <w:r>
              <w:rPr>
                <w:color w:val="000000"/>
                <w:sz w:val="24"/>
                <w:szCs w:val="24"/>
              </w:rPr>
              <w:t>3.95</w:t>
            </w:r>
          </w:p>
        </w:tc>
      </w:tr>
      <w:tr w:rsidR="00A2216F">
        <w:trPr>
          <w:jc w:val="center"/>
        </w:trPr>
        <w:tc>
          <w:tcPr>
            <w:tcW w:w="855" w:type="dxa"/>
            <w:vAlign w:val="center"/>
          </w:tcPr>
          <w:p w:rsidR="00A2216F" w:rsidRDefault="00D271ED">
            <w:pPr>
              <w:jc w:val="center"/>
            </w:pPr>
            <w:r>
              <w:rPr>
                <w:color w:val="000000"/>
                <w:sz w:val="24"/>
                <w:szCs w:val="24"/>
              </w:rPr>
              <w:t>8</w:t>
            </w:r>
          </w:p>
        </w:tc>
        <w:tc>
          <w:tcPr>
            <w:tcW w:w="1334" w:type="dxa"/>
            <w:vAlign w:val="center"/>
          </w:tcPr>
          <w:p w:rsidR="00A2216F" w:rsidRDefault="00D271ED">
            <w:pPr>
              <w:jc w:val="center"/>
            </w:pPr>
            <w:r>
              <w:rPr>
                <w:color w:val="000000"/>
                <w:sz w:val="24"/>
                <w:szCs w:val="24"/>
              </w:rPr>
              <w:t>000786</w:t>
            </w:r>
          </w:p>
        </w:tc>
        <w:tc>
          <w:tcPr>
            <w:tcW w:w="1777" w:type="dxa"/>
            <w:vAlign w:val="center"/>
          </w:tcPr>
          <w:p w:rsidR="00A2216F" w:rsidRDefault="00D271ED">
            <w:pPr>
              <w:jc w:val="center"/>
            </w:pPr>
            <w:r>
              <w:rPr>
                <w:color w:val="000000"/>
                <w:sz w:val="24"/>
                <w:szCs w:val="24"/>
              </w:rPr>
              <w:t>北新建材</w:t>
            </w:r>
          </w:p>
        </w:tc>
        <w:tc>
          <w:tcPr>
            <w:tcW w:w="1334" w:type="dxa"/>
            <w:vAlign w:val="center"/>
          </w:tcPr>
          <w:p w:rsidR="00A2216F" w:rsidRDefault="00D271ED">
            <w:pPr>
              <w:jc w:val="right"/>
            </w:pPr>
            <w:r>
              <w:rPr>
                <w:color w:val="000000"/>
                <w:sz w:val="24"/>
                <w:szCs w:val="24"/>
              </w:rPr>
              <w:t>276,600</w:t>
            </w:r>
          </w:p>
        </w:tc>
        <w:tc>
          <w:tcPr>
            <w:tcW w:w="1924" w:type="dxa"/>
            <w:vAlign w:val="center"/>
          </w:tcPr>
          <w:p w:rsidR="00A2216F" w:rsidRDefault="00D271ED">
            <w:pPr>
              <w:jc w:val="right"/>
            </w:pPr>
            <w:r>
              <w:rPr>
                <w:color w:val="000000"/>
                <w:sz w:val="24"/>
                <w:szCs w:val="24"/>
              </w:rPr>
              <w:t>6,992,448.00</w:t>
            </w:r>
          </w:p>
        </w:tc>
        <w:tc>
          <w:tcPr>
            <w:tcW w:w="1644" w:type="dxa"/>
            <w:vAlign w:val="center"/>
          </w:tcPr>
          <w:p w:rsidR="00A2216F" w:rsidRDefault="00D271ED">
            <w:pPr>
              <w:jc w:val="right"/>
            </w:pPr>
            <w:r>
              <w:rPr>
                <w:color w:val="000000"/>
                <w:sz w:val="24"/>
                <w:szCs w:val="24"/>
              </w:rPr>
              <w:t>3.92</w:t>
            </w:r>
          </w:p>
        </w:tc>
      </w:tr>
      <w:tr w:rsidR="00A2216F">
        <w:trPr>
          <w:jc w:val="center"/>
        </w:trPr>
        <w:tc>
          <w:tcPr>
            <w:tcW w:w="855" w:type="dxa"/>
            <w:vAlign w:val="center"/>
          </w:tcPr>
          <w:p w:rsidR="00A2216F" w:rsidRDefault="00D271ED">
            <w:pPr>
              <w:jc w:val="center"/>
            </w:pPr>
            <w:r>
              <w:rPr>
                <w:color w:val="000000"/>
                <w:sz w:val="24"/>
                <w:szCs w:val="24"/>
              </w:rPr>
              <w:t>9</w:t>
            </w:r>
          </w:p>
        </w:tc>
        <w:tc>
          <w:tcPr>
            <w:tcW w:w="1334" w:type="dxa"/>
            <w:vAlign w:val="center"/>
          </w:tcPr>
          <w:p w:rsidR="00A2216F" w:rsidRDefault="00D271ED">
            <w:pPr>
              <w:jc w:val="center"/>
            </w:pPr>
            <w:r>
              <w:rPr>
                <w:color w:val="000000"/>
                <w:sz w:val="24"/>
                <w:szCs w:val="24"/>
              </w:rPr>
              <w:t>300005</w:t>
            </w:r>
          </w:p>
        </w:tc>
        <w:tc>
          <w:tcPr>
            <w:tcW w:w="1777" w:type="dxa"/>
            <w:vAlign w:val="center"/>
          </w:tcPr>
          <w:p w:rsidR="00A2216F" w:rsidRDefault="00D271ED">
            <w:pPr>
              <w:jc w:val="center"/>
            </w:pPr>
            <w:r>
              <w:rPr>
                <w:color w:val="000000"/>
                <w:sz w:val="24"/>
                <w:szCs w:val="24"/>
              </w:rPr>
              <w:t>探路者</w:t>
            </w:r>
          </w:p>
        </w:tc>
        <w:tc>
          <w:tcPr>
            <w:tcW w:w="1334" w:type="dxa"/>
            <w:vAlign w:val="center"/>
          </w:tcPr>
          <w:p w:rsidR="00A2216F" w:rsidRDefault="00D271ED">
            <w:pPr>
              <w:jc w:val="right"/>
            </w:pPr>
            <w:r>
              <w:rPr>
                <w:color w:val="000000"/>
                <w:sz w:val="24"/>
                <w:szCs w:val="24"/>
              </w:rPr>
              <w:t>328,000</w:t>
            </w:r>
          </w:p>
        </w:tc>
        <w:tc>
          <w:tcPr>
            <w:tcW w:w="1924" w:type="dxa"/>
            <w:vAlign w:val="center"/>
          </w:tcPr>
          <w:p w:rsidR="00A2216F" w:rsidRDefault="00D271ED">
            <w:pPr>
              <w:jc w:val="right"/>
            </w:pPr>
            <w:r>
              <w:rPr>
                <w:color w:val="000000"/>
                <w:sz w:val="24"/>
                <w:szCs w:val="24"/>
              </w:rPr>
              <w:t>6,087,680.00</w:t>
            </w:r>
          </w:p>
        </w:tc>
        <w:tc>
          <w:tcPr>
            <w:tcW w:w="1644" w:type="dxa"/>
            <w:vAlign w:val="center"/>
          </w:tcPr>
          <w:p w:rsidR="00A2216F" w:rsidRDefault="00D271ED">
            <w:pPr>
              <w:jc w:val="right"/>
            </w:pPr>
            <w:r>
              <w:rPr>
                <w:color w:val="000000"/>
                <w:sz w:val="24"/>
                <w:szCs w:val="24"/>
              </w:rPr>
              <w:t>3.41</w:t>
            </w:r>
          </w:p>
        </w:tc>
      </w:tr>
      <w:tr w:rsidR="00A2216F">
        <w:trPr>
          <w:jc w:val="center"/>
        </w:trPr>
        <w:tc>
          <w:tcPr>
            <w:tcW w:w="855" w:type="dxa"/>
            <w:vAlign w:val="center"/>
          </w:tcPr>
          <w:p w:rsidR="00A2216F" w:rsidRDefault="00D271ED">
            <w:pPr>
              <w:jc w:val="center"/>
            </w:pPr>
            <w:r>
              <w:rPr>
                <w:color w:val="000000"/>
                <w:sz w:val="24"/>
                <w:szCs w:val="24"/>
              </w:rPr>
              <w:t>10</w:t>
            </w:r>
          </w:p>
        </w:tc>
        <w:tc>
          <w:tcPr>
            <w:tcW w:w="1334" w:type="dxa"/>
            <w:vAlign w:val="center"/>
          </w:tcPr>
          <w:p w:rsidR="00A2216F" w:rsidRDefault="00D271ED">
            <w:pPr>
              <w:jc w:val="center"/>
            </w:pPr>
            <w:r>
              <w:rPr>
                <w:color w:val="000000"/>
                <w:sz w:val="24"/>
                <w:szCs w:val="24"/>
              </w:rPr>
              <w:t>000927</w:t>
            </w:r>
          </w:p>
        </w:tc>
        <w:tc>
          <w:tcPr>
            <w:tcW w:w="1777" w:type="dxa"/>
            <w:vAlign w:val="center"/>
          </w:tcPr>
          <w:p w:rsidR="00A2216F" w:rsidRDefault="00D271ED">
            <w:pPr>
              <w:jc w:val="center"/>
            </w:pPr>
            <w:r>
              <w:rPr>
                <w:color w:val="000000"/>
                <w:sz w:val="24"/>
                <w:szCs w:val="24"/>
              </w:rPr>
              <w:t>一汽夏利</w:t>
            </w:r>
          </w:p>
        </w:tc>
        <w:tc>
          <w:tcPr>
            <w:tcW w:w="1334" w:type="dxa"/>
            <w:vAlign w:val="center"/>
          </w:tcPr>
          <w:p w:rsidR="00A2216F" w:rsidRDefault="00D271ED">
            <w:pPr>
              <w:jc w:val="right"/>
            </w:pPr>
            <w:r>
              <w:rPr>
                <w:color w:val="000000"/>
                <w:sz w:val="24"/>
                <w:szCs w:val="24"/>
              </w:rPr>
              <w:t>899,933</w:t>
            </w:r>
          </w:p>
        </w:tc>
        <w:tc>
          <w:tcPr>
            <w:tcW w:w="1924" w:type="dxa"/>
            <w:vAlign w:val="center"/>
          </w:tcPr>
          <w:p w:rsidR="00A2216F" w:rsidRDefault="00D271ED">
            <w:pPr>
              <w:jc w:val="right"/>
            </w:pPr>
            <w:r>
              <w:rPr>
                <w:color w:val="000000"/>
                <w:sz w:val="24"/>
                <w:szCs w:val="24"/>
              </w:rPr>
              <w:t>5,948,557.13</w:t>
            </w:r>
          </w:p>
        </w:tc>
        <w:tc>
          <w:tcPr>
            <w:tcW w:w="1644" w:type="dxa"/>
            <w:vAlign w:val="center"/>
          </w:tcPr>
          <w:p w:rsidR="00A2216F" w:rsidRDefault="00D271ED">
            <w:pPr>
              <w:jc w:val="right"/>
            </w:pPr>
            <w:r>
              <w:rPr>
                <w:color w:val="000000"/>
                <w:sz w:val="24"/>
                <w:szCs w:val="24"/>
              </w:rPr>
              <w:t>3.33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9,963,000.00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4,066,666.80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14,029,666.80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2216F">
        <w:trPr>
          <w:jc w:val="center"/>
        </w:trPr>
        <w:tc>
          <w:tcPr>
            <w:tcW w:w="850" w:type="dxa"/>
            <w:vAlign w:val="center"/>
          </w:tcPr>
          <w:p w:rsidR="00A2216F" w:rsidRDefault="00D271ED">
            <w:pPr>
              <w:jc w:val="center"/>
            </w:pPr>
            <w:r>
              <w:rPr>
                <w:color w:val="000000"/>
                <w:sz w:val="24"/>
                <w:szCs w:val="24"/>
              </w:rPr>
              <w:t>1</w:t>
            </w:r>
          </w:p>
        </w:tc>
        <w:tc>
          <w:tcPr>
            <w:tcW w:w="1475" w:type="dxa"/>
            <w:vAlign w:val="center"/>
          </w:tcPr>
          <w:p w:rsidR="00A2216F" w:rsidRDefault="00D271ED">
            <w:pPr>
              <w:jc w:val="center"/>
            </w:pPr>
            <w:r>
              <w:rPr>
                <w:color w:val="000000"/>
                <w:sz w:val="24"/>
                <w:szCs w:val="24"/>
              </w:rPr>
              <w:t>120229</w:t>
            </w:r>
          </w:p>
        </w:tc>
        <w:tc>
          <w:tcPr>
            <w:tcW w:w="1769" w:type="dxa"/>
            <w:vAlign w:val="center"/>
          </w:tcPr>
          <w:p w:rsidR="00A2216F" w:rsidRDefault="00D271ED">
            <w:pPr>
              <w:jc w:val="center"/>
            </w:pPr>
            <w:r>
              <w:rPr>
                <w:color w:val="000000"/>
                <w:sz w:val="24"/>
                <w:szCs w:val="24"/>
              </w:rPr>
              <w:t>12</w:t>
            </w:r>
            <w:r>
              <w:rPr>
                <w:color w:val="000000"/>
                <w:sz w:val="24"/>
                <w:szCs w:val="24"/>
              </w:rPr>
              <w:t>国开</w:t>
            </w:r>
            <w:r>
              <w:rPr>
                <w:color w:val="000000"/>
                <w:sz w:val="24"/>
                <w:szCs w:val="24"/>
              </w:rPr>
              <w:t>29</w:t>
            </w:r>
          </w:p>
        </w:tc>
        <w:tc>
          <w:tcPr>
            <w:tcW w:w="1387" w:type="dxa"/>
            <w:vAlign w:val="center"/>
          </w:tcPr>
          <w:p w:rsidR="00A2216F" w:rsidRDefault="00D271ED">
            <w:pPr>
              <w:jc w:val="right"/>
            </w:pPr>
            <w:r>
              <w:rPr>
                <w:color w:val="000000"/>
                <w:sz w:val="24"/>
                <w:szCs w:val="24"/>
              </w:rPr>
              <w:t>100,000</w:t>
            </w:r>
          </w:p>
        </w:tc>
        <w:tc>
          <w:tcPr>
            <w:tcW w:w="2150" w:type="dxa"/>
            <w:vAlign w:val="center"/>
          </w:tcPr>
          <w:p w:rsidR="00A2216F" w:rsidRDefault="00D271ED">
            <w:pPr>
              <w:jc w:val="right"/>
            </w:pPr>
            <w:r>
              <w:rPr>
                <w:color w:val="000000"/>
                <w:sz w:val="24"/>
                <w:szCs w:val="24"/>
              </w:rPr>
              <w:t>9,963,000.00</w:t>
            </w:r>
          </w:p>
        </w:tc>
        <w:tc>
          <w:tcPr>
            <w:tcW w:w="1237" w:type="dxa"/>
            <w:vAlign w:val="center"/>
          </w:tcPr>
          <w:p w:rsidR="00A2216F" w:rsidRDefault="00D271ED">
            <w:pPr>
              <w:jc w:val="right"/>
            </w:pPr>
            <w:r>
              <w:rPr>
                <w:color w:val="000000"/>
                <w:sz w:val="24"/>
                <w:szCs w:val="24"/>
              </w:rPr>
              <w:t>5.58</w:t>
            </w:r>
          </w:p>
        </w:tc>
      </w:tr>
      <w:tr w:rsidR="00A2216F">
        <w:trPr>
          <w:jc w:val="center"/>
        </w:trPr>
        <w:tc>
          <w:tcPr>
            <w:tcW w:w="850" w:type="dxa"/>
            <w:vAlign w:val="center"/>
          </w:tcPr>
          <w:p w:rsidR="00A2216F" w:rsidRDefault="00D271ED">
            <w:pPr>
              <w:jc w:val="center"/>
            </w:pPr>
            <w:r>
              <w:rPr>
                <w:color w:val="000000"/>
                <w:sz w:val="24"/>
                <w:szCs w:val="24"/>
              </w:rPr>
              <w:t>2</w:t>
            </w:r>
          </w:p>
        </w:tc>
        <w:tc>
          <w:tcPr>
            <w:tcW w:w="1475" w:type="dxa"/>
            <w:vAlign w:val="center"/>
          </w:tcPr>
          <w:p w:rsidR="00A2216F" w:rsidRDefault="00D271ED">
            <w:pPr>
              <w:jc w:val="center"/>
            </w:pPr>
            <w:r>
              <w:rPr>
                <w:color w:val="000000"/>
                <w:sz w:val="24"/>
                <w:szCs w:val="24"/>
              </w:rPr>
              <w:t>113005</w:t>
            </w:r>
          </w:p>
        </w:tc>
        <w:tc>
          <w:tcPr>
            <w:tcW w:w="1769" w:type="dxa"/>
            <w:vAlign w:val="center"/>
          </w:tcPr>
          <w:p w:rsidR="00A2216F" w:rsidRDefault="00D271ED">
            <w:pPr>
              <w:jc w:val="center"/>
            </w:pPr>
            <w:r>
              <w:rPr>
                <w:color w:val="000000"/>
                <w:sz w:val="24"/>
                <w:szCs w:val="24"/>
              </w:rPr>
              <w:t>平安转债</w:t>
            </w:r>
          </w:p>
        </w:tc>
        <w:tc>
          <w:tcPr>
            <w:tcW w:w="1387" w:type="dxa"/>
            <w:vAlign w:val="center"/>
          </w:tcPr>
          <w:p w:rsidR="00A2216F" w:rsidRDefault="00D271ED">
            <w:pPr>
              <w:jc w:val="right"/>
            </w:pPr>
            <w:r>
              <w:rPr>
                <w:color w:val="000000"/>
                <w:sz w:val="24"/>
                <w:szCs w:val="24"/>
              </w:rPr>
              <w:t>22,540</w:t>
            </w:r>
          </w:p>
        </w:tc>
        <w:tc>
          <w:tcPr>
            <w:tcW w:w="2150" w:type="dxa"/>
            <w:vAlign w:val="center"/>
          </w:tcPr>
          <w:p w:rsidR="00A2216F" w:rsidRDefault="00D271ED">
            <w:pPr>
              <w:jc w:val="right"/>
            </w:pPr>
            <w:r>
              <w:rPr>
                <w:color w:val="000000"/>
                <w:sz w:val="24"/>
                <w:szCs w:val="24"/>
              </w:rPr>
              <w:t>4,066,666.80</w:t>
            </w:r>
          </w:p>
        </w:tc>
        <w:tc>
          <w:tcPr>
            <w:tcW w:w="1237" w:type="dxa"/>
            <w:vAlign w:val="center"/>
          </w:tcPr>
          <w:p w:rsidR="00A2216F" w:rsidRDefault="00D271ED">
            <w:pPr>
              <w:jc w:val="right"/>
            </w:pPr>
            <w:r>
              <w:rPr>
                <w:color w:val="000000"/>
                <w:sz w:val="24"/>
                <w:szCs w:val="24"/>
              </w:rPr>
              <w:t>2.28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94,103.31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2,440,575.55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168,219.58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86,067.47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2,788,965.91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2216F">
        <w:trPr>
          <w:jc w:val="center"/>
        </w:trPr>
        <w:tc>
          <w:tcPr>
            <w:tcW w:w="1883" w:type="dxa"/>
            <w:vAlign w:val="center"/>
          </w:tcPr>
          <w:p w:rsidR="00A2216F" w:rsidRDefault="00D271ED">
            <w:pPr>
              <w:jc w:val="center"/>
            </w:pPr>
            <w:r>
              <w:rPr>
                <w:color w:val="000000"/>
                <w:sz w:val="24"/>
                <w:szCs w:val="24"/>
              </w:rPr>
              <w:t>1</w:t>
            </w:r>
          </w:p>
        </w:tc>
        <w:tc>
          <w:tcPr>
            <w:tcW w:w="1801" w:type="dxa"/>
            <w:vAlign w:val="center"/>
          </w:tcPr>
          <w:p w:rsidR="00A2216F" w:rsidRDefault="00D271ED">
            <w:pPr>
              <w:jc w:val="center"/>
            </w:pPr>
            <w:r>
              <w:rPr>
                <w:color w:val="000000"/>
                <w:sz w:val="24"/>
                <w:szCs w:val="24"/>
              </w:rPr>
              <w:t>113005</w:t>
            </w:r>
          </w:p>
        </w:tc>
        <w:tc>
          <w:tcPr>
            <w:tcW w:w="1727" w:type="dxa"/>
            <w:vAlign w:val="center"/>
          </w:tcPr>
          <w:p w:rsidR="00A2216F" w:rsidRDefault="00D271ED">
            <w:pPr>
              <w:jc w:val="center"/>
            </w:pPr>
            <w:r>
              <w:rPr>
                <w:color w:val="000000"/>
                <w:sz w:val="24"/>
                <w:szCs w:val="24"/>
              </w:rPr>
              <w:t>平安转债</w:t>
            </w:r>
          </w:p>
        </w:tc>
        <w:tc>
          <w:tcPr>
            <w:tcW w:w="1768" w:type="dxa"/>
            <w:vAlign w:val="center"/>
          </w:tcPr>
          <w:p w:rsidR="00A2216F" w:rsidRDefault="00D271ED">
            <w:pPr>
              <w:jc w:val="right"/>
            </w:pPr>
            <w:r>
              <w:rPr>
                <w:color w:val="000000"/>
                <w:sz w:val="24"/>
                <w:szCs w:val="24"/>
              </w:rPr>
              <w:t>4,066,666.80</w:t>
            </w:r>
          </w:p>
        </w:tc>
        <w:tc>
          <w:tcPr>
            <w:tcW w:w="1689" w:type="dxa"/>
            <w:vAlign w:val="center"/>
          </w:tcPr>
          <w:p w:rsidR="00A2216F" w:rsidRDefault="00D271ED">
            <w:pPr>
              <w:jc w:val="right"/>
            </w:pPr>
            <w:r>
              <w:rPr>
                <w:color w:val="000000"/>
                <w:sz w:val="24"/>
                <w:szCs w:val="24"/>
              </w:rPr>
              <w:t>2.28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2216F">
        <w:trPr>
          <w:jc w:val="center"/>
        </w:trPr>
        <w:tc>
          <w:tcPr>
            <w:tcW w:w="1129" w:type="dxa"/>
            <w:vAlign w:val="center"/>
          </w:tcPr>
          <w:p w:rsidR="00A2216F" w:rsidRDefault="00D271ED">
            <w:pPr>
              <w:jc w:val="center"/>
            </w:pPr>
            <w:r>
              <w:rPr>
                <w:color w:val="000000"/>
                <w:sz w:val="24"/>
                <w:szCs w:val="24"/>
              </w:rPr>
              <w:t>1</w:t>
            </w:r>
          </w:p>
        </w:tc>
        <w:tc>
          <w:tcPr>
            <w:tcW w:w="1356" w:type="dxa"/>
            <w:vAlign w:val="center"/>
          </w:tcPr>
          <w:p w:rsidR="00A2216F" w:rsidRDefault="00D271ED">
            <w:pPr>
              <w:jc w:val="center"/>
            </w:pPr>
            <w:r>
              <w:rPr>
                <w:color w:val="000000"/>
                <w:sz w:val="24"/>
                <w:szCs w:val="24"/>
              </w:rPr>
              <w:t>300347</w:t>
            </w:r>
          </w:p>
        </w:tc>
        <w:tc>
          <w:tcPr>
            <w:tcW w:w="1355" w:type="dxa"/>
            <w:vAlign w:val="center"/>
          </w:tcPr>
          <w:p w:rsidR="00A2216F" w:rsidRDefault="00D271ED">
            <w:pPr>
              <w:jc w:val="center"/>
            </w:pPr>
            <w:r>
              <w:rPr>
                <w:color w:val="000000"/>
                <w:sz w:val="24"/>
                <w:szCs w:val="24"/>
              </w:rPr>
              <w:t>泰格医药</w:t>
            </w:r>
          </w:p>
        </w:tc>
        <w:tc>
          <w:tcPr>
            <w:tcW w:w="1880" w:type="dxa"/>
            <w:vAlign w:val="center"/>
          </w:tcPr>
          <w:p w:rsidR="00A2216F" w:rsidRDefault="00D271ED">
            <w:pPr>
              <w:jc w:val="right"/>
            </w:pPr>
            <w:r>
              <w:rPr>
                <w:color w:val="000000"/>
                <w:sz w:val="24"/>
                <w:szCs w:val="24"/>
              </w:rPr>
              <w:t>10,311,256.20</w:t>
            </w:r>
          </w:p>
        </w:tc>
        <w:tc>
          <w:tcPr>
            <w:tcW w:w="1724" w:type="dxa"/>
            <w:vAlign w:val="center"/>
          </w:tcPr>
          <w:p w:rsidR="00A2216F" w:rsidRDefault="00D271ED">
            <w:pPr>
              <w:jc w:val="right"/>
            </w:pPr>
            <w:r>
              <w:rPr>
                <w:color w:val="000000"/>
                <w:sz w:val="24"/>
                <w:szCs w:val="24"/>
              </w:rPr>
              <w:t>5.78</w:t>
            </w:r>
          </w:p>
        </w:tc>
        <w:tc>
          <w:tcPr>
            <w:tcW w:w="1424" w:type="dxa"/>
            <w:vAlign w:val="center"/>
          </w:tcPr>
          <w:p w:rsidR="00A2216F" w:rsidRDefault="00D271ED">
            <w:pPr>
              <w:jc w:val="right"/>
            </w:pPr>
            <w:r>
              <w:rPr>
                <w:color w:val="000000"/>
                <w:sz w:val="24"/>
                <w:szCs w:val="24"/>
              </w:rPr>
              <w:t>重大事项</w:t>
            </w:r>
          </w:p>
        </w:tc>
      </w:tr>
      <w:tr w:rsidR="00A2216F">
        <w:trPr>
          <w:jc w:val="center"/>
        </w:trPr>
        <w:tc>
          <w:tcPr>
            <w:tcW w:w="1129" w:type="dxa"/>
            <w:vAlign w:val="center"/>
          </w:tcPr>
          <w:p w:rsidR="00A2216F" w:rsidRDefault="00D271ED">
            <w:pPr>
              <w:jc w:val="center"/>
            </w:pPr>
            <w:r>
              <w:rPr>
                <w:color w:val="000000"/>
                <w:sz w:val="24"/>
                <w:szCs w:val="24"/>
              </w:rPr>
              <w:t>2</w:t>
            </w:r>
          </w:p>
        </w:tc>
        <w:tc>
          <w:tcPr>
            <w:tcW w:w="1356" w:type="dxa"/>
            <w:vAlign w:val="center"/>
          </w:tcPr>
          <w:p w:rsidR="00A2216F" w:rsidRDefault="00D271ED">
            <w:pPr>
              <w:jc w:val="center"/>
            </w:pPr>
            <w:r>
              <w:rPr>
                <w:color w:val="000000"/>
                <w:sz w:val="24"/>
                <w:szCs w:val="24"/>
              </w:rPr>
              <w:t>002180</w:t>
            </w:r>
          </w:p>
        </w:tc>
        <w:tc>
          <w:tcPr>
            <w:tcW w:w="1355" w:type="dxa"/>
            <w:vAlign w:val="center"/>
          </w:tcPr>
          <w:p w:rsidR="00A2216F" w:rsidRDefault="00D271ED">
            <w:pPr>
              <w:jc w:val="center"/>
            </w:pPr>
            <w:r>
              <w:rPr>
                <w:color w:val="000000"/>
                <w:sz w:val="24"/>
                <w:szCs w:val="24"/>
              </w:rPr>
              <w:t>艾派克</w:t>
            </w:r>
          </w:p>
        </w:tc>
        <w:tc>
          <w:tcPr>
            <w:tcW w:w="1880" w:type="dxa"/>
            <w:vAlign w:val="center"/>
          </w:tcPr>
          <w:p w:rsidR="00A2216F" w:rsidRDefault="00D271ED">
            <w:pPr>
              <w:jc w:val="right"/>
            </w:pPr>
            <w:r>
              <w:rPr>
                <w:color w:val="000000"/>
                <w:sz w:val="24"/>
                <w:szCs w:val="24"/>
              </w:rPr>
              <w:t>7,052,764.90</w:t>
            </w:r>
          </w:p>
        </w:tc>
        <w:tc>
          <w:tcPr>
            <w:tcW w:w="1724" w:type="dxa"/>
            <w:vAlign w:val="center"/>
          </w:tcPr>
          <w:p w:rsidR="00A2216F" w:rsidRDefault="00D271ED">
            <w:pPr>
              <w:jc w:val="right"/>
            </w:pPr>
            <w:r>
              <w:rPr>
                <w:color w:val="000000"/>
                <w:sz w:val="24"/>
                <w:szCs w:val="24"/>
              </w:rPr>
              <w:t>3.95</w:t>
            </w:r>
          </w:p>
        </w:tc>
        <w:tc>
          <w:tcPr>
            <w:tcW w:w="1424" w:type="dxa"/>
            <w:vAlign w:val="center"/>
          </w:tcPr>
          <w:p w:rsidR="00A2216F" w:rsidRDefault="00D271ED">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298,995,892.06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13,720,144.54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148,375,098.55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164,340,938.05</w:t>
            </w:r>
          </w:p>
        </w:tc>
      </w:tr>
    </w:tbl>
    <w:p w:rsidR="00A2216F" w:rsidRDefault="00D271E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A29C8">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A29C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2216F" w:rsidRDefault="00D271E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A2216F" w:rsidRDefault="00D271E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、《交银施罗德新成长股票型证券投资基金基金合同》；</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、《交银施罗德新成长股票型证券投资基金招募说明书》；</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、《交银施罗德新成长股票型证券投资基金托管协议》；</w:t>
      </w:r>
    </w:p>
    <w:p w:rsidR="00A2216F" w:rsidRDefault="00D271E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A2216F" w:rsidRDefault="00D271E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2216F" w:rsidRDefault="00D271E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2216F" w:rsidRDefault="00D271E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28" w:rsidRDefault="009E0D28" w:rsidP="00876D65">
      <w:r>
        <w:separator/>
      </w:r>
    </w:p>
  </w:endnote>
  <w:endnote w:type="continuationSeparator" w:id="0">
    <w:p w:rsidR="009E0D28" w:rsidRDefault="009E0D2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06610">
      <w:rPr>
        <w:kern w:val="0"/>
        <w:szCs w:val="21"/>
      </w:rPr>
      <w:fldChar w:fldCharType="begin"/>
    </w:r>
    <w:r>
      <w:rPr>
        <w:kern w:val="0"/>
        <w:szCs w:val="21"/>
      </w:rPr>
      <w:instrText xml:space="preserve"> PAGE </w:instrText>
    </w:r>
    <w:r w:rsidR="00106610">
      <w:rPr>
        <w:kern w:val="0"/>
        <w:szCs w:val="21"/>
      </w:rPr>
      <w:fldChar w:fldCharType="separate"/>
    </w:r>
    <w:r w:rsidR="00D81375">
      <w:rPr>
        <w:noProof/>
        <w:kern w:val="0"/>
        <w:szCs w:val="21"/>
      </w:rPr>
      <w:t>1</w:t>
    </w:r>
    <w:r w:rsidR="00106610">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06610">
      <w:rPr>
        <w:kern w:val="0"/>
        <w:szCs w:val="21"/>
      </w:rPr>
      <w:fldChar w:fldCharType="begin"/>
    </w:r>
    <w:r>
      <w:rPr>
        <w:kern w:val="0"/>
        <w:szCs w:val="21"/>
      </w:rPr>
      <w:instrText xml:space="preserve"> NUMPAGES </w:instrText>
    </w:r>
    <w:r w:rsidR="00106610">
      <w:rPr>
        <w:kern w:val="0"/>
        <w:szCs w:val="21"/>
      </w:rPr>
      <w:fldChar w:fldCharType="separate"/>
    </w:r>
    <w:r w:rsidR="00D81375">
      <w:rPr>
        <w:noProof/>
        <w:kern w:val="0"/>
        <w:szCs w:val="21"/>
      </w:rPr>
      <w:t>12</w:t>
    </w:r>
    <w:r w:rsidR="00106610">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28" w:rsidRDefault="009E0D28" w:rsidP="00876D65">
      <w:r>
        <w:separator/>
      </w:r>
    </w:p>
  </w:footnote>
  <w:footnote w:type="continuationSeparator" w:id="0">
    <w:p w:rsidR="009E0D28" w:rsidRDefault="009E0D2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15B"/>
    <w:rsid w:val="000C190B"/>
    <w:rsid w:val="000C1E17"/>
    <w:rsid w:val="000C5216"/>
    <w:rsid w:val="000D0E6C"/>
    <w:rsid w:val="000D11DE"/>
    <w:rsid w:val="000D3ED4"/>
    <w:rsid w:val="000E7E5E"/>
    <w:rsid w:val="000F6CC8"/>
    <w:rsid w:val="00106610"/>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03048"/>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0D28"/>
    <w:rsid w:val="009E19A9"/>
    <w:rsid w:val="009E31DA"/>
    <w:rsid w:val="009E402C"/>
    <w:rsid w:val="009E7C6A"/>
    <w:rsid w:val="009F3659"/>
    <w:rsid w:val="009F4861"/>
    <w:rsid w:val="009F61BE"/>
    <w:rsid w:val="009F7ED4"/>
    <w:rsid w:val="00A03AAC"/>
    <w:rsid w:val="00A047D1"/>
    <w:rsid w:val="00A21300"/>
    <w:rsid w:val="00A2216F"/>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1ED"/>
    <w:rsid w:val="00D272A5"/>
    <w:rsid w:val="00D346D9"/>
    <w:rsid w:val="00D43AFB"/>
    <w:rsid w:val="00D44EE8"/>
    <w:rsid w:val="00D57B7C"/>
    <w:rsid w:val="00D65B44"/>
    <w:rsid w:val="00D75E69"/>
    <w:rsid w:val="00D8099B"/>
    <w:rsid w:val="00D81375"/>
    <w:rsid w:val="00D866A8"/>
    <w:rsid w:val="00D91E06"/>
    <w:rsid w:val="00D94B8D"/>
    <w:rsid w:val="00D96C8D"/>
    <w:rsid w:val="00D974EF"/>
    <w:rsid w:val="00DA0C61"/>
    <w:rsid w:val="00DA14B0"/>
    <w:rsid w:val="00DA2876"/>
    <w:rsid w:val="00DA29C8"/>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BD8648DF-B847-4E5D-8460-46B612DC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413E-4CEF-40BC-988F-2B3D100C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2015-01-20T03:46:00Z</dcterms:modified>
</cp:coreProperties>
</file>