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交银施罗德强化回报债券型证券投资基金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2014</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2014</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二〇一五年一月二十二日</w:t>
      </w:r>
    </w:p>
    <w:p w:rsidR="009238DB" w:rsidRPr="007F52FA" w:rsidRDefault="009238DB" w:rsidP="00BC3E5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01527" w:rsidRDefault="0015473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01527" w:rsidRDefault="00154737">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01527" w:rsidRDefault="0015473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01527" w:rsidRDefault="0015473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01527" w:rsidRDefault="0015473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C3E5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193,082,581.41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w:t>
            </w:r>
            <w:r w:rsidRPr="007F52FA">
              <w:rPr>
                <w:color w:val="000000"/>
                <w:kern w:val="0"/>
                <w:sz w:val="24"/>
              </w:rPr>
              <w:lastRenderedPageBreak/>
              <w:t>关注股票、权证市场的运行状况与相应风险收益特征，有效把握投资机会，适时增强组合收益。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519733</w:t>
            </w:r>
            <w:r w:rsidRPr="007F52FA">
              <w:rPr>
                <w:color w:val="000000" w:themeColor="text1"/>
                <w:sz w:val="24"/>
              </w:rPr>
              <w:t>（前端）、</w:t>
            </w:r>
            <w:r w:rsidRPr="007F52FA">
              <w:rPr>
                <w:color w:val="000000" w:themeColor="text1"/>
                <w:sz w:val="24"/>
              </w:rPr>
              <w:t>519734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169,017,087.84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24,065,493.57</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C3E5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(2014</w:t>
            </w:r>
            <w:r w:rsidRPr="007F52FA">
              <w:rPr>
                <w:color w:val="000000"/>
                <w:sz w:val="24"/>
              </w:rPr>
              <w:t>年</w:t>
            </w:r>
            <w:r w:rsidRPr="007F52FA">
              <w:rPr>
                <w:color w:val="000000"/>
                <w:sz w:val="24"/>
              </w:rPr>
              <w:t>10</w:t>
            </w:r>
            <w:r w:rsidRPr="007F52FA">
              <w:rPr>
                <w:color w:val="000000"/>
                <w:sz w:val="24"/>
              </w:rPr>
              <w:t>月</w:t>
            </w:r>
            <w:r w:rsidRPr="007F52FA">
              <w:rPr>
                <w:color w:val="000000"/>
                <w:sz w:val="24"/>
              </w:rPr>
              <w:t>1</w:t>
            </w:r>
            <w:r w:rsidRPr="007F52FA">
              <w:rPr>
                <w:color w:val="000000"/>
                <w:sz w:val="24"/>
              </w:rPr>
              <w:t>日</w:t>
            </w:r>
            <w:r w:rsidRPr="007F52FA">
              <w:rPr>
                <w:color w:val="000000"/>
                <w:sz w:val="24"/>
              </w:rPr>
              <w:t>-2014</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交银强化回报债券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交银强化回报债券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2,234,085.55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691,793.71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-200,131.70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551,473.79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-0.0027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0.0243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175,226,068.21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24,909,404.97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1.035</w:t>
            </w:r>
          </w:p>
        </w:tc>
      </w:tr>
    </w:tbl>
    <w:p w:rsidR="00B01527" w:rsidRDefault="0015473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B01527" w:rsidRDefault="0015473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交银强化回报债券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01527">
        <w:trPr>
          <w:jc w:val="center"/>
        </w:trPr>
        <w:tc>
          <w:tcPr>
            <w:tcW w:w="1266" w:type="dxa"/>
            <w:vAlign w:val="center"/>
          </w:tcPr>
          <w:p w:rsidR="00B01527" w:rsidRDefault="00154737">
            <w:pPr>
              <w:jc w:val="left"/>
            </w:pPr>
            <w:r>
              <w:rPr>
                <w:color w:val="000000"/>
                <w:sz w:val="24"/>
              </w:rPr>
              <w:t>过去三个月</w:t>
            </w:r>
          </w:p>
        </w:tc>
        <w:tc>
          <w:tcPr>
            <w:tcW w:w="1267" w:type="dxa"/>
            <w:vAlign w:val="center"/>
          </w:tcPr>
          <w:p w:rsidR="00B01527" w:rsidRDefault="00154737">
            <w:pPr>
              <w:jc w:val="center"/>
            </w:pPr>
            <w:r>
              <w:rPr>
                <w:color w:val="000000"/>
                <w:sz w:val="24"/>
              </w:rPr>
              <w:t>2.65%</w:t>
            </w:r>
          </w:p>
        </w:tc>
        <w:tc>
          <w:tcPr>
            <w:tcW w:w="1267" w:type="dxa"/>
            <w:vAlign w:val="center"/>
          </w:tcPr>
          <w:p w:rsidR="00B01527" w:rsidRDefault="00154737">
            <w:pPr>
              <w:jc w:val="center"/>
            </w:pPr>
            <w:r>
              <w:rPr>
                <w:color w:val="000000"/>
                <w:sz w:val="24"/>
              </w:rPr>
              <w:t>0.50%</w:t>
            </w:r>
          </w:p>
        </w:tc>
        <w:tc>
          <w:tcPr>
            <w:tcW w:w="1267" w:type="dxa"/>
            <w:vAlign w:val="center"/>
          </w:tcPr>
          <w:p w:rsidR="00B01527" w:rsidRDefault="00154737">
            <w:pPr>
              <w:jc w:val="center"/>
            </w:pPr>
            <w:r>
              <w:rPr>
                <w:color w:val="000000"/>
                <w:sz w:val="24"/>
              </w:rPr>
              <w:t>1.67%</w:t>
            </w:r>
          </w:p>
        </w:tc>
        <w:tc>
          <w:tcPr>
            <w:tcW w:w="1267" w:type="dxa"/>
            <w:vAlign w:val="center"/>
          </w:tcPr>
          <w:p w:rsidR="00B01527" w:rsidRDefault="00154737">
            <w:pPr>
              <w:jc w:val="center"/>
            </w:pPr>
            <w:r>
              <w:rPr>
                <w:color w:val="000000"/>
                <w:sz w:val="24"/>
              </w:rPr>
              <w:t>0.17%</w:t>
            </w:r>
          </w:p>
        </w:tc>
        <w:tc>
          <w:tcPr>
            <w:tcW w:w="1267" w:type="dxa"/>
            <w:vAlign w:val="center"/>
          </w:tcPr>
          <w:p w:rsidR="00B01527" w:rsidRDefault="00154737">
            <w:pPr>
              <w:jc w:val="center"/>
            </w:pPr>
            <w:r>
              <w:rPr>
                <w:color w:val="000000"/>
                <w:sz w:val="24"/>
              </w:rPr>
              <w:t>0.98%</w:t>
            </w:r>
          </w:p>
        </w:tc>
        <w:tc>
          <w:tcPr>
            <w:tcW w:w="1267" w:type="dxa"/>
            <w:vAlign w:val="center"/>
          </w:tcPr>
          <w:p w:rsidR="00B01527" w:rsidRDefault="00154737">
            <w:pPr>
              <w:jc w:val="center"/>
            </w:pPr>
            <w:r>
              <w:rPr>
                <w:color w:val="000000"/>
                <w:sz w:val="24"/>
              </w:rPr>
              <w:t>0.33%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交银强化回报债券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01527">
        <w:trPr>
          <w:jc w:val="center"/>
        </w:trPr>
        <w:tc>
          <w:tcPr>
            <w:tcW w:w="1266" w:type="dxa"/>
            <w:vAlign w:val="center"/>
          </w:tcPr>
          <w:p w:rsidR="00B01527" w:rsidRDefault="00154737">
            <w:pPr>
              <w:jc w:val="left"/>
            </w:pPr>
            <w:r>
              <w:rPr>
                <w:color w:val="000000"/>
                <w:sz w:val="24"/>
              </w:rPr>
              <w:t>过去三个月</w:t>
            </w:r>
          </w:p>
        </w:tc>
        <w:tc>
          <w:tcPr>
            <w:tcW w:w="1267" w:type="dxa"/>
            <w:vAlign w:val="center"/>
          </w:tcPr>
          <w:p w:rsidR="00B01527" w:rsidRDefault="00154737">
            <w:pPr>
              <w:jc w:val="center"/>
            </w:pPr>
            <w:r>
              <w:rPr>
                <w:color w:val="000000"/>
                <w:sz w:val="24"/>
              </w:rPr>
              <w:t>2.46%</w:t>
            </w:r>
          </w:p>
        </w:tc>
        <w:tc>
          <w:tcPr>
            <w:tcW w:w="1267" w:type="dxa"/>
            <w:vAlign w:val="center"/>
          </w:tcPr>
          <w:p w:rsidR="00B01527" w:rsidRDefault="00154737">
            <w:pPr>
              <w:jc w:val="center"/>
            </w:pPr>
            <w:r>
              <w:rPr>
                <w:color w:val="000000"/>
                <w:sz w:val="24"/>
              </w:rPr>
              <w:t>0.52%</w:t>
            </w:r>
          </w:p>
        </w:tc>
        <w:tc>
          <w:tcPr>
            <w:tcW w:w="1267" w:type="dxa"/>
            <w:vAlign w:val="center"/>
          </w:tcPr>
          <w:p w:rsidR="00B01527" w:rsidRDefault="00154737">
            <w:pPr>
              <w:jc w:val="center"/>
            </w:pPr>
            <w:r>
              <w:rPr>
                <w:color w:val="000000"/>
                <w:sz w:val="24"/>
              </w:rPr>
              <w:t>1.67%</w:t>
            </w:r>
          </w:p>
        </w:tc>
        <w:tc>
          <w:tcPr>
            <w:tcW w:w="1267" w:type="dxa"/>
            <w:vAlign w:val="center"/>
          </w:tcPr>
          <w:p w:rsidR="00B01527" w:rsidRDefault="00154737">
            <w:pPr>
              <w:jc w:val="center"/>
            </w:pPr>
            <w:r>
              <w:rPr>
                <w:color w:val="000000"/>
                <w:sz w:val="24"/>
              </w:rPr>
              <w:t>0.17%</w:t>
            </w:r>
          </w:p>
        </w:tc>
        <w:tc>
          <w:tcPr>
            <w:tcW w:w="1267" w:type="dxa"/>
            <w:vAlign w:val="center"/>
          </w:tcPr>
          <w:p w:rsidR="00B01527" w:rsidRDefault="00154737">
            <w:pPr>
              <w:jc w:val="center"/>
            </w:pPr>
            <w:r>
              <w:rPr>
                <w:color w:val="000000"/>
                <w:sz w:val="24"/>
              </w:rPr>
              <w:t>0.79%</w:t>
            </w:r>
          </w:p>
        </w:tc>
        <w:tc>
          <w:tcPr>
            <w:tcW w:w="1267" w:type="dxa"/>
            <w:vAlign w:val="center"/>
          </w:tcPr>
          <w:p w:rsidR="00B01527" w:rsidRDefault="00154737">
            <w:pPr>
              <w:jc w:val="center"/>
            </w:pPr>
            <w:r>
              <w:rPr>
                <w:color w:val="000000"/>
                <w:sz w:val="24"/>
              </w:rPr>
              <w:t>0.35%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交银施罗德强化回报债券型证券投资基金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2014</w:t>
      </w:r>
      <w:r w:rsidRPr="007F52FA">
        <w:rPr>
          <w:color w:val="000000"/>
          <w:sz w:val="24"/>
        </w:rPr>
        <w:t>年</w:t>
      </w:r>
      <w:r w:rsidRPr="007F52FA">
        <w:rPr>
          <w:color w:val="000000"/>
          <w:sz w:val="24"/>
        </w:rPr>
        <w:t>1</w:t>
      </w:r>
      <w:r w:rsidRPr="007F52FA">
        <w:rPr>
          <w:color w:val="000000"/>
          <w:sz w:val="24"/>
        </w:rPr>
        <w:t>月</w:t>
      </w:r>
      <w:r w:rsidRPr="007F52FA">
        <w:rPr>
          <w:color w:val="000000"/>
          <w:sz w:val="24"/>
        </w:rPr>
        <w:t>28</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交银强化回报债券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2014</w:t>
      </w:r>
      <w:r w:rsidRPr="007F52FA">
        <w:rPr>
          <w:color w:val="000000"/>
          <w:sz w:val="24"/>
        </w:rPr>
        <w:t>年</w:t>
      </w:r>
      <w:r w:rsidRPr="007F52FA">
        <w:rPr>
          <w:color w:val="000000"/>
          <w:sz w:val="24"/>
        </w:rPr>
        <w:t>1</w:t>
      </w:r>
      <w:r w:rsidRPr="007F52FA">
        <w:rPr>
          <w:color w:val="000000"/>
          <w:sz w:val="24"/>
        </w:rPr>
        <w:t>月</w:t>
      </w:r>
      <w:r w:rsidRPr="007F52FA">
        <w:rPr>
          <w:color w:val="000000"/>
          <w:sz w:val="24"/>
        </w:rPr>
        <w:t>28</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BC3E5D" w:rsidRDefault="006C5BC9" w:rsidP="007C14DF">
      <w:pPr>
        <w:tabs>
          <w:tab w:val="left" w:pos="1800"/>
        </w:tabs>
        <w:spacing w:before="29" w:line="288" w:lineRule="auto"/>
        <w:rPr>
          <w:rFonts w:eastAsiaTheme="minorEastAsia"/>
          <w:color w:val="000000"/>
          <w:sz w:val="24"/>
        </w:rPr>
      </w:pPr>
    </w:p>
    <w:p w:rsidR="009238DB" w:rsidRPr="007F52FA" w:rsidRDefault="009238DB" w:rsidP="00BC3E5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01527">
        <w:trPr>
          <w:jc w:val="center"/>
        </w:trPr>
        <w:tc>
          <w:tcPr>
            <w:tcW w:w="946" w:type="dxa"/>
            <w:vAlign w:val="center"/>
          </w:tcPr>
          <w:p w:rsidR="00B01527" w:rsidRDefault="00154737">
            <w:pPr>
              <w:jc w:val="center"/>
            </w:pPr>
            <w:r>
              <w:rPr>
                <w:color w:val="000000"/>
                <w:sz w:val="24"/>
              </w:rPr>
              <w:t>赵凌琦</w:t>
            </w:r>
          </w:p>
        </w:tc>
        <w:tc>
          <w:tcPr>
            <w:tcW w:w="924" w:type="dxa"/>
            <w:vAlign w:val="center"/>
          </w:tcPr>
          <w:p w:rsidR="00B01527" w:rsidRDefault="00154737">
            <w:pPr>
              <w:jc w:val="center"/>
            </w:pPr>
            <w:r>
              <w:rPr>
                <w:color w:val="000000"/>
                <w:sz w:val="24"/>
              </w:rPr>
              <w:t>本基金、交银理财</w:t>
            </w:r>
            <w:r>
              <w:rPr>
                <w:color w:val="000000"/>
                <w:sz w:val="24"/>
              </w:rPr>
              <w:t>60</w:t>
            </w:r>
            <w:r>
              <w:rPr>
                <w:color w:val="000000"/>
                <w:sz w:val="24"/>
              </w:rPr>
              <w:t>天债券、交银双轮动债券、交银定期支付月月丰债券、交银丰盈收益债券的基金经理，公司固定收益部副总经理</w:t>
            </w:r>
          </w:p>
        </w:tc>
        <w:tc>
          <w:tcPr>
            <w:tcW w:w="1202" w:type="dxa"/>
            <w:vAlign w:val="center"/>
          </w:tcPr>
          <w:p w:rsidR="00B01527" w:rsidRDefault="00154737">
            <w:pPr>
              <w:jc w:val="center"/>
            </w:pPr>
            <w:r>
              <w:rPr>
                <w:color w:val="000000"/>
                <w:sz w:val="24"/>
              </w:rPr>
              <w:t>2014-01-28</w:t>
            </w:r>
          </w:p>
        </w:tc>
        <w:tc>
          <w:tcPr>
            <w:tcW w:w="1300" w:type="dxa"/>
            <w:vAlign w:val="center"/>
          </w:tcPr>
          <w:p w:rsidR="00B01527" w:rsidRDefault="00154737">
            <w:pPr>
              <w:jc w:val="center"/>
            </w:pPr>
            <w:r>
              <w:rPr>
                <w:color w:val="000000"/>
                <w:sz w:val="24"/>
              </w:rPr>
              <w:t>-</w:t>
            </w:r>
          </w:p>
        </w:tc>
        <w:tc>
          <w:tcPr>
            <w:tcW w:w="1245" w:type="dxa"/>
            <w:vAlign w:val="center"/>
          </w:tcPr>
          <w:p w:rsidR="00B01527" w:rsidRDefault="00154737">
            <w:pPr>
              <w:jc w:val="center"/>
            </w:pPr>
            <w:r>
              <w:rPr>
                <w:color w:val="000000"/>
                <w:sz w:val="24"/>
              </w:rPr>
              <w:t>1</w:t>
            </w:r>
            <w:r>
              <w:rPr>
                <w:color w:val="000000"/>
                <w:sz w:val="24"/>
              </w:rPr>
              <w:t>年</w:t>
            </w:r>
          </w:p>
        </w:tc>
        <w:tc>
          <w:tcPr>
            <w:tcW w:w="3251" w:type="dxa"/>
            <w:vAlign w:val="center"/>
          </w:tcPr>
          <w:p w:rsidR="00B01527" w:rsidRDefault="00154737">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B01527">
        <w:trPr>
          <w:jc w:val="center"/>
        </w:trPr>
        <w:tc>
          <w:tcPr>
            <w:tcW w:w="946" w:type="dxa"/>
            <w:vAlign w:val="center"/>
          </w:tcPr>
          <w:p w:rsidR="00B01527" w:rsidRDefault="00154737">
            <w:pPr>
              <w:jc w:val="center"/>
            </w:pPr>
            <w:r>
              <w:rPr>
                <w:color w:val="000000"/>
                <w:sz w:val="24"/>
              </w:rPr>
              <w:t>李德亮</w:t>
            </w:r>
          </w:p>
        </w:tc>
        <w:tc>
          <w:tcPr>
            <w:tcW w:w="924" w:type="dxa"/>
            <w:vAlign w:val="center"/>
          </w:tcPr>
          <w:p w:rsidR="00B01527" w:rsidRDefault="00154737">
            <w:pPr>
              <w:jc w:val="center"/>
            </w:pPr>
            <w:r>
              <w:rPr>
                <w:color w:val="000000"/>
                <w:sz w:val="24"/>
              </w:rPr>
              <w:t>本基金、交银蓝筹股票、交银定期支付双息平衡混合的基金经理</w:t>
            </w:r>
          </w:p>
        </w:tc>
        <w:tc>
          <w:tcPr>
            <w:tcW w:w="1202" w:type="dxa"/>
            <w:vAlign w:val="center"/>
          </w:tcPr>
          <w:p w:rsidR="00B01527" w:rsidRDefault="00154737">
            <w:pPr>
              <w:jc w:val="center"/>
            </w:pPr>
            <w:r>
              <w:rPr>
                <w:color w:val="000000"/>
                <w:sz w:val="24"/>
              </w:rPr>
              <w:t>2014-01-28</w:t>
            </w:r>
          </w:p>
        </w:tc>
        <w:tc>
          <w:tcPr>
            <w:tcW w:w="1300" w:type="dxa"/>
            <w:vAlign w:val="center"/>
          </w:tcPr>
          <w:p w:rsidR="00B01527" w:rsidRDefault="00154737">
            <w:pPr>
              <w:jc w:val="center"/>
            </w:pPr>
            <w:r>
              <w:rPr>
                <w:color w:val="000000"/>
                <w:sz w:val="24"/>
              </w:rPr>
              <w:t>-</w:t>
            </w:r>
          </w:p>
        </w:tc>
        <w:tc>
          <w:tcPr>
            <w:tcW w:w="1245" w:type="dxa"/>
            <w:vAlign w:val="center"/>
          </w:tcPr>
          <w:p w:rsidR="00B01527" w:rsidRDefault="00154737">
            <w:pPr>
              <w:jc w:val="center"/>
            </w:pPr>
            <w:r>
              <w:rPr>
                <w:color w:val="000000"/>
                <w:sz w:val="24"/>
              </w:rPr>
              <w:t>8</w:t>
            </w:r>
            <w:r>
              <w:rPr>
                <w:color w:val="000000"/>
                <w:sz w:val="24"/>
              </w:rPr>
              <w:t>年</w:t>
            </w:r>
          </w:p>
        </w:tc>
        <w:tc>
          <w:tcPr>
            <w:tcW w:w="3251" w:type="dxa"/>
            <w:vAlign w:val="center"/>
          </w:tcPr>
          <w:p w:rsidR="00B01527" w:rsidRDefault="00154737">
            <w:r>
              <w:rPr>
                <w:color w:val="000000"/>
                <w:sz w:val="24"/>
              </w:rPr>
              <w:t>李德亮先生，同济大学管理学学士，中国人民银行研究生部金融学硕士。</w:t>
            </w:r>
            <w:r>
              <w:rPr>
                <w:color w:val="000000"/>
                <w:sz w:val="24"/>
              </w:rPr>
              <w:t>2006</w:t>
            </w:r>
            <w:r>
              <w:rPr>
                <w:color w:val="000000"/>
                <w:sz w:val="24"/>
              </w:rPr>
              <w:t>年加入交银施罗德基金管理有限公司，历任行业分析师、基金经理助理。</w:t>
            </w:r>
          </w:p>
        </w:tc>
      </w:tr>
      <w:tr w:rsidR="00B01527">
        <w:trPr>
          <w:jc w:val="center"/>
        </w:trPr>
        <w:tc>
          <w:tcPr>
            <w:tcW w:w="946" w:type="dxa"/>
            <w:vAlign w:val="center"/>
          </w:tcPr>
          <w:p w:rsidR="00B01527" w:rsidRDefault="00154737">
            <w:pPr>
              <w:jc w:val="center"/>
            </w:pPr>
            <w:r>
              <w:rPr>
                <w:color w:val="000000"/>
                <w:sz w:val="24"/>
              </w:rPr>
              <w:t>孙超</w:t>
            </w:r>
          </w:p>
        </w:tc>
        <w:tc>
          <w:tcPr>
            <w:tcW w:w="924" w:type="dxa"/>
            <w:vAlign w:val="center"/>
          </w:tcPr>
          <w:p w:rsidR="00B01527" w:rsidRDefault="00154737">
            <w:pPr>
              <w:jc w:val="center"/>
            </w:pPr>
            <w:r>
              <w:rPr>
                <w:color w:val="000000"/>
                <w:sz w:val="24"/>
              </w:rPr>
              <w:t>本基金、交银理财</w:t>
            </w:r>
            <w:r>
              <w:rPr>
                <w:color w:val="000000"/>
                <w:sz w:val="24"/>
              </w:rPr>
              <w:t>60</w:t>
            </w:r>
            <w:r>
              <w:rPr>
                <w:color w:val="000000"/>
                <w:sz w:val="24"/>
              </w:rPr>
              <w:t>天债券、交银双轮动债券、交银定期支付月月丰债券、交银丰润收益债券的基金经理</w:t>
            </w:r>
          </w:p>
        </w:tc>
        <w:tc>
          <w:tcPr>
            <w:tcW w:w="1202" w:type="dxa"/>
            <w:vAlign w:val="center"/>
          </w:tcPr>
          <w:p w:rsidR="00B01527" w:rsidRDefault="00154737">
            <w:pPr>
              <w:jc w:val="center"/>
            </w:pPr>
            <w:r>
              <w:rPr>
                <w:color w:val="000000"/>
                <w:sz w:val="24"/>
              </w:rPr>
              <w:t>2014-08-26</w:t>
            </w:r>
          </w:p>
        </w:tc>
        <w:tc>
          <w:tcPr>
            <w:tcW w:w="1300" w:type="dxa"/>
            <w:vAlign w:val="center"/>
          </w:tcPr>
          <w:p w:rsidR="00B01527" w:rsidRDefault="00154737">
            <w:pPr>
              <w:jc w:val="center"/>
            </w:pPr>
            <w:r>
              <w:rPr>
                <w:color w:val="000000"/>
                <w:sz w:val="24"/>
              </w:rPr>
              <w:t>-</w:t>
            </w:r>
          </w:p>
        </w:tc>
        <w:tc>
          <w:tcPr>
            <w:tcW w:w="1245" w:type="dxa"/>
            <w:vAlign w:val="center"/>
          </w:tcPr>
          <w:p w:rsidR="00B01527" w:rsidRDefault="00154737">
            <w:pPr>
              <w:jc w:val="center"/>
            </w:pPr>
            <w:r>
              <w:rPr>
                <w:color w:val="000000"/>
                <w:sz w:val="24"/>
              </w:rPr>
              <w:t>3</w:t>
            </w:r>
            <w:r>
              <w:rPr>
                <w:color w:val="000000"/>
                <w:sz w:val="24"/>
              </w:rPr>
              <w:t>年</w:t>
            </w:r>
          </w:p>
        </w:tc>
        <w:tc>
          <w:tcPr>
            <w:tcW w:w="3251" w:type="dxa"/>
            <w:vAlign w:val="center"/>
          </w:tcPr>
          <w:p w:rsidR="00B01527" w:rsidRDefault="00154737">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B01527" w:rsidRDefault="0015473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01527" w:rsidRDefault="0015473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01527" w:rsidRDefault="0015473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w:t>
      </w:r>
      <w:r w:rsidRPr="007F52FA">
        <w:rPr>
          <w:color w:val="000000"/>
          <w:sz w:val="24"/>
        </w:rPr>
        <w:t>,</w:t>
      </w:r>
      <w:r w:rsidRPr="007F52FA">
        <w:rPr>
          <w:color w:val="000000"/>
          <w:sz w:val="24"/>
        </w:rPr>
        <w:t>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B01527" w:rsidRDefault="00154737">
      <w:pPr>
        <w:spacing w:before="29" w:line="288" w:lineRule="auto"/>
        <w:ind w:firstLineChars="200" w:firstLine="480"/>
        <w:rPr>
          <w:color w:val="000000"/>
          <w:sz w:val="24"/>
        </w:rPr>
      </w:pPr>
      <w:r>
        <w:rPr>
          <w:color w:val="000000"/>
          <w:sz w:val="24"/>
        </w:rPr>
        <w:t>中央经济工作会议指出，</w:t>
      </w:r>
      <w:r>
        <w:rPr>
          <w:color w:val="000000"/>
          <w:sz w:val="24"/>
        </w:rPr>
        <w:t>“</w:t>
      </w:r>
      <w:r>
        <w:rPr>
          <w:color w:val="000000"/>
          <w:sz w:val="24"/>
        </w:rPr>
        <w:t>积极的财政政策要有力度，货币政策要更加注重松紧适度。</w:t>
      </w:r>
      <w:r>
        <w:rPr>
          <w:color w:val="000000"/>
          <w:sz w:val="24"/>
        </w:rPr>
        <w:t>”</w:t>
      </w:r>
      <w:r>
        <w:rPr>
          <w:color w:val="000000"/>
          <w:sz w:val="24"/>
        </w:rPr>
        <w:t>四季度市场迎来预期已久的全面降息，释放出明确的稳增长信号意义，未来货币政策全面放松可期。</w:t>
      </w:r>
    </w:p>
    <w:p w:rsidR="00B01527" w:rsidRDefault="00154737">
      <w:pPr>
        <w:spacing w:before="29" w:line="288" w:lineRule="auto"/>
        <w:ind w:firstLineChars="200" w:firstLine="480"/>
        <w:rPr>
          <w:color w:val="000000"/>
          <w:sz w:val="24"/>
        </w:rPr>
      </w:pPr>
      <w:r>
        <w:rPr>
          <w:color w:val="000000"/>
          <w:sz w:val="24"/>
        </w:rPr>
        <w:t>全面降息的利好带动债券市场牛市情绪进一步发酵，</w:t>
      </w:r>
      <w:r>
        <w:rPr>
          <w:color w:val="000000"/>
          <w:sz w:val="24"/>
        </w:rPr>
        <w:t>12</w:t>
      </w:r>
      <w:r>
        <w:rPr>
          <w:color w:val="000000"/>
          <w:sz w:val="24"/>
        </w:rPr>
        <w:t>月初中证登发布的《关于加强企业债券回购风险管理相关措施的通知》则引发大量企业债（尤其是城投债）的价值重估。中债总全价（总值）指数在</w:t>
      </w:r>
      <w:r>
        <w:rPr>
          <w:color w:val="000000"/>
          <w:sz w:val="24"/>
        </w:rPr>
        <w:t>10</w:t>
      </w:r>
      <w:r>
        <w:rPr>
          <w:color w:val="000000"/>
          <w:sz w:val="24"/>
        </w:rPr>
        <w:t>月上涨</w:t>
      </w:r>
      <w:r>
        <w:rPr>
          <w:color w:val="000000"/>
          <w:sz w:val="24"/>
        </w:rPr>
        <w:t>1.74%</w:t>
      </w:r>
      <w:r>
        <w:rPr>
          <w:color w:val="000000"/>
          <w:sz w:val="24"/>
        </w:rPr>
        <w:t>，</w:t>
      </w:r>
      <w:r>
        <w:rPr>
          <w:color w:val="000000"/>
          <w:sz w:val="24"/>
        </w:rPr>
        <w:t>11</w:t>
      </w:r>
      <w:r>
        <w:rPr>
          <w:color w:val="000000"/>
          <w:sz w:val="24"/>
        </w:rPr>
        <w:t>月上涨</w:t>
      </w:r>
      <w:r>
        <w:rPr>
          <w:color w:val="000000"/>
          <w:sz w:val="24"/>
        </w:rPr>
        <w:t>1.34%</w:t>
      </w:r>
      <w:r>
        <w:rPr>
          <w:color w:val="000000"/>
          <w:sz w:val="24"/>
        </w:rPr>
        <w:t>，</w:t>
      </w:r>
      <w:r>
        <w:rPr>
          <w:color w:val="000000"/>
          <w:sz w:val="24"/>
        </w:rPr>
        <w:t>12</w:t>
      </w:r>
      <w:r>
        <w:rPr>
          <w:color w:val="000000"/>
          <w:sz w:val="24"/>
        </w:rPr>
        <w:t>月下跌</w:t>
      </w:r>
      <w:r>
        <w:rPr>
          <w:color w:val="000000"/>
          <w:sz w:val="24"/>
        </w:rPr>
        <w:t>0.64%</w:t>
      </w:r>
      <w:r>
        <w:rPr>
          <w:color w:val="000000"/>
          <w:sz w:val="24"/>
        </w:rPr>
        <w:t>。本基金在本报告期内适当参与了权益类投资，分享了</w:t>
      </w:r>
      <w:r>
        <w:rPr>
          <w:color w:val="000000"/>
          <w:sz w:val="24"/>
        </w:rPr>
        <w:t>A</w:t>
      </w:r>
      <w:r>
        <w:rPr>
          <w:color w:val="000000"/>
          <w:sz w:val="24"/>
        </w:rPr>
        <w:t>股牛市的收益；</w:t>
      </w:r>
      <w:r>
        <w:rPr>
          <w:color w:val="000000"/>
          <w:sz w:val="24"/>
        </w:rPr>
        <w:t>12</w:t>
      </w:r>
      <w:r>
        <w:rPr>
          <w:color w:val="000000"/>
          <w:sz w:val="24"/>
        </w:rPr>
        <w:t>月初以来受中证登事件影响，净值有一定程度的回撤。</w:t>
      </w:r>
    </w:p>
    <w:p w:rsidR="00952A72" w:rsidRPr="007F52FA" w:rsidRDefault="00323F25" w:rsidP="007C14DF">
      <w:pPr>
        <w:spacing w:before="29" w:line="288" w:lineRule="auto"/>
        <w:ind w:firstLineChars="200" w:firstLine="480"/>
        <w:rPr>
          <w:color w:val="000000"/>
          <w:sz w:val="24"/>
        </w:rPr>
      </w:pPr>
      <w:r w:rsidRPr="007F52FA">
        <w:rPr>
          <w:color w:val="000000"/>
          <w:sz w:val="24"/>
        </w:rPr>
        <w:t>货币与信贷的双宽松格局伴随过于平坦的利率债曲线，信贷和地产销售回暖带来的不确定性令市场在短期内难以抉择，后续仍应密切关注信贷和地产数据作为进一步判断的依据。本基金一季度将维持中短久期，力求获取稳定票息收入；在合适的时机继续适当参与转债投资。</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2014</w:t>
      </w:r>
      <w:r w:rsidRPr="007F52FA">
        <w:rPr>
          <w:color w:val="000000"/>
          <w:sz w:val="24"/>
        </w:rPr>
        <w:t>年</w:t>
      </w:r>
      <w:r w:rsidR="00154737">
        <w:rPr>
          <w:rFonts w:hint="eastAsia"/>
          <w:color w:val="000000"/>
          <w:sz w:val="24"/>
        </w:rPr>
        <w:t>12</w:t>
      </w:r>
      <w:r w:rsidRPr="007F52FA">
        <w:rPr>
          <w:color w:val="000000"/>
          <w:sz w:val="24"/>
        </w:rPr>
        <w:t>月</w:t>
      </w:r>
      <w:r w:rsidR="00154737">
        <w:rPr>
          <w:rFonts w:hint="eastAsia"/>
          <w:color w:val="000000"/>
          <w:sz w:val="24"/>
        </w:rPr>
        <w:t>31</w:t>
      </w:r>
      <w:r w:rsidRPr="007F52FA">
        <w:rPr>
          <w:color w:val="000000"/>
          <w:sz w:val="24"/>
        </w:rPr>
        <w:t>日，交银强化回报债券</w:t>
      </w:r>
      <w:r w:rsidRPr="007F52FA">
        <w:rPr>
          <w:color w:val="000000"/>
          <w:sz w:val="24"/>
        </w:rPr>
        <w:t>A/B</w:t>
      </w:r>
      <w:r w:rsidRPr="007F52FA">
        <w:rPr>
          <w:color w:val="000000"/>
          <w:sz w:val="24"/>
        </w:rPr>
        <w:t>份额净值为</w:t>
      </w:r>
      <w:r w:rsidRPr="007F52FA">
        <w:rPr>
          <w:color w:val="000000"/>
          <w:sz w:val="24"/>
        </w:rPr>
        <w:t>1.0</w:t>
      </w:r>
      <w:r w:rsidR="00154737">
        <w:rPr>
          <w:rFonts w:hint="eastAsia"/>
          <w:color w:val="000000"/>
          <w:sz w:val="24"/>
        </w:rPr>
        <w:t>37</w:t>
      </w:r>
      <w:r w:rsidRPr="007F52FA">
        <w:rPr>
          <w:color w:val="000000"/>
          <w:sz w:val="24"/>
        </w:rPr>
        <w:t>元，本报告期份额净值增长率为</w:t>
      </w:r>
      <w:r w:rsidRPr="007F52FA">
        <w:rPr>
          <w:color w:val="000000"/>
          <w:sz w:val="24"/>
        </w:rPr>
        <w:t>2.</w:t>
      </w:r>
      <w:r w:rsidR="00154737">
        <w:rPr>
          <w:rFonts w:hint="eastAsia"/>
          <w:color w:val="000000"/>
          <w:sz w:val="24"/>
        </w:rPr>
        <w:t>65</w:t>
      </w:r>
      <w:r w:rsidRPr="007F52FA">
        <w:rPr>
          <w:color w:val="000000"/>
          <w:sz w:val="24"/>
        </w:rPr>
        <w:t>%</w:t>
      </w:r>
      <w:r w:rsidRPr="007F52FA">
        <w:rPr>
          <w:color w:val="000000"/>
          <w:sz w:val="24"/>
        </w:rPr>
        <w:t>，同期业绩比较基准增长率为</w:t>
      </w:r>
      <w:r w:rsidR="00154737">
        <w:rPr>
          <w:rFonts w:hint="eastAsia"/>
          <w:color w:val="000000"/>
          <w:sz w:val="24"/>
        </w:rPr>
        <w:t>1.67</w:t>
      </w:r>
      <w:r w:rsidRPr="007F52FA">
        <w:rPr>
          <w:color w:val="000000"/>
          <w:sz w:val="24"/>
        </w:rPr>
        <w:t>%</w:t>
      </w:r>
      <w:r w:rsidRPr="007F52FA">
        <w:rPr>
          <w:color w:val="000000"/>
          <w:sz w:val="24"/>
        </w:rPr>
        <w:t>；交银强化回报债券</w:t>
      </w:r>
      <w:r w:rsidRPr="007F52FA">
        <w:rPr>
          <w:color w:val="000000"/>
          <w:sz w:val="24"/>
        </w:rPr>
        <w:t>C</w:t>
      </w:r>
      <w:r w:rsidRPr="007F52FA">
        <w:rPr>
          <w:color w:val="000000"/>
          <w:sz w:val="24"/>
        </w:rPr>
        <w:t>份额净值为</w:t>
      </w:r>
      <w:r w:rsidRPr="007F52FA">
        <w:rPr>
          <w:color w:val="000000"/>
          <w:sz w:val="24"/>
        </w:rPr>
        <w:t>1.0</w:t>
      </w:r>
      <w:r w:rsidR="00154737">
        <w:rPr>
          <w:rFonts w:hint="eastAsia"/>
          <w:color w:val="000000"/>
          <w:sz w:val="24"/>
        </w:rPr>
        <w:t>35</w:t>
      </w:r>
      <w:r w:rsidRPr="007F52FA">
        <w:rPr>
          <w:color w:val="000000"/>
          <w:sz w:val="24"/>
        </w:rPr>
        <w:t>元，本报告期份额净值增长率为</w:t>
      </w:r>
      <w:r w:rsidRPr="007F52FA">
        <w:rPr>
          <w:color w:val="000000"/>
          <w:sz w:val="24"/>
        </w:rPr>
        <w:t>2.</w:t>
      </w:r>
      <w:r w:rsidR="00154737">
        <w:rPr>
          <w:rFonts w:hint="eastAsia"/>
          <w:color w:val="000000"/>
          <w:sz w:val="24"/>
        </w:rPr>
        <w:t>46</w:t>
      </w:r>
      <w:r w:rsidRPr="007F52FA">
        <w:rPr>
          <w:color w:val="000000"/>
          <w:sz w:val="24"/>
        </w:rPr>
        <w:t>%</w:t>
      </w:r>
      <w:r w:rsidRPr="007F52FA">
        <w:rPr>
          <w:color w:val="000000"/>
          <w:sz w:val="24"/>
        </w:rPr>
        <w:t>，同期业绩比较基准增长率为</w:t>
      </w:r>
      <w:r w:rsidR="00154737">
        <w:rPr>
          <w:rFonts w:hint="eastAsia"/>
          <w:color w:val="000000"/>
          <w:sz w:val="24"/>
        </w:rPr>
        <w:t>1.67</w:t>
      </w:r>
      <w:r w:rsidRPr="007F52FA">
        <w:rPr>
          <w:color w:val="000000"/>
          <w:sz w:val="24"/>
        </w:rPr>
        <w:t>%</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本基金自《公开募集证券投资基金运作管理办法》生效日（</w:t>
      </w:r>
      <w:r w:rsidRPr="002070B4">
        <w:rPr>
          <w:color w:val="000000"/>
          <w:sz w:val="24"/>
        </w:rPr>
        <w:t>2014</w:t>
      </w:r>
      <w:r w:rsidRPr="002070B4">
        <w:rPr>
          <w:color w:val="000000"/>
          <w:sz w:val="24"/>
        </w:rPr>
        <w:t>年</w:t>
      </w:r>
      <w:r w:rsidRPr="002070B4">
        <w:rPr>
          <w:color w:val="000000"/>
          <w:sz w:val="24"/>
        </w:rPr>
        <w:t>8</w:t>
      </w:r>
      <w:r w:rsidRPr="002070B4">
        <w:rPr>
          <w:color w:val="000000"/>
          <w:sz w:val="24"/>
        </w:rPr>
        <w:t>月</w:t>
      </w:r>
      <w:r w:rsidRPr="002070B4">
        <w:rPr>
          <w:color w:val="000000"/>
          <w:sz w:val="24"/>
        </w:rPr>
        <w:t>8</w:t>
      </w:r>
      <w:r w:rsidRPr="002070B4">
        <w:rPr>
          <w:color w:val="000000"/>
          <w:sz w:val="24"/>
        </w:rPr>
        <w:t>日）起至</w:t>
      </w:r>
      <w:r w:rsidRPr="002070B4">
        <w:rPr>
          <w:color w:val="000000"/>
          <w:sz w:val="24"/>
        </w:rPr>
        <w:t>2014</w:t>
      </w:r>
      <w:r w:rsidRPr="002070B4">
        <w:rPr>
          <w:color w:val="000000"/>
          <w:sz w:val="24"/>
        </w:rPr>
        <w:t>年</w:t>
      </w:r>
      <w:r w:rsidRPr="002070B4">
        <w:rPr>
          <w:color w:val="000000"/>
          <w:sz w:val="24"/>
        </w:rPr>
        <w:t>10</w:t>
      </w:r>
      <w:r w:rsidRPr="002070B4">
        <w:rPr>
          <w:color w:val="000000"/>
          <w:sz w:val="24"/>
        </w:rPr>
        <w:t>月</w:t>
      </w:r>
      <w:r w:rsidRPr="002070B4">
        <w:rPr>
          <w:color w:val="000000"/>
          <w:sz w:val="24"/>
        </w:rPr>
        <w:t>28</w:t>
      </w:r>
      <w:r w:rsidRPr="002070B4">
        <w:rPr>
          <w:color w:val="000000"/>
          <w:sz w:val="24"/>
        </w:rPr>
        <w:t>日止基金资产净值低于五千万元。</w:t>
      </w:r>
    </w:p>
    <w:p w:rsidR="00400FA6" w:rsidRPr="007F52FA" w:rsidRDefault="00400FA6" w:rsidP="007C14DF">
      <w:pPr>
        <w:spacing w:before="29" w:line="288" w:lineRule="auto"/>
        <w:ind w:firstLineChars="200" w:firstLine="480"/>
        <w:rPr>
          <w:color w:val="000000"/>
          <w:sz w:val="24"/>
        </w:rPr>
      </w:pPr>
    </w:p>
    <w:p w:rsidR="009238DB" w:rsidRPr="007F52FA" w:rsidRDefault="00FF5FC7" w:rsidP="00BC3E5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16,980.00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0.01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16,980.00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0.01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247,413,761.11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84.89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247,413,761.11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84.89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5,039,111.61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5,039,111.61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1.73</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33,949,172.80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11.65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5,021,036.92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1.72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291,440,062.44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16,980.00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16,980.00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B01527">
        <w:trPr>
          <w:jc w:val="center"/>
        </w:trPr>
        <w:tc>
          <w:tcPr>
            <w:tcW w:w="850" w:type="dxa"/>
            <w:vAlign w:val="center"/>
          </w:tcPr>
          <w:p w:rsidR="00B01527" w:rsidRDefault="00154737">
            <w:pPr>
              <w:jc w:val="center"/>
            </w:pPr>
            <w:r>
              <w:rPr>
                <w:color w:val="000000"/>
                <w:sz w:val="24"/>
              </w:rPr>
              <w:t>1</w:t>
            </w:r>
          </w:p>
        </w:tc>
        <w:tc>
          <w:tcPr>
            <w:tcW w:w="1327" w:type="dxa"/>
            <w:vAlign w:val="center"/>
          </w:tcPr>
          <w:p w:rsidR="00B01527" w:rsidRDefault="00154737">
            <w:pPr>
              <w:jc w:val="center"/>
            </w:pPr>
            <w:r>
              <w:rPr>
                <w:color w:val="000000"/>
                <w:sz w:val="24"/>
              </w:rPr>
              <w:t>600129</w:t>
            </w:r>
          </w:p>
        </w:tc>
        <w:tc>
          <w:tcPr>
            <w:tcW w:w="1769" w:type="dxa"/>
            <w:vAlign w:val="center"/>
          </w:tcPr>
          <w:p w:rsidR="00B01527" w:rsidRDefault="00154737">
            <w:pPr>
              <w:jc w:val="center"/>
            </w:pPr>
            <w:r>
              <w:rPr>
                <w:color w:val="000000"/>
                <w:sz w:val="24"/>
              </w:rPr>
              <w:t>太极集团</w:t>
            </w:r>
          </w:p>
        </w:tc>
        <w:tc>
          <w:tcPr>
            <w:tcW w:w="1327" w:type="dxa"/>
            <w:vAlign w:val="center"/>
          </w:tcPr>
          <w:p w:rsidR="00B01527" w:rsidRDefault="00154737">
            <w:pPr>
              <w:jc w:val="right"/>
            </w:pPr>
            <w:r>
              <w:rPr>
                <w:color w:val="000000"/>
                <w:sz w:val="24"/>
              </w:rPr>
              <w:t>1,000</w:t>
            </w:r>
          </w:p>
        </w:tc>
        <w:tc>
          <w:tcPr>
            <w:tcW w:w="1915" w:type="dxa"/>
            <w:vAlign w:val="center"/>
          </w:tcPr>
          <w:p w:rsidR="00B01527" w:rsidRDefault="00154737">
            <w:pPr>
              <w:jc w:val="right"/>
            </w:pPr>
            <w:r>
              <w:rPr>
                <w:color w:val="000000"/>
                <w:sz w:val="24"/>
              </w:rPr>
              <w:t>16,980.00</w:t>
            </w:r>
          </w:p>
        </w:tc>
        <w:tc>
          <w:tcPr>
            <w:tcW w:w="1680" w:type="dxa"/>
            <w:vAlign w:val="center"/>
          </w:tcPr>
          <w:p w:rsidR="00B01527" w:rsidRDefault="00154737">
            <w:pPr>
              <w:jc w:val="right"/>
            </w:pPr>
            <w:r>
              <w:rPr>
                <w:color w:val="000000"/>
                <w:sz w:val="24"/>
              </w:rPr>
              <w:t>0.01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1,035,500.00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0.52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10,013,400.00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10,013,400.00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185,407,601.11</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92.64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15,061,000.00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7.53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34,834,500.00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17.41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1,061,760.00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0.53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247,413,761.11</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123.62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01527">
        <w:trPr>
          <w:jc w:val="center"/>
        </w:trPr>
        <w:tc>
          <w:tcPr>
            <w:tcW w:w="1075" w:type="dxa"/>
            <w:vAlign w:val="center"/>
          </w:tcPr>
          <w:p w:rsidR="00B01527" w:rsidRDefault="00154737">
            <w:pPr>
              <w:jc w:val="center"/>
            </w:pPr>
            <w:r>
              <w:rPr>
                <w:color w:val="000000"/>
                <w:sz w:val="24"/>
              </w:rPr>
              <w:t>1</w:t>
            </w:r>
          </w:p>
        </w:tc>
        <w:tc>
          <w:tcPr>
            <w:tcW w:w="1533" w:type="dxa"/>
            <w:vAlign w:val="center"/>
          </w:tcPr>
          <w:p w:rsidR="00B01527" w:rsidRDefault="00154737">
            <w:pPr>
              <w:jc w:val="center"/>
            </w:pPr>
            <w:r>
              <w:rPr>
                <w:color w:val="000000"/>
                <w:sz w:val="24"/>
              </w:rPr>
              <w:t>122336</w:t>
            </w:r>
          </w:p>
        </w:tc>
        <w:tc>
          <w:tcPr>
            <w:tcW w:w="1533" w:type="dxa"/>
            <w:vAlign w:val="center"/>
          </w:tcPr>
          <w:p w:rsidR="00B01527" w:rsidRDefault="00154737">
            <w:pPr>
              <w:jc w:val="center"/>
            </w:pPr>
            <w:r>
              <w:rPr>
                <w:color w:val="000000"/>
                <w:sz w:val="24"/>
              </w:rPr>
              <w:t>13</w:t>
            </w:r>
            <w:r>
              <w:rPr>
                <w:color w:val="000000"/>
                <w:sz w:val="24"/>
              </w:rPr>
              <w:t>牡丹</w:t>
            </w:r>
            <w:r>
              <w:rPr>
                <w:color w:val="000000"/>
                <w:sz w:val="24"/>
              </w:rPr>
              <w:t>01</w:t>
            </w:r>
          </w:p>
        </w:tc>
        <w:tc>
          <w:tcPr>
            <w:tcW w:w="1394" w:type="dxa"/>
            <w:vAlign w:val="center"/>
          </w:tcPr>
          <w:p w:rsidR="00B01527" w:rsidRDefault="00154737">
            <w:pPr>
              <w:jc w:val="right"/>
            </w:pPr>
            <w:r>
              <w:rPr>
                <w:color w:val="000000"/>
                <w:sz w:val="24"/>
              </w:rPr>
              <w:t>180,000</w:t>
            </w:r>
          </w:p>
        </w:tc>
        <w:tc>
          <w:tcPr>
            <w:tcW w:w="1944" w:type="dxa"/>
            <w:vAlign w:val="center"/>
          </w:tcPr>
          <w:p w:rsidR="00B01527" w:rsidRDefault="00154737">
            <w:pPr>
              <w:jc w:val="right"/>
            </w:pPr>
            <w:r>
              <w:rPr>
                <w:color w:val="000000"/>
                <w:sz w:val="24"/>
              </w:rPr>
              <w:t>17,613,000.00</w:t>
            </w:r>
          </w:p>
        </w:tc>
        <w:tc>
          <w:tcPr>
            <w:tcW w:w="1389" w:type="dxa"/>
            <w:vAlign w:val="center"/>
          </w:tcPr>
          <w:p w:rsidR="00B01527" w:rsidRDefault="00154737">
            <w:pPr>
              <w:jc w:val="right"/>
            </w:pPr>
            <w:r>
              <w:rPr>
                <w:color w:val="000000"/>
                <w:sz w:val="24"/>
              </w:rPr>
              <w:t>8.80</w:t>
            </w:r>
          </w:p>
        </w:tc>
      </w:tr>
      <w:tr w:rsidR="00B01527">
        <w:trPr>
          <w:jc w:val="center"/>
        </w:trPr>
        <w:tc>
          <w:tcPr>
            <w:tcW w:w="1075" w:type="dxa"/>
            <w:vAlign w:val="center"/>
          </w:tcPr>
          <w:p w:rsidR="00B01527" w:rsidRDefault="00154737">
            <w:pPr>
              <w:jc w:val="center"/>
            </w:pPr>
            <w:r>
              <w:rPr>
                <w:color w:val="000000"/>
                <w:sz w:val="24"/>
              </w:rPr>
              <w:t>2</w:t>
            </w:r>
          </w:p>
        </w:tc>
        <w:tc>
          <w:tcPr>
            <w:tcW w:w="1533" w:type="dxa"/>
            <w:vAlign w:val="center"/>
          </w:tcPr>
          <w:p w:rsidR="00B01527" w:rsidRDefault="00154737">
            <w:pPr>
              <w:jc w:val="center"/>
            </w:pPr>
            <w:r>
              <w:rPr>
                <w:color w:val="000000"/>
                <w:sz w:val="24"/>
              </w:rPr>
              <w:t>1280022</w:t>
            </w:r>
          </w:p>
        </w:tc>
        <w:tc>
          <w:tcPr>
            <w:tcW w:w="1533" w:type="dxa"/>
            <w:vAlign w:val="center"/>
          </w:tcPr>
          <w:p w:rsidR="00B01527" w:rsidRDefault="00154737">
            <w:pPr>
              <w:jc w:val="center"/>
            </w:pPr>
            <w:r>
              <w:rPr>
                <w:color w:val="000000"/>
                <w:sz w:val="24"/>
              </w:rPr>
              <w:t>12</w:t>
            </w:r>
            <w:r>
              <w:rPr>
                <w:color w:val="000000"/>
                <w:sz w:val="24"/>
              </w:rPr>
              <w:t>晋江能源债</w:t>
            </w:r>
          </w:p>
        </w:tc>
        <w:tc>
          <w:tcPr>
            <w:tcW w:w="1394" w:type="dxa"/>
            <w:vAlign w:val="center"/>
          </w:tcPr>
          <w:p w:rsidR="00B01527" w:rsidRDefault="00154737">
            <w:pPr>
              <w:jc w:val="right"/>
            </w:pPr>
            <w:r>
              <w:rPr>
                <w:color w:val="000000"/>
                <w:sz w:val="24"/>
              </w:rPr>
              <w:t>150,000</w:t>
            </w:r>
          </w:p>
        </w:tc>
        <w:tc>
          <w:tcPr>
            <w:tcW w:w="1944" w:type="dxa"/>
            <w:vAlign w:val="center"/>
          </w:tcPr>
          <w:p w:rsidR="00B01527" w:rsidRDefault="00154737">
            <w:pPr>
              <w:jc w:val="right"/>
            </w:pPr>
            <w:r>
              <w:rPr>
                <w:color w:val="000000"/>
                <w:sz w:val="24"/>
              </w:rPr>
              <w:t>15,949,500.00</w:t>
            </w:r>
          </w:p>
        </w:tc>
        <w:tc>
          <w:tcPr>
            <w:tcW w:w="1389" w:type="dxa"/>
            <w:vAlign w:val="center"/>
          </w:tcPr>
          <w:p w:rsidR="00B01527" w:rsidRDefault="00154737">
            <w:pPr>
              <w:jc w:val="right"/>
            </w:pPr>
            <w:r>
              <w:rPr>
                <w:color w:val="000000"/>
                <w:sz w:val="24"/>
              </w:rPr>
              <w:t>7.97</w:t>
            </w:r>
          </w:p>
        </w:tc>
      </w:tr>
      <w:tr w:rsidR="00B01527">
        <w:trPr>
          <w:jc w:val="center"/>
        </w:trPr>
        <w:tc>
          <w:tcPr>
            <w:tcW w:w="1075" w:type="dxa"/>
            <w:vAlign w:val="center"/>
          </w:tcPr>
          <w:p w:rsidR="00B01527" w:rsidRDefault="00154737">
            <w:pPr>
              <w:jc w:val="center"/>
            </w:pPr>
            <w:r>
              <w:rPr>
                <w:color w:val="000000"/>
                <w:sz w:val="24"/>
              </w:rPr>
              <w:t>3</w:t>
            </w:r>
          </w:p>
        </w:tc>
        <w:tc>
          <w:tcPr>
            <w:tcW w:w="1533" w:type="dxa"/>
            <w:vAlign w:val="center"/>
          </w:tcPr>
          <w:p w:rsidR="00B01527" w:rsidRDefault="00154737">
            <w:pPr>
              <w:jc w:val="center"/>
            </w:pPr>
            <w:r>
              <w:rPr>
                <w:color w:val="000000"/>
                <w:sz w:val="24"/>
              </w:rPr>
              <w:t>123359</w:t>
            </w:r>
          </w:p>
        </w:tc>
        <w:tc>
          <w:tcPr>
            <w:tcW w:w="1533" w:type="dxa"/>
            <w:vAlign w:val="center"/>
          </w:tcPr>
          <w:p w:rsidR="00B01527" w:rsidRDefault="00154737">
            <w:pPr>
              <w:jc w:val="center"/>
            </w:pPr>
            <w:r>
              <w:rPr>
                <w:color w:val="000000"/>
                <w:sz w:val="24"/>
              </w:rPr>
              <w:t>14</w:t>
            </w:r>
            <w:r>
              <w:rPr>
                <w:color w:val="000000"/>
                <w:sz w:val="24"/>
              </w:rPr>
              <w:t>兴业</w:t>
            </w:r>
            <w:r>
              <w:rPr>
                <w:color w:val="000000"/>
                <w:sz w:val="24"/>
              </w:rPr>
              <w:t>02</w:t>
            </w:r>
          </w:p>
        </w:tc>
        <w:tc>
          <w:tcPr>
            <w:tcW w:w="1394" w:type="dxa"/>
            <w:vAlign w:val="center"/>
          </w:tcPr>
          <w:p w:rsidR="00B01527" w:rsidRDefault="00154737">
            <w:pPr>
              <w:jc w:val="right"/>
            </w:pPr>
            <w:r>
              <w:rPr>
                <w:color w:val="000000"/>
                <w:sz w:val="24"/>
              </w:rPr>
              <w:t>120,000</w:t>
            </w:r>
          </w:p>
        </w:tc>
        <w:tc>
          <w:tcPr>
            <w:tcW w:w="1944" w:type="dxa"/>
            <w:vAlign w:val="center"/>
          </w:tcPr>
          <w:p w:rsidR="00B01527" w:rsidRDefault="00154737">
            <w:pPr>
              <w:jc w:val="right"/>
            </w:pPr>
            <w:r>
              <w:rPr>
                <w:color w:val="000000"/>
                <w:sz w:val="24"/>
              </w:rPr>
              <w:t>12,036,078.90</w:t>
            </w:r>
          </w:p>
        </w:tc>
        <w:tc>
          <w:tcPr>
            <w:tcW w:w="1389" w:type="dxa"/>
            <w:vAlign w:val="center"/>
          </w:tcPr>
          <w:p w:rsidR="00B01527" w:rsidRDefault="00154737">
            <w:pPr>
              <w:jc w:val="right"/>
            </w:pPr>
            <w:r>
              <w:rPr>
                <w:color w:val="000000"/>
                <w:sz w:val="24"/>
              </w:rPr>
              <w:t>6.01</w:t>
            </w:r>
          </w:p>
        </w:tc>
      </w:tr>
      <w:tr w:rsidR="00B01527">
        <w:trPr>
          <w:jc w:val="center"/>
        </w:trPr>
        <w:tc>
          <w:tcPr>
            <w:tcW w:w="1075" w:type="dxa"/>
            <w:vAlign w:val="center"/>
          </w:tcPr>
          <w:p w:rsidR="00B01527" w:rsidRDefault="00154737">
            <w:pPr>
              <w:jc w:val="center"/>
            </w:pPr>
            <w:r>
              <w:rPr>
                <w:color w:val="000000"/>
                <w:sz w:val="24"/>
              </w:rPr>
              <w:t>4</w:t>
            </w:r>
          </w:p>
        </w:tc>
        <w:tc>
          <w:tcPr>
            <w:tcW w:w="1533" w:type="dxa"/>
            <w:vAlign w:val="center"/>
          </w:tcPr>
          <w:p w:rsidR="00B01527" w:rsidRDefault="00154737">
            <w:pPr>
              <w:jc w:val="center"/>
            </w:pPr>
            <w:r>
              <w:rPr>
                <w:color w:val="000000"/>
                <w:sz w:val="24"/>
              </w:rPr>
              <w:t>123309</w:t>
            </w:r>
          </w:p>
        </w:tc>
        <w:tc>
          <w:tcPr>
            <w:tcW w:w="1533" w:type="dxa"/>
            <w:vAlign w:val="center"/>
          </w:tcPr>
          <w:p w:rsidR="00B01527" w:rsidRDefault="00154737">
            <w:pPr>
              <w:jc w:val="center"/>
            </w:pPr>
            <w:r>
              <w:rPr>
                <w:color w:val="000000"/>
                <w:sz w:val="24"/>
              </w:rPr>
              <w:t>14</w:t>
            </w:r>
            <w:r>
              <w:rPr>
                <w:color w:val="000000"/>
                <w:sz w:val="24"/>
              </w:rPr>
              <w:t>民族</w:t>
            </w:r>
            <w:r>
              <w:rPr>
                <w:color w:val="000000"/>
                <w:sz w:val="24"/>
              </w:rPr>
              <w:t>02</w:t>
            </w:r>
          </w:p>
        </w:tc>
        <w:tc>
          <w:tcPr>
            <w:tcW w:w="1394" w:type="dxa"/>
            <w:vAlign w:val="center"/>
          </w:tcPr>
          <w:p w:rsidR="00B01527" w:rsidRDefault="00154737">
            <w:pPr>
              <w:jc w:val="right"/>
            </w:pPr>
            <w:r>
              <w:rPr>
                <w:color w:val="000000"/>
                <w:sz w:val="24"/>
              </w:rPr>
              <w:t>120,000</w:t>
            </w:r>
          </w:p>
        </w:tc>
        <w:tc>
          <w:tcPr>
            <w:tcW w:w="1944" w:type="dxa"/>
            <w:vAlign w:val="center"/>
          </w:tcPr>
          <w:p w:rsidR="00B01527" w:rsidRDefault="00154737">
            <w:pPr>
              <w:jc w:val="right"/>
            </w:pPr>
            <w:r>
              <w:rPr>
                <w:color w:val="000000"/>
                <w:sz w:val="24"/>
              </w:rPr>
              <w:t>12,012,887.68</w:t>
            </w:r>
          </w:p>
        </w:tc>
        <w:tc>
          <w:tcPr>
            <w:tcW w:w="1389" w:type="dxa"/>
            <w:vAlign w:val="center"/>
          </w:tcPr>
          <w:p w:rsidR="00B01527" w:rsidRDefault="00154737">
            <w:pPr>
              <w:jc w:val="right"/>
            </w:pPr>
            <w:r>
              <w:rPr>
                <w:color w:val="000000"/>
                <w:sz w:val="24"/>
              </w:rPr>
              <w:t>6.00</w:t>
            </w:r>
          </w:p>
        </w:tc>
      </w:tr>
      <w:tr w:rsidR="00B01527">
        <w:trPr>
          <w:jc w:val="center"/>
        </w:trPr>
        <w:tc>
          <w:tcPr>
            <w:tcW w:w="1075" w:type="dxa"/>
            <w:vAlign w:val="center"/>
          </w:tcPr>
          <w:p w:rsidR="00B01527" w:rsidRDefault="00154737">
            <w:pPr>
              <w:jc w:val="center"/>
            </w:pPr>
            <w:r>
              <w:rPr>
                <w:color w:val="000000"/>
                <w:sz w:val="24"/>
              </w:rPr>
              <w:t>5</w:t>
            </w:r>
          </w:p>
        </w:tc>
        <w:tc>
          <w:tcPr>
            <w:tcW w:w="1533" w:type="dxa"/>
            <w:vAlign w:val="center"/>
          </w:tcPr>
          <w:p w:rsidR="00B01527" w:rsidRDefault="00154737">
            <w:pPr>
              <w:jc w:val="center"/>
            </w:pPr>
            <w:r>
              <w:rPr>
                <w:color w:val="000000"/>
                <w:sz w:val="24"/>
              </w:rPr>
              <w:t>1480372</w:t>
            </w:r>
          </w:p>
        </w:tc>
        <w:tc>
          <w:tcPr>
            <w:tcW w:w="1533" w:type="dxa"/>
            <w:vAlign w:val="center"/>
          </w:tcPr>
          <w:p w:rsidR="00B01527" w:rsidRDefault="00154737">
            <w:pPr>
              <w:jc w:val="center"/>
            </w:pPr>
            <w:r>
              <w:rPr>
                <w:color w:val="000000"/>
                <w:sz w:val="24"/>
              </w:rPr>
              <w:t>14</w:t>
            </w:r>
            <w:r>
              <w:rPr>
                <w:color w:val="000000"/>
                <w:sz w:val="24"/>
              </w:rPr>
              <w:t>大石桥债</w:t>
            </w:r>
          </w:p>
        </w:tc>
        <w:tc>
          <w:tcPr>
            <w:tcW w:w="1394" w:type="dxa"/>
            <w:vAlign w:val="center"/>
          </w:tcPr>
          <w:p w:rsidR="00B01527" w:rsidRDefault="00154737">
            <w:pPr>
              <w:jc w:val="right"/>
            </w:pPr>
            <w:r>
              <w:rPr>
                <w:color w:val="000000"/>
                <w:sz w:val="24"/>
              </w:rPr>
              <w:t>100,000</w:t>
            </w:r>
          </w:p>
        </w:tc>
        <w:tc>
          <w:tcPr>
            <w:tcW w:w="1944" w:type="dxa"/>
            <w:vAlign w:val="center"/>
          </w:tcPr>
          <w:p w:rsidR="00B01527" w:rsidRDefault="00154737">
            <w:pPr>
              <w:jc w:val="right"/>
            </w:pPr>
            <w:r>
              <w:rPr>
                <w:color w:val="000000"/>
                <w:sz w:val="24"/>
              </w:rPr>
              <w:t>10,448,000.00</w:t>
            </w:r>
          </w:p>
        </w:tc>
        <w:tc>
          <w:tcPr>
            <w:tcW w:w="1389" w:type="dxa"/>
            <w:vAlign w:val="center"/>
          </w:tcPr>
          <w:p w:rsidR="00B01527" w:rsidRDefault="00154737">
            <w:pPr>
              <w:jc w:val="right"/>
            </w:pPr>
            <w:r>
              <w:rPr>
                <w:color w:val="000000"/>
                <w:sz w:val="24"/>
              </w:rPr>
              <w:t>5.22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31,757.21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4,987,679.71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5,021,036.92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B01527">
        <w:trPr>
          <w:jc w:val="center"/>
        </w:trPr>
        <w:tc>
          <w:tcPr>
            <w:tcW w:w="0" w:type="auto"/>
            <w:vAlign w:val="center"/>
          </w:tcPr>
          <w:p w:rsidR="00B01527" w:rsidRDefault="00154737">
            <w:pPr>
              <w:jc w:val="center"/>
            </w:pPr>
            <w:r>
              <w:rPr>
                <w:rFonts w:eastAsiaTheme="minorEastAsia"/>
                <w:color w:val="000000"/>
                <w:sz w:val="24"/>
              </w:rPr>
              <w:t>1</w:t>
            </w:r>
          </w:p>
        </w:tc>
        <w:tc>
          <w:tcPr>
            <w:tcW w:w="0" w:type="auto"/>
            <w:vAlign w:val="center"/>
          </w:tcPr>
          <w:p w:rsidR="00B01527" w:rsidRDefault="00154737">
            <w:pPr>
              <w:jc w:val="center"/>
            </w:pPr>
            <w:r>
              <w:rPr>
                <w:rFonts w:eastAsiaTheme="minorEastAsia"/>
                <w:color w:val="000000"/>
                <w:sz w:val="24"/>
              </w:rPr>
              <w:t>110022</w:t>
            </w:r>
          </w:p>
        </w:tc>
        <w:tc>
          <w:tcPr>
            <w:tcW w:w="0" w:type="auto"/>
            <w:vAlign w:val="center"/>
          </w:tcPr>
          <w:p w:rsidR="00B01527" w:rsidRDefault="00154737">
            <w:pPr>
              <w:jc w:val="center"/>
            </w:pPr>
            <w:r>
              <w:rPr>
                <w:rFonts w:eastAsiaTheme="minorEastAsia"/>
                <w:color w:val="000000"/>
                <w:sz w:val="24"/>
              </w:rPr>
              <w:t>同仁转债</w:t>
            </w:r>
          </w:p>
        </w:tc>
        <w:tc>
          <w:tcPr>
            <w:tcW w:w="0" w:type="auto"/>
            <w:vAlign w:val="center"/>
          </w:tcPr>
          <w:p w:rsidR="00B01527" w:rsidRDefault="00154737">
            <w:pPr>
              <w:jc w:val="right"/>
            </w:pPr>
            <w:r>
              <w:rPr>
                <w:rFonts w:eastAsiaTheme="minorEastAsia"/>
                <w:color w:val="000000"/>
                <w:sz w:val="24"/>
              </w:rPr>
              <w:t>427,260.00</w:t>
            </w:r>
          </w:p>
        </w:tc>
        <w:tc>
          <w:tcPr>
            <w:tcW w:w="0" w:type="auto"/>
            <w:vAlign w:val="center"/>
          </w:tcPr>
          <w:p w:rsidR="00B01527" w:rsidRDefault="00154737">
            <w:pPr>
              <w:jc w:val="right"/>
            </w:pPr>
            <w:r>
              <w:rPr>
                <w:rFonts w:eastAsiaTheme="minorEastAsia"/>
                <w:color w:val="000000"/>
                <w:sz w:val="24"/>
              </w:rPr>
              <w:t>0.21</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B01527">
        <w:trPr>
          <w:jc w:val="center"/>
        </w:trPr>
        <w:tc>
          <w:tcPr>
            <w:tcW w:w="1129" w:type="dxa"/>
            <w:vAlign w:val="center"/>
          </w:tcPr>
          <w:p w:rsidR="00B01527" w:rsidRDefault="00154737">
            <w:pPr>
              <w:jc w:val="center"/>
            </w:pPr>
            <w:r>
              <w:rPr>
                <w:rFonts w:eastAsiaTheme="minorEastAsia"/>
                <w:color w:val="000000"/>
                <w:sz w:val="24"/>
              </w:rPr>
              <w:t>1</w:t>
            </w:r>
          </w:p>
        </w:tc>
        <w:tc>
          <w:tcPr>
            <w:tcW w:w="1356" w:type="dxa"/>
            <w:vAlign w:val="center"/>
          </w:tcPr>
          <w:p w:rsidR="00B01527" w:rsidRDefault="00154737">
            <w:pPr>
              <w:jc w:val="center"/>
            </w:pPr>
            <w:r>
              <w:rPr>
                <w:rFonts w:eastAsiaTheme="minorEastAsia"/>
                <w:color w:val="000000"/>
                <w:sz w:val="24"/>
              </w:rPr>
              <w:t>600129</w:t>
            </w:r>
          </w:p>
        </w:tc>
        <w:tc>
          <w:tcPr>
            <w:tcW w:w="1355" w:type="dxa"/>
            <w:vAlign w:val="center"/>
          </w:tcPr>
          <w:p w:rsidR="00B01527" w:rsidRDefault="00154737">
            <w:pPr>
              <w:jc w:val="center"/>
            </w:pPr>
            <w:r>
              <w:rPr>
                <w:rFonts w:eastAsiaTheme="minorEastAsia"/>
                <w:color w:val="000000"/>
                <w:sz w:val="24"/>
              </w:rPr>
              <w:t>太极集团</w:t>
            </w:r>
          </w:p>
        </w:tc>
        <w:tc>
          <w:tcPr>
            <w:tcW w:w="1880" w:type="dxa"/>
            <w:vAlign w:val="center"/>
          </w:tcPr>
          <w:p w:rsidR="00B01527" w:rsidRDefault="00154737">
            <w:pPr>
              <w:jc w:val="right"/>
            </w:pPr>
            <w:r>
              <w:rPr>
                <w:rFonts w:eastAsiaTheme="minorEastAsia"/>
                <w:color w:val="000000"/>
                <w:sz w:val="24"/>
              </w:rPr>
              <w:t>16,980.00</w:t>
            </w:r>
          </w:p>
        </w:tc>
        <w:tc>
          <w:tcPr>
            <w:tcW w:w="1724" w:type="dxa"/>
            <w:vAlign w:val="center"/>
          </w:tcPr>
          <w:p w:rsidR="00B01527" w:rsidRDefault="00154737">
            <w:pPr>
              <w:jc w:val="right"/>
            </w:pPr>
            <w:r>
              <w:rPr>
                <w:rFonts w:eastAsiaTheme="minorEastAsia"/>
                <w:color w:val="000000"/>
                <w:sz w:val="24"/>
              </w:rPr>
              <w:t>0.01</w:t>
            </w:r>
          </w:p>
        </w:tc>
        <w:tc>
          <w:tcPr>
            <w:tcW w:w="1424" w:type="dxa"/>
            <w:vAlign w:val="center"/>
          </w:tcPr>
          <w:p w:rsidR="00B01527" w:rsidRDefault="00BC6211">
            <w:pPr>
              <w:jc w:val="right"/>
            </w:pPr>
            <w:r>
              <w:rPr>
                <w:rFonts w:eastAsiaTheme="minorEastAsia" w:hint="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C3E5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交银强化回报债券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交银强化回报债券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10,392,530.50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3,002,438.30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168,524,645.69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36,254,823.29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9,900,088.35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15,191,768.02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169,017,087.84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24,065,493.57</w:t>
            </w:r>
          </w:p>
        </w:tc>
      </w:tr>
    </w:tbl>
    <w:p w:rsidR="00B01527" w:rsidRDefault="0015473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C3E5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FB3C94" w:rsidRPr="007F52FA" w:rsidRDefault="00FB3C94" w:rsidP="00BC3E5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D13A01" w:rsidRPr="007F52FA">
        <w:rPr>
          <w:rFonts w:eastAsiaTheme="minorEastAsia"/>
          <w:color w:val="000000"/>
          <w:kern w:val="0"/>
          <w:sz w:val="24"/>
          <w:szCs w:val="24"/>
        </w:rPr>
        <w:t>8</w:t>
      </w:r>
      <w:r w:rsidR="006D249E" w:rsidRPr="007F52FA">
        <w:rPr>
          <w:rFonts w:eastAsiaTheme="minorEastAsia"/>
          <w:color w:val="000000"/>
          <w:kern w:val="0"/>
          <w:sz w:val="24"/>
          <w:szCs w:val="24"/>
        </w:rPr>
        <w:t xml:space="preserve"> </w:t>
      </w:r>
      <w:r w:rsidRPr="007F52FA">
        <w:rPr>
          <w:rFonts w:eastAsiaTheme="minorEastAsia"/>
          <w:color w:val="000000"/>
          <w:kern w:val="0"/>
          <w:sz w:val="24"/>
          <w:szCs w:val="24"/>
        </w:rPr>
        <w:t>影响投资者决策的其他重要信息</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依据中国证监会《关于进一步规范证券投资基金估值业务的指导意见》（证监会公告</w:t>
      </w:r>
      <w:r w:rsidRPr="007F52FA">
        <w:rPr>
          <w:rFonts w:eastAsiaTheme="minorEastAsia"/>
          <w:color w:val="000000"/>
          <w:sz w:val="24"/>
        </w:rPr>
        <w:t>[2008]38</w:t>
      </w:r>
      <w:r w:rsidRPr="007F52FA">
        <w:rPr>
          <w:rFonts w:eastAsiaTheme="minorEastAsia"/>
          <w:color w:val="000000"/>
          <w:sz w:val="24"/>
        </w:rPr>
        <w:t>号）的有关规定和《关于发布中基协（</w:t>
      </w:r>
      <w:r w:rsidRPr="007F52FA">
        <w:rPr>
          <w:rFonts w:eastAsiaTheme="minorEastAsia"/>
          <w:color w:val="000000"/>
          <w:sz w:val="24"/>
        </w:rPr>
        <w:t>AMAC</w:t>
      </w:r>
      <w:r w:rsidRPr="007F52FA">
        <w:rPr>
          <w:rFonts w:eastAsiaTheme="minorEastAsia"/>
          <w:color w:val="000000"/>
          <w:sz w:val="24"/>
        </w:rPr>
        <w:t>）基金行业股票估值指数的通知》的指导意见，经与基金托管人协商一致，本基金对其所持有的中航飞机（证券代码：</w:t>
      </w:r>
      <w:r w:rsidRPr="007F52FA">
        <w:rPr>
          <w:rFonts w:eastAsiaTheme="minorEastAsia"/>
          <w:color w:val="000000"/>
          <w:sz w:val="24"/>
        </w:rPr>
        <w:t>000768</w:t>
      </w:r>
      <w:r w:rsidRPr="007F52FA">
        <w:rPr>
          <w:rFonts w:eastAsiaTheme="minorEastAsia"/>
          <w:color w:val="000000"/>
          <w:sz w:val="24"/>
        </w:rPr>
        <w:t>）股票自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8</w:t>
      </w:r>
      <w:r w:rsidRPr="007F52FA">
        <w:rPr>
          <w:rFonts w:eastAsiaTheme="minorEastAsia"/>
          <w:color w:val="000000"/>
          <w:sz w:val="24"/>
        </w:rPr>
        <w:t>日起按照指数收益法进行估值，并已于</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17</w:t>
      </w:r>
      <w:r w:rsidRPr="007F52FA">
        <w:rPr>
          <w:rFonts w:eastAsiaTheme="minorEastAsia"/>
          <w:color w:val="000000"/>
          <w:sz w:val="24"/>
        </w:rPr>
        <w:t>日起恢复按市场价格进行估值；本基金决定自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日起对其所持有的</w:t>
      </w:r>
      <w:r w:rsidRPr="007F52FA">
        <w:rPr>
          <w:rFonts w:eastAsiaTheme="minorEastAsia"/>
          <w:color w:val="000000"/>
          <w:sz w:val="24"/>
        </w:rPr>
        <w:t>“13</w:t>
      </w:r>
      <w:r w:rsidRPr="007F52FA">
        <w:rPr>
          <w:rFonts w:eastAsiaTheme="minorEastAsia"/>
          <w:color w:val="000000"/>
          <w:sz w:val="24"/>
        </w:rPr>
        <w:t>牡丹</w:t>
      </w:r>
      <w:r w:rsidRPr="007F52FA">
        <w:rPr>
          <w:rFonts w:eastAsiaTheme="minorEastAsia"/>
          <w:color w:val="000000"/>
          <w:sz w:val="24"/>
        </w:rPr>
        <w:t>01”</w:t>
      </w:r>
      <w:r w:rsidRPr="007F52FA">
        <w:rPr>
          <w:rFonts w:eastAsiaTheme="minorEastAsia"/>
          <w:color w:val="000000"/>
          <w:sz w:val="24"/>
        </w:rPr>
        <w:t>债券的估值价按前一交易日的收盘价计算，并已于</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日起恢复按市场价格进行估值。</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BC3E5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B01527" w:rsidRDefault="0015473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、中国证监会准予交银施罗德强化回报债券型证券投资基金募集注册的文件；</w:t>
      </w:r>
      <w:r>
        <w:rPr>
          <w:rFonts w:eastAsiaTheme="minorEastAsia"/>
          <w:color w:val="000000"/>
          <w:sz w:val="24"/>
        </w:rPr>
        <w:t xml:space="preserve"> </w:t>
      </w:r>
    </w:p>
    <w:p w:rsidR="00B01527" w:rsidRDefault="0015473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、《交银施罗德强化回报债券型证券投资基金基金合同》；</w:t>
      </w:r>
      <w:r>
        <w:rPr>
          <w:rFonts w:eastAsiaTheme="minorEastAsia"/>
          <w:color w:val="000000"/>
          <w:sz w:val="24"/>
        </w:rPr>
        <w:t xml:space="preserve"> </w:t>
      </w:r>
    </w:p>
    <w:p w:rsidR="00B01527" w:rsidRDefault="0015473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、《交银施罗德强化回报债券型证券投资基金招募说明书》；</w:t>
      </w:r>
      <w:r>
        <w:rPr>
          <w:rFonts w:eastAsiaTheme="minorEastAsia"/>
          <w:color w:val="000000"/>
          <w:sz w:val="24"/>
        </w:rPr>
        <w:t xml:space="preserve"> </w:t>
      </w:r>
    </w:p>
    <w:p w:rsidR="00B01527" w:rsidRDefault="0015473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、《交银施罗德强化回报债券型证券投资基金托管协议》；</w:t>
      </w:r>
      <w:r>
        <w:rPr>
          <w:rFonts w:eastAsiaTheme="minorEastAsia"/>
          <w:color w:val="000000"/>
          <w:sz w:val="24"/>
        </w:rPr>
        <w:t xml:space="preserve"> </w:t>
      </w:r>
    </w:p>
    <w:p w:rsidR="00B01527" w:rsidRDefault="0015473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、关于募集交银施罗德强化回报债券型证券投资基金之法律意见书；</w:t>
      </w:r>
      <w:r>
        <w:rPr>
          <w:rFonts w:eastAsiaTheme="minorEastAsia"/>
          <w:color w:val="000000"/>
          <w:sz w:val="24"/>
        </w:rPr>
        <w:t xml:space="preserve"> </w:t>
      </w:r>
    </w:p>
    <w:p w:rsidR="00B01527" w:rsidRDefault="0015473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01527" w:rsidRDefault="0015473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、报告期内交银施罗德强化回报债券型证券投资基金在指定报刊上各项公告的原稿。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B01527" w:rsidRDefault="0015473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971" w:rsidRDefault="00490971">
      <w:r>
        <w:separator/>
      </w:r>
    </w:p>
  </w:endnote>
  <w:endnote w:type="continuationSeparator" w:id="0">
    <w:p w:rsidR="00490971" w:rsidRDefault="0049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9434C7">
      <w:rPr>
        <w:rFonts w:hint="eastAsia"/>
        <w:kern w:val="0"/>
        <w:szCs w:val="21"/>
      </w:rPr>
      <w:t xml:space="preserve"> </w:t>
    </w:r>
    <w:r w:rsidR="001673C4">
      <w:rPr>
        <w:kern w:val="0"/>
        <w:szCs w:val="21"/>
      </w:rPr>
      <w:fldChar w:fldCharType="begin"/>
    </w:r>
    <w:r>
      <w:rPr>
        <w:kern w:val="0"/>
        <w:szCs w:val="21"/>
      </w:rPr>
      <w:instrText xml:space="preserve"> PAGE </w:instrText>
    </w:r>
    <w:r w:rsidR="001673C4">
      <w:rPr>
        <w:kern w:val="0"/>
        <w:szCs w:val="21"/>
      </w:rPr>
      <w:fldChar w:fldCharType="separate"/>
    </w:r>
    <w:r w:rsidR="00E4606D">
      <w:rPr>
        <w:noProof/>
        <w:kern w:val="0"/>
        <w:szCs w:val="21"/>
      </w:rPr>
      <w:t>1</w:t>
    </w:r>
    <w:r w:rsidR="001673C4">
      <w:rPr>
        <w:kern w:val="0"/>
        <w:szCs w:val="21"/>
      </w:rPr>
      <w:fldChar w:fldCharType="end"/>
    </w:r>
    <w:r w:rsidR="009434C7">
      <w:rPr>
        <w:kern w:val="0"/>
        <w:szCs w:val="21"/>
      </w:rPr>
      <w:t xml:space="preserve"> </w:t>
    </w:r>
    <w:r>
      <w:rPr>
        <w:rFonts w:hint="eastAsia"/>
        <w:kern w:val="0"/>
        <w:szCs w:val="21"/>
      </w:rPr>
      <w:t>页</w:t>
    </w:r>
    <w:r w:rsidR="009434C7">
      <w:rPr>
        <w:rFonts w:hint="eastAsia"/>
        <w:kern w:val="0"/>
        <w:szCs w:val="21"/>
      </w:rPr>
      <w:t xml:space="preserve"> </w:t>
    </w:r>
    <w:r>
      <w:rPr>
        <w:rFonts w:hint="eastAsia"/>
        <w:kern w:val="0"/>
        <w:szCs w:val="21"/>
      </w:rPr>
      <w:t>共</w:t>
    </w:r>
    <w:r w:rsidR="009434C7">
      <w:rPr>
        <w:rFonts w:hint="eastAsia"/>
        <w:kern w:val="0"/>
        <w:szCs w:val="21"/>
      </w:rPr>
      <w:t xml:space="preserve"> </w:t>
    </w:r>
    <w:r w:rsidR="001673C4">
      <w:rPr>
        <w:kern w:val="0"/>
        <w:szCs w:val="21"/>
      </w:rPr>
      <w:fldChar w:fldCharType="begin"/>
    </w:r>
    <w:r>
      <w:rPr>
        <w:kern w:val="0"/>
        <w:szCs w:val="21"/>
      </w:rPr>
      <w:instrText xml:space="preserve"> NUMPAGES </w:instrText>
    </w:r>
    <w:r w:rsidR="001673C4">
      <w:rPr>
        <w:kern w:val="0"/>
        <w:szCs w:val="21"/>
      </w:rPr>
      <w:fldChar w:fldCharType="separate"/>
    </w:r>
    <w:r w:rsidR="00E4606D">
      <w:rPr>
        <w:noProof/>
        <w:kern w:val="0"/>
        <w:szCs w:val="21"/>
      </w:rPr>
      <w:t>14</w:t>
    </w:r>
    <w:r w:rsidR="001673C4">
      <w:rPr>
        <w:kern w:val="0"/>
        <w:szCs w:val="21"/>
      </w:rPr>
      <w:fldChar w:fldCharType="end"/>
    </w:r>
    <w:r w:rsidR="009434C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1673C4">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971" w:rsidRDefault="00490971">
      <w:r>
        <w:separator/>
      </w:r>
    </w:p>
  </w:footnote>
  <w:footnote w:type="continuationSeparator" w:id="0">
    <w:p w:rsidR="00490971" w:rsidRDefault="00490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E4606D"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737"/>
    <w:rsid w:val="00154FA5"/>
    <w:rsid w:val="0015531A"/>
    <w:rsid w:val="00156508"/>
    <w:rsid w:val="00156F9D"/>
    <w:rsid w:val="001602E3"/>
    <w:rsid w:val="00160539"/>
    <w:rsid w:val="00161548"/>
    <w:rsid w:val="00163D88"/>
    <w:rsid w:val="001673C4"/>
    <w:rsid w:val="0017176A"/>
    <w:rsid w:val="00172B54"/>
    <w:rsid w:val="00175E3A"/>
    <w:rsid w:val="00176874"/>
    <w:rsid w:val="0017725A"/>
    <w:rsid w:val="0018052A"/>
    <w:rsid w:val="00180952"/>
    <w:rsid w:val="0018191A"/>
    <w:rsid w:val="00185B68"/>
    <w:rsid w:val="00186199"/>
    <w:rsid w:val="001874E3"/>
    <w:rsid w:val="00194155"/>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2FE9"/>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4826"/>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09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273F"/>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1527"/>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3E5D"/>
    <w:rsid w:val="00BC4986"/>
    <w:rsid w:val="00BC5D75"/>
    <w:rsid w:val="00BC5E2E"/>
    <w:rsid w:val="00BC6211"/>
    <w:rsid w:val="00BC6379"/>
    <w:rsid w:val="00BC7608"/>
    <w:rsid w:val="00BC7EEF"/>
    <w:rsid w:val="00BD0C50"/>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347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192"/>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4606D"/>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78A876EA-F93A-4643-AF8B-29530D74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3D5A4-A5B8-47C0-A377-2A809898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163</TotalTime>
  <Pages>14</Pages>
  <Words>1156</Words>
  <Characters>6591</Characters>
  <Application>Microsoft Office Word</Application>
  <DocSecurity>0</DocSecurity>
  <Lines>54</Lines>
  <Paragraphs>15</Paragraphs>
  <ScaleCrop>false</ScaleCrop>
  <Company>TRT. Ltd. Co.</Company>
  <LinksUpToDate>false</LinksUpToDate>
  <CharactersWithSpaces>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360</cp:revision>
  <cp:lastPrinted>2007-07-19T00:46:00Z</cp:lastPrinted>
  <dcterms:created xsi:type="dcterms:W3CDTF">2014-01-17T06:19:00Z</dcterms:created>
  <dcterms:modified xsi:type="dcterms:W3CDTF">2015-01-20T03:46:00Z</dcterms:modified>
</cp:coreProperties>
</file>