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交银施罗德荣泰保本混合型证券投资基金</w:t>
      </w:r>
    </w:p>
    <w:p w:rsidR="002279D3" w:rsidRPr="0081286B" w:rsidRDefault="002279D3" w:rsidP="00C15CAC">
      <w:pPr>
        <w:spacing w:before="29" w:line="288" w:lineRule="auto"/>
        <w:jc w:val="center"/>
        <w:rPr>
          <w:b/>
          <w:sz w:val="36"/>
          <w:szCs w:val="36"/>
        </w:rPr>
      </w:pPr>
      <w:r w:rsidRPr="0081286B">
        <w:rPr>
          <w:b/>
          <w:sz w:val="36"/>
          <w:szCs w:val="36"/>
        </w:rPr>
        <w:t>2014</w:t>
      </w:r>
      <w:r w:rsidRPr="0081286B">
        <w:rPr>
          <w:b/>
          <w:sz w:val="36"/>
          <w:szCs w:val="36"/>
        </w:rPr>
        <w:t>年第</w:t>
      </w:r>
      <w:r w:rsidRPr="0081286B">
        <w:rPr>
          <w:b/>
          <w:sz w:val="36"/>
          <w:szCs w:val="36"/>
        </w:rPr>
        <w:t>4</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2014</w:t>
      </w:r>
      <w:r w:rsidRPr="0081286B">
        <w:rPr>
          <w:b/>
          <w:sz w:val="36"/>
          <w:szCs w:val="36"/>
        </w:rPr>
        <w:t>年</w:t>
      </w:r>
      <w:r w:rsidRPr="0081286B">
        <w:rPr>
          <w:b/>
          <w:sz w:val="36"/>
          <w:szCs w:val="36"/>
        </w:rPr>
        <w:t>12</w:t>
      </w:r>
      <w:r w:rsidRPr="0081286B">
        <w:rPr>
          <w:b/>
          <w:sz w:val="36"/>
          <w:szCs w:val="36"/>
        </w:rPr>
        <w:t>月</w:t>
      </w:r>
      <w:r w:rsidRPr="0081286B">
        <w:rPr>
          <w:b/>
          <w:sz w:val="36"/>
          <w:szCs w:val="36"/>
        </w:rPr>
        <w:t>31</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基金托管人：中国建设银行股份有限公司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000678">
          <w:headerReference w:type="default" r:id="rId8"/>
          <w:footerReference w:type="default" r:id="rId9"/>
          <w:pgSz w:w="11926" w:h="15840"/>
          <w:pgMar w:top="1418" w:right="1440" w:bottom="851" w:left="1440" w:header="851" w:footer="992" w:gutter="0"/>
          <w:cols w:space="720"/>
          <w:noEndnote/>
        </w:sectPr>
      </w:pPr>
      <w:r w:rsidRPr="0081286B">
        <w:rPr>
          <w:b/>
          <w:color w:val="000000"/>
          <w:sz w:val="24"/>
          <w:szCs w:val="24"/>
        </w:rPr>
        <w:t>报告送出日期：</w:t>
      </w:r>
      <w:r w:rsidR="00F16E3F" w:rsidRPr="0081286B">
        <w:rPr>
          <w:b/>
          <w:color w:val="000000"/>
          <w:sz w:val="24"/>
          <w:szCs w:val="24"/>
        </w:rPr>
        <w:t>二〇一五年一月二十二日</w:t>
      </w:r>
    </w:p>
    <w:p w:rsidR="004061AC" w:rsidRPr="00414345" w:rsidRDefault="004061AC" w:rsidP="00D43C8C">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C97235" w:rsidRDefault="00B01510">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C97235" w:rsidRDefault="00B01510">
      <w:pPr>
        <w:spacing w:before="29" w:line="288" w:lineRule="auto"/>
        <w:ind w:firstLineChars="200" w:firstLine="480"/>
        <w:rPr>
          <w:color w:val="000000"/>
          <w:sz w:val="24"/>
          <w:szCs w:val="24"/>
        </w:rPr>
      </w:pPr>
      <w:r>
        <w:rPr>
          <w:color w:val="000000"/>
          <w:sz w:val="24"/>
          <w:szCs w:val="24"/>
        </w:rPr>
        <w:t>基金托管人中国建设银行股份有限公司根据本基金合同规定，于</w:t>
      </w:r>
      <w:r>
        <w:rPr>
          <w:color w:val="000000"/>
          <w:sz w:val="24"/>
          <w:szCs w:val="24"/>
        </w:rPr>
        <w:t>2015</w:t>
      </w:r>
      <w:r>
        <w:rPr>
          <w:color w:val="000000"/>
          <w:sz w:val="24"/>
          <w:szCs w:val="24"/>
        </w:rPr>
        <w:t>年</w:t>
      </w:r>
      <w:r>
        <w:rPr>
          <w:color w:val="000000"/>
          <w:sz w:val="24"/>
          <w:szCs w:val="24"/>
        </w:rPr>
        <w:t>1</w:t>
      </w:r>
      <w:r>
        <w:rPr>
          <w:color w:val="000000"/>
          <w:sz w:val="24"/>
          <w:szCs w:val="24"/>
        </w:rPr>
        <w:t>月</w:t>
      </w:r>
      <w:r>
        <w:rPr>
          <w:color w:val="000000"/>
          <w:sz w:val="24"/>
          <w:szCs w:val="24"/>
        </w:rPr>
        <w:t>21</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C97235" w:rsidRDefault="00B01510">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C97235" w:rsidRDefault="00B01510">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C97235" w:rsidRDefault="00B01510">
      <w:pPr>
        <w:spacing w:before="29" w:line="288" w:lineRule="auto"/>
        <w:ind w:firstLineChars="200" w:firstLine="480"/>
        <w:rPr>
          <w:color w:val="000000"/>
          <w:sz w:val="24"/>
          <w:szCs w:val="24"/>
        </w:rPr>
      </w:pPr>
      <w:r>
        <w:rPr>
          <w:color w:val="000000"/>
          <w:sz w:val="24"/>
          <w:szCs w:val="24"/>
        </w:rPr>
        <w:t>本报告中财务资料未经审计。</w:t>
      </w:r>
      <w:r>
        <w:rPr>
          <w:color w:val="000000"/>
          <w:sz w:val="24"/>
          <w:szCs w:val="24"/>
        </w:rPr>
        <w:t xml:space="preserve"> </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2014</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12</w:t>
      </w:r>
      <w:r w:rsidRPr="00414345">
        <w:rPr>
          <w:color w:val="000000"/>
          <w:sz w:val="24"/>
          <w:szCs w:val="24"/>
        </w:rPr>
        <w:t>月</w:t>
      </w:r>
      <w:r w:rsidRPr="00414345">
        <w:rPr>
          <w:color w:val="000000"/>
          <w:sz w:val="24"/>
          <w:szCs w:val="24"/>
        </w:rPr>
        <w:t>31</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D43C8C">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4"/>
        <w:gridCol w:w="5844"/>
      </w:tblGrid>
      <w:tr w:rsidR="004061AC" w:rsidRPr="00414345" w:rsidTr="00AA6513">
        <w:trPr>
          <w:jc w:val="center"/>
        </w:trPr>
        <w:tc>
          <w:tcPr>
            <w:tcW w:w="2835"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479" w:type="dxa"/>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交银荣泰保本混合</w:t>
            </w:r>
          </w:p>
        </w:tc>
      </w:tr>
      <w:tr w:rsidR="00D94B8D" w:rsidRPr="00414345" w:rsidTr="00AA6513">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479"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519729</w:t>
            </w:r>
          </w:p>
        </w:tc>
      </w:tr>
      <w:tr w:rsidR="001B2F35" w:rsidRPr="00414345" w:rsidTr="00AA6513">
        <w:trPr>
          <w:jc w:val="center"/>
        </w:trPr>
        <w:tc>
          <w:tcPr>
            <w:tcW w:w="2835" w:type="dxa"/>
            <w:tcBorders>
              <w:top w:val="single" w:sz="4" w:space="0" w:color="auto"/>
              <w:left w:val="single" w:sz="4" w:space="0" w:color="auto"/>
              <w:bottom w:val="single" w:sz="4" w:space="0" w:color="auto"/>
              <w:right w:val="single" w:sz="4" w:space="0" w:color="auto"/>
            </w:tcBorders>
            <w:vAlign w:val="center"/>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5479" w:type="dxa"/>
            <w:tcBorders>
              <w:top w:val="single" w:sz="4" w:space="0" w:color="auto"/>
              <w:left w:val="single" w:sz="4" w:space="0" w:color="auto"/>
              <w:bottom w:val="single" w:sz="4" w:space="0" w:color="auto"/>
              <w:right w:val="single" w:sz="4" w:space="0" w:color="auto"/>
            </w:tcBorders>
            <w:vAlign w:val="center"/>
          </w:tcPr>
          <w:p w:rsidR="001B2F35" w:rsidRPr="00414345" w:rsidRDefault="00C5218C" w:rsidP="00C15CAC">
            <w:pPr>
              <w:adjustRightInd w:val="0"/>
              <w:spacing w:before="29" w:line="288" w:lineRule="auto"/>
              <w:ind w:left="17"/>
              <w:jc w:val="left"/>
              <w:rPr>
                <w:color w:val="000000"/>
                <w:kern w:val="0"/>
                <w:sz w:val="24"/>
                <w:szCs w:val="24"/>
              </w:rPr>
            </w:pPr>
            <w:r w:rsidRPr="00414345">
              <w:rPr>
                <w:kern w:val="0"/>
                <w:sz w:val="24"/>
              </w:rPr>
              <w:t>519729</w:t>
            </w:r>
          </w:p>
        </w:tc>
      </w:tr>
      <w:tr w:rsidR="001B2F35" w:rsidRPr="00414345" w:rsidTr="00AA6513">
        <w:trPr>
          <w:jc w:val="center"/>
        </w:trPr>
        <w:tc>
          <w:tcPr>
            <w:tcW w:w="2835"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479"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AA6513">
        <w:trPr>
          <w:jc w:val="center"/>
        </w:trPr>
        <w:tc>
          <w:tcPr>
            <w:tcW w:w="2835"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479"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2013</w:t>
            </w:r>
            <w:r w:rsidRPr="00414345">
              <w:rPr>
                <w:color w:val="000000"/>
                <w:kern w:val="0"/>
                <w:sz w:val="24"/>
                <w:szCs w:val="24"/>
              </w:rPr>
              <w:t>年</w:t>
            </w:r>
            <w:r w:rsidRPr="00414345">
              <w:rPr>
                <w:color w:val="000000"/>
                <w:kern w:val="0"/>
                <w:sz w:val="24"/>
                <w:szCs w:val="24"/>
              </w:rPr>
              <w:t>12</w:t>
            </w:r>
            <w:r w:rsidRPr="00414345">
              <w:rPr>
                <w:color w:val="000000"/>
                <w:kern w:val="0"/>
                <w:sz w:val="24"/>
                <w:szCs w:val="24"/>
              </w:rPr>
              <w:t>月</w:t>
            </w:r>
            <w:r w:rsidRPr="00414345">
              <w:rPr>
                <w:color w:val="000000"/>
                <w:kern w:val="0"/>
                <w:sz w:val="24"/>
                <w:szCs w:val="24"/>
              </w:rPr>
              <w:t>25</w:t>
            </w:r>
            <w:r w:rsidRPr="00414345">
              <w:rPr>
                <w:color w:val="000000"/>
                <w:kern w:val="0"/>
                <w:sz w:val="24"/>
                <w:szCs w:val="24"/>
              </w:rPr>
              <w:t>日</w:t>
            </w:r>
          </w:p>
        </w:tc>
      </w:tr>
      <w:tr w:rsidR="001B2F35" w:rsidRPr="00414345" w:rsidTr="00AA6513">
        <w:trPr>
          <w:jc w:val="center"/>
        </w:trPr>
        <w:tc>
          <w:tcPr>
            <w:tcW w:w="2835"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479"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219,467,536.03</w:t>
            </w:r>
            <w:r w:rsidRPr="00414345">
              <w:rPr>
                <w:color w:val="000000"/>
                <w:kern w:val="0"/>
                <w:sz w:val="24"/>
                <w:szCs w:val="24"/>
              </w:rPr>
              <w:t>份</w:t>
            </w:r>
          </w:p>
        </w:tc>
      </w:tr>
      <w:tr w:rsidR="001B2F35" w:rsidRPr="00414345" w:rsidTr="00AA6513">
        <w:trPr>
          <w:jc w:val="center"/>
        </w:trPr>
        <w:tc>
          <w:tcPr>
            <w:tcW w:w="2835"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479"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本基金在追求保本周期到期时本金安全的基础上，通过稳健资产与风险资产的动态配置和有效的组合管理，力争实现基金资产的稳定增长。</w:t>
            </w:r>
          </w:p>
        </w:tc>
      </w:tr>
      <w:tr w:rsidR="001B2F35" w:rsidRPr="00414345" w:rsidTr="00AA6513">
        <w:trPr>
          <w:jc w:val="center"/>
        </w:trPr>
        <w:tc>
          <w:tcPr>
            <w:tcW w:w="2835"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479"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本基金运用恒定比例组合保险（</w:t>
            </w:r>
            <w:r w:rsidRPr="00414345">
              <w:rPr>
                <w:color w:val="000000"/>
                <w:kern w:val="0"/>
                <w:sz w:val="24"/>
                <w:szCs w:val="24"/>
              </w:rPr>
              <w:t>CPPI</w:t>
            </w:r>
            <w:r w:rsidRPr="00414345">
              <w:rPr>
                <w:color w:val="000000"/>
                <w:kern w:val="0"/>
                <w:sz w:val="24"/>
                <w:szCs w:val="24"/>
              </w:rPr>
              <w:t>，</w:t>
            </w:r>
            <w:r w:rsidRPr="00414345">
              <w:rPr>
                <w:color w:val="000000"/>
                <w:kern w:val="0"/>
                <w:sz w:val="24"/>
                <w:szCs w:val="24"/>
              </w:rPr>
              <w:t>Constant Proportion Portfolio Insurance</w:t>
            </w:r>
            <w:r w:rsidRPr="00414345">
              <w:rPr>
                <w:color w:val="000000"/>
                <w:kern w:val="0"/>
                <w:sz w:val="24"/>
                <w:szCs w:val="24"/>
              </w:rPr>
              <w:t>）原理，动态调整稳健资产与风险资产在基金组合中的投资比例，以确保本基金在保本周期到期时的本金安全，并实现基金资产在保本基础上的保值增值目的。</w:t>
            </w:r>
          </w:p>
        </w:tc>
      </w:tr>
      <w:tr w:rsidR="001B2F35" w:rsidRPr="00414345" w:rsidTr="00AA6513">
        <w:trPr>
          <w:jc w:val="center"/>
        </w:trPr>
        <w:tc>
          <w:tcPr>
            <w:tcW w:w="2835"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479"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三年期银行定期存款税后收益率</w:t>
            </w:r>
          </w:p>
        </w:tc>
      </w:tr>
      <w:tr w:rsidR="001B2F35" w:rsidRPr="00414345" w:rsidTr="00AA6513">
        <w:trPr>
          <w:jc w:val="center"/>
        </w:trPr>
        <w:tc>
          <w:tcPr>
            <w:tcW w:w="2835"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479"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本基金是一只保本混合型基金，在证券投资基金中属于低风险品种。</w:t>
            </w:r>
          </w:p>
        </w:tc>
      </w:tr>
      <w:tr w:rsidR="001B2F35" w:rsidRPr="00414345" w:rsidTr="00AA6513">
        <w:trPr>
          <w:jc w:val="center"/>
        </w:trPr>
        <w:tc>
          <w:tcPr>
            <w:tcW w:w="2835"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基金管理人</w:t>
            </w:r>
          </w:p>
        </w:tc>
        <w:tc>
          <w:tcPr>
            <w:tcW w:w="5479"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AA6513">
        <w:trPr>
          <w:jc w:val="center"/>
        </w:trPr>
        <w:tc>
          <w:tcPr>
            <w:tcW w:w="2835"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基金托管人</w:t>
            </w:r>
          </w:p>
        </w:tc>
        <w:tc>
          <w:tcPr>
            <w:tcW w:w="5479"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中国建设银行股份有限公司</w:t>
            </w:r>
          </w:p>
        </w:tc>
      </w:tr>
      <w:tr w:rsidR="001B2F35" w:rsidRPr="00414345" w:rsidTr="00AA6513">
        <w:trPr>
          <w:jc w:val="center"/>
        </w:trPr>
        <w:tc>
          <w:tcPr>
            <w:tcW w:w="2835"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基金保证人</w:t>
            </w:r>
          </w:p>
        </w:tc>
        <w:tc>
          <w:tcPr>
            <w:tcW w:w="5479"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中国投融资担保有限公司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D43C8C">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CD5095" w:rsidRPr="00414345" w:rsidTr="00CD5095">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(2014</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-2014</w:t>
            </w:r>
            <w:r w:rsidRPr="00414345">
              <w:rPr>
                <w:color w:val="000000"/>
                <w:sz w:val="24"/>
                <w:szCs w:val="24"/>
              </w:rPr>
              <w:t>年</w:t>
            </w:r>
            <w:r w:rsidRPr="00414345">
              <w:rPr>
                <w:color w:val="000000"/>
                <w:sz w:val="24"/>
                <w:szCs w:val="24"/>
              </w:rPr>
              <w:t>12</w:t>
            </w:r>
            <w:r w:rsidRPr="00414345">
              <w:rPr>
                <w:color w:val="000000"/>
                <w:sz w:val="24"/>
                <w:szCs w:val="24"/>
              </w:rPr>
              <w:t>月</w:t>
            </w:r>
            <w:r w:rsidRPr="00414345">
              <w:rPr>
                <w:color w:val="000000"/>
                <w:sz w:val="24"/>
                <w:szCs w:val="24"/>
              </w:rPr>
              <w:t>31</w:t>
            </w:r>
            <w:r w:rsidRPr="00414345">
              <w:rPr>
                <w:color w:val="000000"/>
                <w:sz w:val="24"/>
                <w:szCs w:val="24"/>
              </w:rPr>
              <w:t>日</w:t>
            </w:r>
            <w:r w:rsidRPr="00414345">
              <w:rPr>
                <w:color w:val="000000"/>
                <w:sz w:val="24"/>
                <w:szCs w:val="24"/>
              </w:rPr>
              <w:t>)</w:t>
            </w:r>
          </w:p>
        </w:tc>
      </w:tr>
      <w:tr w:rsidR="00CD5095" w:rsidRPr="00414345" w:rsidTr="00CD5095">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19,100,965.81</w:t>
            </w:r>
          </w:p>
        </w:tc>
      </w:tr>
      <w:tr w:rsidR="00CD5095" w:rsidRPr="00414345" w:rsidTr="00CD5095">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20,106,002.64</w:t>
            </w:r>
          </w:p>
        </w:tc>
      </w:tr>
      <w:tr w:rsidR="00CD5095" w:rsidRPr="00414345" w:rsidTr="00CD5095">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0.0884</w:t>
            </w:r>
          </w:p>
        </w:tc>
      </w:tr>
      <w:tr w:rsidR="00CD5095" w:rsidRPr="00414345" w:rsidTr="00CD5095">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246,234,594.01</w:t>
            </w:r>
          </w:p>
        </w:tc>
      </w:tr>
      <w:tr w:rsidR="00CD5095" w:rsidRPr="00414345" w:rsidTr="00CD5095">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1.122</w:t>
            </w:r>
          </w:p>
        </w:tc>
      </w:tr>
    </w:tbl>
    <w:p w:rsidR="00C97235" w:rsidRDefault="00B01510">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C97235">
        <w:trPr>
          <w:jc w:val="center"/>
        </w:trPr>
        <w:tc>
          <w:tcPr>
            <w:tcW w:w="1701" w:type="dxa"/>
            <w:vAlign w:val="center"/>
          </w:tcPr>
          <w:p w:rsidR="00C97235" w:rsidRDefault="00B01510">
            <w:pPr>
              <w:jc w:val="left"/>
            </w:pPr>
            <w:r>
              <w:rPr>
                <w:color w:val="000000"/>
                <w:sz w:val="24"/>
                <w:szCs w:val="24"/>
              </w:rPr>
              <w:t>过去三个月</w:t>
            </w:r>
          </w:p>
        </w:tc>
        <w:tc>
          <w:tcPr>
            <w:tcW w:w="1045" w:type="dxa"/>
            <w:vAlign w:val="center"/>
          </w:tcPr>
          <w:p w:rsidR="00C97235" w:rsidRDefault="00B01510">
            <w:pPr>
              <w:jc w:val="center"/>
            </w:pPr>
            <w:r>
              <w:rPr>
                <w:color w:val="000000"/>
                <w:sz w:val="24"/>
                <w:szCs w:val="24"/>
              </w:rPr>
              <w:t>8.6</w:t>
            </w:r>
            <w:r w:rsidR="00D43C8C">
              <w:rPr>
                <w:rFonts w:hint="eastAsia"/>
                <w:color w:val="000000"/>
                <w:sz w:val="24"/>
                <w:szCs w:val="24"/>
              </w:rPr>
              <w:t>0</w:t>
            </w:r>
            <w:r>
              <w:rPr>
                <w:color w:val="000000"/>
                <w:sz w:val="24"/>
                <w:szCs w:val="24"/>
              </w:rPr>
              <w:t>%</w:t>
            </w:r>
          </w:p>
        </w:tc>
        <w:tc>
          <w:tcPr>
            <w:tcW w:w="1344" w:type="dxa"/>
            <w:vAlign w:val="center"/>
          </w:tcPr>
          <w:p w:rsidR="00C97235" w:rsidRDefault="00B01510">
            <w:pPr>
              <w:jc w:val="center"/>
            </w:pPr>
            <w:r>
              <w:rPr>
                <w:color w:val="000000"/>
                <w:sz w:val="24"/>
                <w:szCs w:val="24"/>
              </w:rPr>
              <w:t>0.58%</w:t>
            </w:r>
          </w:p>
        </w:tc>
        <w:tc>
          <w:tcPr>
            <w:tcW w:w="1194" w:type="dxa"/>
            <w:vAlign w:val="center"/>
          </w:tcPr>
          <w:p w:rsidR="00C97235" w:rsidRDefault="00B01510">
            <w:pPr>
              <w:jc w:val="center"/>
            </w:pPr>
            <w:r>
              <w:rPr>
                <w:color w:val="000000"/>
                <w:sz w:val="24"/>
                <w:szCs w:val="24"/>
              </w:rPr>
              <w:t>1.06%</w:t>
            </w:r>
          </w:p>
        </w:tc>
        <w:tc>
          <w:tcPr>
            <w:tcW w:w="1492" w:type="dxa"/>
            <w:vAlign w:val="center"/>
          </w:tcPr>
          <w:p w:rsidR="00C97235" w:rsidRDefault="00B01510">
            <w:pPr>
              <w:jc w:val="center"/>
            </w:pPr>
            <w:r>
              <w:rPr>
                <w:color w:val="000000"/>
                <w:sz w:val="24"/>
                <w:szCs w:val="24"/>
              </w:rPr>
              <w:t>0.01%</w:t>
            </w:r>
          </w:p>
        </w:tc>
        <w:tc>
          <w:tcPr>
            <w:tcW w:w="1194" w:type="dxa"/>
            <w:vAlign w:val="center"/>
          </w:tcPr>
          <w:p w:rsidR="00C97235" w:rsidRDefault="00B01510">
            <w:pPr>
              <w:jc w:val="center"/>
            </w:pPr>
            <w:r>
              <w:rPr>
                <w:color w:val="000000"/>
                <w:sz w:val="24"/>
                <w:szCs w:val="24"/>
              </w:rPr>
              <w:t>7.</w:t>
            </w:r>
            <w:r w:rsidR="00D43C8C">
              <w:rPr>
                <w:rFonts w:hint="eastAsia"/>
                <w:color w:val="000000"/>
                <w:sz w:val="24"/>
                <w:szCs w:val="24"/>
              </w:rPr>
              <w:t>54</w:t>
            </w:r>
            <w:r>
              <w:rPr>
                <w:color w:val="000000"/>
                <w:sz w:val="24"/>
                <w:szCs w:val="24"/>
              </w:rPr>
              <w:t>%</w:t>
            </w:r>
          </w:p>
        </w:tc>
        <w:tc>
          <w:tcPr>
            <w:tcW w:w="898" w:type="dxa"/>
            <w:vAlign w:val="center"/>
          </w:tcPr>
          <w:p w:rsidR="00C97235" w:rsidRDefault="00B01510">
            <w:pPr>
              <w:jc w:val="center"/>
            </w:pPr>
            <w:r>
              <w:rPr>
                <w:color w:val="000000"/>
                <w:sz w:val="24"/>
                <w:szCs w:val="24"/>
              </w:rPr>
              <w:t>0.57%</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B1EB7">
        <w:rPr>
          <w:rFonts w:hint="eastAsia"/>
          <w:b/>
          <w:bCs/>
          <w:color w:val="000000"/>
          <w:kern w:val="0"/>
          <w:sz w:val="24"/>
          <w:szCs w:val="24"/>
        </w:rPr>
        <w:t xml:space="preserve"> </w:t>
      </w:r>
      <w:r w:rsidR="00F81917">
        <w:rPr>
          <w:rFonts w:hint="eastAsia"/>
          <w:b/>
          <w:bCs/>
          <w:color w:val="000000"/>
          <w:kern w:val="0"/>
          <w:sz w:val="24"/>
          <w:szCs w:val="24"/>
        </w:rPr>
        <w:t xml:space="preserve"> </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交银施罗德荣泰保本混合型证券投资基金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2013</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12</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25</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2014</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12</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31</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lastRenderedPageBreak/>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957594" w:rsidRPr="00035AB6" w:rsidRDefault="00035AB6" w:rsidP="00C15CAC">
      <w:pPr>
        <w:tabs>
          <w:tab w:val="left" w:pos="1800"/>
        </w:tabs>
        <w:spacing w:before="29" w:line="288" w:lineRule="auto"/>
        <w:rPr>
          <w:color w:val="000000"/>
          <w:sz w:val="24"/>
          <w:szCs w:val="24"/>
        </w:rPr>
      </w:pPr>
      <w:r w:rsidRPr="00035AB6">
        <w:rPr>
          <w:rFonts w:hint="eastAsia"/>
          <w:color w:val="000000"/>
          <w:sz w:val="24"/>
          <w:szCs w:val="24"/>
        </w:rPr>
        <w:t>注：本基金基金合同生效日为</w:t>
      </w:r>
      <w:r w:rsidRPr="00035AB6">
        <w:rPr>
          <w:rFonts w:hint="eastAsia"/>
          <w:color w:val="000000"/>
          <w:sz w:val="24"/>
          <w:szCs w:val="24"/>
        </w:rPr>
        <w:t>2013</w:t>
      </w:r>
      <w:r w:rsidRPr="00035AB6">
        <w:rPr>
          <w:rFonts w:hint="eastAsia"/>
          <w:color w:val="000000"/>
          <w:sz w:val="24"/>
          <w:szCs w:val="24"/>
        </w:rPr>
        <w:t>年</w:t>
      </w:r>
      <w:r w:rsidRPr="00035AB6">
        <w:rPr>
          <w:rFonts w:hint="eastAsia"/>
          <w:color w:val="000000"/>
          <w:sz w:val="24"/>
          <w:szCs w:val="24"/>
        </w:rPr>
        <w:t>12</w:t>
      </w:r>
      <w:r w:rsidRPr="00035AB6">
        <w:rPr>
          <w:rFonts w:hint="eastAsia"/>
          <w:color w:val="000000"/>
          <w:sz w:val="24"/>
          <w:szCs w:val="24"/>
        </w:rPr>
        <w:t>月</w:t>
      </w:r>
      <w:r w:rsidRPr="00035AB6">
        <w:rPr>
          <w:rFonts w:hint="eastAsia"/>
          <w:color w:val="000000"/>
          <w:sz w:val="24"/>
          <w:szCs w:val="24"/>
        </w:rPr>
        <w:t>25</w:t>
      </w:r>
      <w:r w:rsidRPr="00035AB6">
        <w:rPr>
          <w:rFonts w:hint="eastAsia"/>
          <w:color w:val="000000"/>
          <w:sz w:val="24"/>
          <w:szCs w:val="24"/>
        </w:rPr>
        <w:t>日，截至报告期期末，本基金已完成建仓但报告期期末距建仓结束未满一年。本基金建仓期为自基金合同生效日起的</w:t>
      </w:r>
      <w:r w:rsidRPr="00035AB6">
        <w:rPr>
          <w:rFonts w:hint="eastAsia"/>
          <w:color w:val="000000"/>
          <w:sz w:val="24"/>
          <w:szCs w:val="24"/>
        </w:rPr>
        <w:t>6</w:t>
      </w:r>
      <w:r w:rsidRPr="00035AB6">
        <w:rPr>
          <w:rFonts w:hint="eastAsia"/>
          <w:color w:val="000000"/>
          <w:sz w:val="24"/>
          <w:szCs w:val="24"/>
        </w:rPr>
        <w:t>个月。截至建仓期结束，本基金各项资产配置比例符合基金合同及招募说明书有关投资比例的约定。</w:t>
      </w: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D43C8C">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C97235">
        <w:trPr>
          <w:jc w:val="center"/>
        </w:trPr>
        <w:tc>
          <w:tcPr>
            <w:tcW w:w="846" w:type="dxa"/>
            <w:vAlign w:val="center"/>
          </w:tcPr>
          <w:p w:rsidR="00C97235" w:rsidRDefault="00B01510">
            <w:pPr>
              <w:jc w:val="center"/>
            </w:pPr>
            <w:r>
              <w:rPr>
                <w:color w:val="000000"/>
                <w:sz w:val="24"/>
                <w:szCs w:val="24"/>
              </w:rPr>
              <w:t>项廷锋</w:t>
            </w:r>
          </w:p>
        </w:tc>
        <w:tc>
          <w:tcPr>
            <w:tcW w:w="845" w:type="dxa"/>
            <w:vAlign w:val="center"/>
          </w:tcPr>
          <w:p w:rsidR="00C97235" w:rsidRDefault="00B01510">
            <w:pPr>
              <w:jc w:val="center"/>
            </w:pPr>
            <w:r>
              <w:rPr>
                <w:color w:val="000000"/>
                <w:sz w:val="24"/>
                <w:szCs w:val="24"/>
              </w:rPr>
              <w:t>本基金、交银双利债券、交银荣安保本混合、交银荣祥保本混合、交银周期回报灵活配置混合的基金经理，公司投资总监</w:t>
            </w:r>
          </w:p>
        </w:tc>
        <w:tc>
          <w:tcPr>
            <w:tcW w:w="1549" w:type="dxa"/>
            <w:vAlign w:val="center"/>
          </w:tcPr>
          <w:p w:rsidR="00C97235" w:rsidRDefault="00B01510">
            <w:pPr>
              <w:jc w:val="center"/>
            </w:pPr>
            <w:r>
              <w:rPr>
                <w:color w:val="000000"/>
                <w:sz w:val="24"/>
                <w:szCs w:val="24"/>
              </w:rPr>
              <w:t>2013-12-25</w:t>
            </w:r>
          </w:p>
        </w:tc>
        <w:tc>
          <w:tcPr>
            <w:tcW w:w="1548" w:type="dxa"/>
            <w:vAlign w:val="center"/>
          </w:tcPr>
          <w:p w:rsidR="00C97235" w:rsidRDefault="00B01510">
            <w:pPr>
              <w:jc w:val="center"/>
            </w:pPr>
            <w:r>
              <w:rPr>
                <w:color w:val="000000"/>
                <w:sz w:val="24"/>
                <w:szCs w:val="24"/>
              </w:rPr>
              <w:t>-</w:t>
            </w:r>
          </w:p>
        </w:tc>
        <w:tc>
          <w:tcPr>
            <w:tcW w:w="1407" w:type="dxa"/>
            <w:vAlign w:val="center"/>
          </w:tcPr>
          <w:p w:rsidR="00C97235" w:rsidRDefault="00B01510">
            <w:pPr>
              <w:jc w:val="center"/>
            </w:pPr>
            <w:r>
              <w:rPr>
                <w:color w:val="000000"/>
                <w:sz w:val="24"/>
                <w:szCs w:val="24"/>
              </w:rPr>
              <w:t>15</w:t>
            </w:r>
            <w:r>
              <w:rPr>
                <w:color w:val="000000"/>
                <w:sz w:val="24"/>
                <w:szCs w:val="24"/>
              </w:rPr>
              <w:t>年</w:t>
            </w:r>
          </w:p>
        </w:tc>
        <w:tc>
          <w:tcPr>
            <w:tcW w:w="2673" w:type="dxa"/>
            <w:vAlign w:val="center"/>
          </w:tcPr>
          <w:p w:rsidR="00C97235" w:rsidRDefault="00B01510">
            <w:r>
              <w:rPr>
                <w:color w:val="000000"/>
                <w:sz w:val="24"/>
                <w:szCs w:val="24"/>
              </w:rPr>
              <w:t>项廷锋先生，上海交通大学管理学博士。历任华安基金管理有限公司研究员、固定收益投资经理和基金经理。其中</w:t>
            </w:r>
            <w:r>
              <w:rPr>
                <w:color w:val="000000"/>
                <w:sz w:val="24"/>
                <w:szCs w:val="24"/>
              </w:rPr>
              <w:t>2003</w:t>
            </w:r>
            <w:r>
              <w:rPr>
                <w:color w:val="000000"/>
                <w:sz w:val="24"/>
                <w:szCs w:val="24"/>
              </w:rPr>
              <w:t>年</w:t>
            </w:r>
            <w:r>
              <w:rPr>
                <w:color w:val="000000"/>
                <w:sz w:val="24"/>
                <w:szCs w:val="24"/>
              </w:rPr>
              <w:t>12</w:t>
            </w:r>
            <w:r>
              <w:rPr>
                <w:color w:val="000000"/>
                <w:sz w:val="24"/>
                <w:szCs w:val="24"/>
              </w:rPr>
              <w:t>月至</w:t>
            </w:r>
            <w:r>
              <w:rPr>
                <w:color w:val="000000"/>
                <w:sz w:val="24"/>
                <w:szCs w:val="24"/>
              </w:rPr>
              <w:t>2007</w:t>
            </w:r>
            <w:r>
              <w:rPr>
                <w:color w:val="000000"/>
                <w:sz w:val="24"/>
                <w:szCs w:val="24"/>
              </w:rPr>
              <w:t>年</w:t>
            </w:r>
            <w:r>
              <w:rPr>
                <w:color w:val="000000"/>
                <w:sz w:val="24"/>
                <w:szCs w:val="24"/>
              </w:rPr>
              <w:t>5</w:t>
            </w:r>
            <w:r>
              <w:rPr>
                <w:color w:val="000000"/>
                <w:sz w:val="24"/>
                <w:szCs w:val="24"/>
              </w:rPr>
              <w:t>月担任华安现金富利投资基金基金经理。</w:t>
            </w:r>
            <w:r>
              <w:rPr>
                <w:color w:val="000000"/>
                <w:sz w:val="24"/>
                <w:szCs w:val="24"/>
              </w:rPr>
              <w:t>2007</w:t>
            </w:r>
            <w:r>
              <w:rPr>
                <w:color w:val="000000"/>
                <w:sz w:val="24"/>
                <w:szCs w:val="24"/>
              </w:rPr>
              <w:t>年加入交银施罗德基金管理有限公司，历任固定收益部总经理，</w:t>
            </w:r>
            <w:r>
              <w:rPr>
                <w:color w:val="000000"/>
                <w:sz w:val="24"/>
                <w:szCs w:val="24"/>
              </w:rPr>
              <w:t>2013</w:t>
            </w:r>
            <w:r>
              <w:rPr>
                <w:color w:val="000000"/>
                <w:sz w:val="24"/>
                <w:szCs w:val="24"/>
              </w:rPr>
              <w:t>年</w:t>
            </w:r>
            <w:r>
              <w:rPr>
                <w:color w:val="000000"/>
                <w:sz w:val="24"/>
                <w:szCs w:val="24"/>
              </w:rPr>
              <w:t>9</w:t>
            </w:r>
            <w:r>
              <w:rPr>
                <w:color w:val="000000"/>
                <w:sz w:val="24"/>
                <w:szCs w:val="24"/>
              </w:rPr>
              <w:t>月</w:t>
            </w:r>
            <w:r>
              <w:rPr>
                <w:color w:val="000000"/>
                <w:sz w:val="24"/>
                <w:szCs w:val="24"/>
              </w:rPr>
              <w:t>4</w:t>
            </w:r>
            <w:r>
              <w:rPr>
                <w:color w:val="000000"/>
                <w:sz w:val="24"/>
                <w:szCs w:val="24"/>
              </w:rPr>
              <w:t>日至</w:t>
            </w:r>
            <w:r>
              <w:rPr>
                <w:color w:val="000000"/>
                <w:sz w:val="24"/>
                <w:szCs w:val="24"/>
              </w:rPr>
              <w:t>2014</w:t>
            </w:r>
            <w:r>
              <w:rPr>
                <w:color w:val="000000"/>
                <w:sz w:val="24"/>
                <w:szCs w:val="24"/>
              </w:rPr>
              <w:t>年</w:t>
            </w:r>
            <w:r>
              <w:rPr>
                <w:color w:val="000000"/>
                <w:sz w:val="24"/>
                <w:szCs w:val="24"/>
              </w:rPr>
              <w:t>12</w:t>
            </w:r>
            <w:r>
              <w:rPr>
                <w:color w:val="000000"/>
                <w:sz w:val="24"/>
                <w:szCs w:val="24"/>
              </w:rPr>
              <w:t>月</w:t>
            </w:r>
            <w:r>
              <w:rPr>
                <w:color w:val="000000"/>
                <w:sz w:val="24"/>
                <w:szCs w:val="24"/>
              </w:rPr>
              <w:t>18</w:t>
            </w:r>
            <w:r>
              <w:rPr>
                <w:color w:val="000000"/>
                <w:sz w:val="24"/>
                <w:szCs w:val="24"/>
              </w:rPr>
              <w:t>日担任交银施罗德定期支付双息平衡混合型证券投资基金基金经理。</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C97235" w:rsidRDefault="00B01510">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C97235" w:rsidRDefault="00B01510">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C97235" w:rsidRDefault="00B01510">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w:t>
      </w:r>
      <w:r w:rsidRPr="00414345">
        <w:rPr>
          <w:color w:val="000000"/>
          <w:sz w:val="24"/>
          <w:szCs w:val="24"/>
        </w:rPr>
        <w:t>,</w:t>
      </w:r>
      <w:r w:rsidRPr="00414345">
        <w:rPr>
          <w:color w:val="000000"/>
          <w:sz w:val="24"/>
          <w:szCs w:val="24"/>
        </w:rPr>
        <w:t>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C97235" w:rsidRDefault="00B01510">
      <w:pPr>
        <w:spacing w:before="29" w:line="288" w:lineRule="auto"/>
        <w:ind w:firstLineChars="200" w:firstLine="480"/>
        <w:rPr>
          <w:color w:val="000000"/>
          <w:sz w:val="24"/>
          <w:szCs w:val="24"/>
        </w:rPr>
      </w:pPr>
      <w:r>
        <w:rPr>
          <w:color w:val="000000"/>
          <w:sz w:val="24"/>
          <w:szCs w:val="24"/>
        </w:rPr>
        <w:t>本报告期内，随着改革的持续升温和市场建设的实质性推进，具有</w:t>
      </w:r>
      <w:r>
        <w:rPr>
          <w:color w:val="000000"/>
          <w:sz w:val="24"/>
          <w:szCs w:val="24"/>
        </w:rPr>
        <w:t>“</w:t>
      </w:r>
      <w:r>
        <w:rPr>
          <w:color w:val="000000"/>
          <w:sz w:val="24"/>
          <w:szCs w:val="24"/>
        </w:rPr>
        <w:t>罕见投资价值</w:t>
      </w:r>
      <w:r>
        <w:rPr>
          <w:color w:val="000000"/>
          <w:sz w:val="24"/>
          <w:szCs w:val="24"/>
        </w:rPr>
        <w:t>”</w:t>
      </w:r>
      <w:r>
        <w:rPr>
          <w:color w:val="000000"/>
          <w:sz w:val="24"/>
          <w:szCs w:val="24"/>
        </w:rPr>
        <w:t>的蓝筹股迎来了一轮报复性的估值修复行情，上证综指上涨</w:t>
      </w:r>
      <w:r>
        <w:rPr>
          <w:color w:val="000000"/>
          <w:sz w:val="24"/>
          <w:szCs w:val="24"/>
        </w:rPr>
        <w:t>36.84%</w:t>
      </w:r>
      <w:r>
        <w:rPr>
          <w:color w:val="000000"/>
          <w:sz w:val="24"/>
          <w:szCs w:val="24"/>
        </w:rPr>
        <w:t>。与此同时，创业板、中小板股票开始价值回归，创业板指数和中小板指数分别下跌了</w:t>
      </w:r>
      <w:r>
        <w:rPr>
          <w:color w:val="000000"/>
          <w:sz w:val="24"/>
          <w:szCs w:val="24"/>
        </w:rPr>
        <w:t>4.49%</w:t>
      </w:r>
      <w:r>
        <w:rPr>
          <w:color w:val="000000"/>
          <w:sz w:val="24"/>
          <w:szCs w:val="24"/>
        </w:rPr>
        <w:t>和</w:t>
      </w:r>
      <w:r>
        <w:rPr>
          <w:color w:val="000000"/>
          <w:sz w:val="24"/>
          <w:szCs w:val="24"/>
        </w:rPr>
        <w:t>2.56%</w:t>
      </w:r>
      <w:r>
        <w:rPr>
          <w:color w:val="000000"/>
          <w:sz w:val="24"/>
          <w:szCs w:val="24"/>
        </w:rPr>
        <w:t>，蓝筹股表现出了一定的相对价值。</w:t>
      </w:r>
    </w:p>
    <w:p w:rsidR="00C97235" w:rsidRDefault="00B01510">
      <w:pPr>
        <w:spacing w:before="29" w:line="288" w:lineRule="auto"/>
        <w:ind w:firstLineChars="200" w:firstLine="480"/>
        <w:rPr>
          <w:color w:val="000000"/>
          <w:sz w:val="24"/>
          <w:szCs w:val="24"/>
        </w:rPr>
      </w:pPr>
      <w:r>
        <w:rPr>
          <w:color w:val="000000"/>
          <w:sz w:val="24"/>
          <w:szCs w:val="24"/>
        </w:rPr>
        <w:t>债券市场方面，央行降息后银行纷纷上调上浮比例使得实际揽存利率不降反升，债券收益率尤其是信用债收益率也已回到降息之前的水平，如降息前</w:t>
      </w:r>
      <w:r>
        <w:rPr>
          <w:color w:val="000000"/>
          <w:sz w:val="24"/>
          <w:szCs w:val="24"/>
        </w:rPr>
        <w:t>5</w:t>
      </w:r>
      <w:r>
        <w:rPr>
          <w:color w:val="000000"/>
          <w:sz w:val="24"/>
          <w:szCs w:val="24"/>
        </w:rPr>
        <w:t>年期</w:t>
      </w:r>
      <w:r>
        <w:rPr>
          <w:color w:val="000000"/>
          <w:sz w:val="24"/>
          <w:szCs w:val="24"/>
        </w:rPr>
        <w:t>AAA</w:t>
      </w:r>
      <w:r>
        <w:rPr>
          <w:color w:val="000000"/>
          <w:sz w:val="24"/>
          <w:szCs w:val="24"/>
        </w:rPr>
        <w:t>的企业债收益率为</w:t>
      </w:r>
      <w:r>
        <w:rPr>
          <w:color w:val="000000"/>
          <w:sz w:val="24"/>
          <w:szCs w:val="24"/>
        </w:rPr>
        <w:t>4.69%</w:t>
      </w:r>
      <w:r>
        <w:rPr>
          <w:color w:val="000000"/>
          <w:sz w:val="24"/>
          <w:szCs w:val="24"/>
        </w:rPr>
        <w:t>，年底上升到</w:t>
      </w:r>
      <w:r>
        <w:rPr>
          <w:color w:val="000000"/>
          <w:sz w:val="24"/>
          <w:szCs w:val="24"/>
        </w:rPr>
        <w:t>4.81%</w:t>
      </w:r>
      <w:r>
        <w:rPr>
          <w:color w:val="000000"/>
          <w:sz w:val="24"/>
          <w:szCs w:val="24"/>
        </w:rPr>
        <w:t>，充分表明在系列结构性问题解决前，社会融资成本已难以实质性下降。而持续上涨大半年时间已偏低的整体收益率和较高的杠杆运用，使得流动性风险暂成债券投资者需要面临和解决的主要问题。</w:t>
      </w:r>
    </w:p>
    <w:p w:rsidR="00C97235" w:rsidRDefault="00B01510">
      <w:pPr>
        <w:spacing w:before="29" w:line="288" w:lineRule="auto"/>
        <w:ind w:firstLineChars="200" w:firstLine="480"/>
        <w:rPr>
          <w:color w:val="000000"/>
          <w:sz w:val="24"/>
          <w:szCs w:val="24"/>
        </w:rPr>
      </w:pPr>
      <w:r>
        <w:rPr>
          <w:color w:val="000000"/>
          <w:sz w:val="24"/>
          <w:szCs w:val="24"/>
        </w:rPr>
        <w:t>就组合管理而言，策略上逐步加大了蓝筹类股票的配置，但对蓝筹股的估值修复行情预期不足，从而影响了基金净值表现。债券投资方面，鉴于降息后利率不降反升，波段操作中做了大幅减持。</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展望一季度，鉴于蓝筹股的报复性反弹、创业板与中小板股票的价值回归，两者的估值上的差异是否被继续强化，将更多取决于基本面，策略上需要精选个股。债券市场方面，我们总体持中性偏乐观的观点，策略上需密切关注股票市场融资、再融资引致的风险与机会。</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截至</w:t>
      </w:r>
      <w:r w:rsidRPr="00414345">
        <w:rPr>
          <w:color w:val="000000"/>
          <w:sz w:val="24"/>
          <w:szCs w:val="24"/>
        </w:rPr>
        <w:t>2014</w:t>
      </w:r>
      <w:r w:rsidRPr="00414345">
        <w:rPr>
          <w:color w:val="000000"/>
          <w:sz w:val="24"/>
          <w:szCs w:val="24"/>
        </w:rPr>
        <w:t>年</w:t>
      </w:r>
      <w:r w:rsidRPr="00414345">
        <w:rPr>
          <w:color w:val="000000"/>
          <w:sz w:val="24"/>
          <w:szCs w:val="24"/>
        </w:rPr>
        <w:t>12</w:t>
      </w:r>
      <w:r w:rsidRPr="00414345">
        <w:rPr>
          <w:color w:val="000000"/>
          <w:sz w:val="24"/>
          <w:szCs w:val="24"/>
        </w:rPr>
        <w:t>月</w:t>
      </w:r>
      <w:r w:rsidRPr="00414345">
        <w:rPr>
          <w:color w:val="000000"/>
          <w:sz w:val="24"/>
          <w:szCs w:val="24"/>
        </w:rPr>
        <w:t>31</w:t>
      </w:r>
      <w:r w:rsidRPr="00414345">
        <w:rPr>
          <w:color w:val="000000"/>
          <w:sz w:val="24"/>
          <w:szCs w:val="24"/>
        </w:rPr>
        <w:t>日，本基金份额净值</w:t>
      </w:r>
      <w:r w:rsidRPr="00414345">
        <w:rPr>
          <w:color w:val="000000"/>
          <w:sz w:val="24"/>
          <w:szCs w:val="24"/>
        </w:rPr>
        <w:t>1.122</w:t>
      </w:r>
      <w:r w:rsidRPr="00414345">
        <w:rPr>
          <w:color w:val="000000"/>
          <w:sz w:val="24"/>
          <w:szCs w:val="24"/>
        </w:rPr>
        <w:t>元，本报告期份额净值增长率为</w:t>
      </w:r>
      <w:r w:rsidRPr="00414345">
        <w:rPr>
          <w:color w:val="000000"/>
          <w:sz w:val="24"/>
          <w:szCs w:val="24"/>
        </w:rPr>
        <w:t>8.</w:t>
      </w:r>
      <w:r w:rsidR="00D43C8C">
        <w:rPr>
          <w:rFonts w:hint="eastAsia"/>
          <w:color w:val="000000"/>
          <w:sz w:val="24"/>
          <w:szCs w:val="24"/>
        </w:rPr>
        <w:t>60</w:t>
      </w:r>
      <w:r w:rsidRPr="00414345">
        <w:rPr>
          <w:color w:val="000000"/>
          <w:sz w:val="24"/>
          <w:szCs w:val="24"/>
        </w:rPr>
        <w:t>%</w:t>
      </w:r>
      <w:r w:rsidRPr="00414345">
        <w:rPr>
          <w:color w:val="000000"/>
          <w:sz w:val="24"/>
          <w:szCs w:val="24"/>
        </w:rPr>
        <w:t>，同期业绩比较基准增长率为</w:t>
      </w:r>
      <w:r w:rsidRPr="00414345">
        <w:rPr>
          <w:color w:val="000000"/>
          <w:sz w:val="24"/>
          <w:szCs w:val="24"/>
        </w:rPr>
        <w:t>1.06%</w:t>
      </w:r>
      <w:r w:rsidRPr="00414345">
        <w:rPr>
          <w:color w:val="000000"/>
          <w:sz w:val="24"/>
          <w:szCs w:val="24"/>
        </w:rPr>
        <w:t>。</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00CD5095">
        <w:rPr>
          <w:rFonts w:hint="eastAsia"/>
          <w:b/>
          <w:color w:val="000000"/>
          <w:kern w:val="0"/>
          <w:sz w:val="24"/>
        </w:rPr>
        <w:t xml:space="preserve"> </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D43C8C">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Pr="00414345">
        <w:rPr>
          <w:color w:val="000000"/>
          <w:kern w:val="0"/>
          <w:sz w:val="24"/>
          <w:szCs w:val="24"/>
        </w:rPr>
        <w:t>投资组合报告</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5.1 </w:t>
      </w:r>
      <w:r w:rsidRPr="00414345">
        <w:rPr>
          <w:b/>
          <w:bCs/>
          <w:color w:val="000000"/>
          <w:kern w:val="0"/>
          <w:sz w:val="24"/>
          <w:szCs w:val="24"/>
        </w:rPr>
        <w:t>报告期末基金资产组合情况</w:t>
      </w:r>
    </w:p>
    <w:tbl>
      <w:tblPr>
        <w:tblStyle w:val="af7"/>
        <w:tblW w:w="8868" w:type="dxa"/>
        <w:jc w:val="center"/>
        <w:tblLayout w:type="fixed"/>
        <w:tblLook w:val="04A0" w:firstRow="1" w:lastRow="0" w:firstColumn="1" w:lastColumn="0" w:noHBand="0" w:noVBand="1"/>
      </w:tblPr>
      <w:tblGrid>
        <w:gridCol w:w="718"/>
        <w:gridCol w:w="3346"/>
        <w:gridCol w:w="2967"/>
        <w:gridCol w:w="1837"/>
      </w:tblGrid>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3346"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项目</w:t>
            </w:r>
          </w:p>
        </w:tc>
        <w:tc>
          <w:tcPr>
            <w:tcW w:w="296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金额</w:t>
            </w:r>
            <w:r w:rsidR="00E84C7E" w:rsidRPr="00414345">
              <w:rPr>
                <w:color w:val="000000"/>
                <w:sz w:val="24"/>
              </w:rPr>
              <w:t>（元）</w:t>
            </w:r>
          </w:p>
        </w:tc>
        <w:tc>
          <w:tcPr>
            <w:tcW w:w="183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占基金总资产的比例</w:t>
            </w:r>
            <w:r w:rsidR="008C7FFA" w:rsidRPr="00414345">
              <w:rPr>
                <w:color w:val="000000"/>
                <w:sz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1</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权益投资</w:t>
            </w:r>
          </w:p>
        </w:tc>
        <w:tc>
          <w:tcPr>
            <w:tcW w:w="2967" w:type="dxa"/>
            <w:vAlign w:val="center"/>
          </w:tcPr>
          <w:p w:rsidR="00853140" w:rsidRPr="00414345" w:rsidRDefault="00C77AEF" w:rsidP="00C15CAC">
            <w:pPr>
              <w:spacing w:before="29" w:line="288" w:lineRule="auto"/>
              <w:ind w:left="17"/>
              <w:jc w:val="right"/>
              <w:rPr>
                <w:color w:val="000000"/>
                <w:sz w:val="24"/>
                <w:szCs w:val="24"/>
              </w:rPr>
            </w:pPr>
            <w:r w:rsidRPr="00414345">
              <w:rPr>
                <w:color w:val="000000"/>
                <w:sz w:val="24"/>
                <w:szCs w:val="24"/>
              </w:rPr>
              <w:t>88,632,518.63</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34.64</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其中：股票</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88,632,518.63</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34.64</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2</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固定收益投资</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133,173,618.00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52.05</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其中：债券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133,173,618.00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52.05</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autoSpaceDE w:val="0"/>
              <w:autoSpaceDN w:val="0"/>
              <w:adjustRightInd w:val="0"/>
              <w:spacing w:before="29" w:line="288" w:lineRule="auto"/>
              <w:ind w:leftChars="8" w:left="17" w:firstLineChars="300" w:firstLine="720"/>
              <w:jc w:val="left"/>
              <w:rPr>
                <w:color w:val="000000"/>
                <w:sz w:val="24"/>
                <w:szCs w:val="24"/>
              </w:rPr>
            </w:pPr>
            <w:r w:rsidRPr="00414345">
              <w:rPr>
                <w:color w:val="000000"/>
                <w:sz w:val="24"/>
                <w:szCs w:val="24"/>
              </w:rPr>
              <w:t>资产支持证券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3</w:t>
            </w:r>
          </w:p>
        </w:tc>
        <w:tc>
          <w:tcPr>
            <w:tcW w:w="3346" w:type="dxa"/>
            <w:vAlign w:val="center"/>
          </w:tcPr>
          <w:p w:rsidR="007D100C" w:rsidRPr="00414345" w:rsidRDefault="007D100C" w:rsidP="00C15CAC">
            <w:pPr>
              <w:spacing w:before="29" w:line="288" w:lineRule="auto"/>
              <w:ind w:left="17"/>
              <w:jc w:val="left"/>
              <w:rPr>
                <w:color w:val="000000"/>
                <w:sz w:val="24"/>
                <w:szCs w:val="24"/>
              </w:rPr>
            </w:pPr>
            <w:r w:rsidRPr="00414345">
              <w:rPr>
                <w:rFonts w:hAnsi="宋体"/>
                <w:color w:val="000000"/>
                <w:sz w:val="24"/>
                <w:szCs w:val="24"/>
              </w:rPr>
              <w:t>贵金属投资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rFonts w:eastAsiaTheme="minorEastAsia"/>
                <w:color w:val="000000"/>
                <w:sz w:val="24"/>
                <w:szCs w:val="24"/>
              </w:rPr>
              <w:t>-</w:t>
            </w:r>
          </w:p>
        </w:tc>
        <w:tc>
          <w:tcPr>
            <w:tcW w:w="1837" w:type="dxa"/>
            <w:vAlign w:val="center"/>
          </w:tcPr>
          <w:p w:rsidR="007D100C" w:rsidRPr="00414345" w:rsidRDefault="007D100C" w:rsidP="00C15CAC">
            <w:pPr>
              <w:spacing w:before="29" w:line="288" w:lineRule="auto"/>
              <w:ind w:left="17"/>
              <w:jc w:val="right"/>
              <w:rPr>
                <w:rFonts w:eastAsiaTheme="minorEastAsia"/>
                <w:color w:val="000000"/>
                <w:sz w:val="24"/>
                <w:szCs w:val="24"/>
              </w:rPr>
            </w:pPr>
            <w:r w:rsidRPr="00414345">
              <w:rPr>
                <w:rFonts w:eastAsiaTheme="minorEastAsia"/>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4</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金融衍生品投资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5</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5,000,000.00</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1.95</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其中：买断式回购的买入返售金融资产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6</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银行存款和结算备付金合计</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22,914,773.75</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8.96</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7</w:t>
            </w:r>
          </w:p>
        </w:tc>
        <w:tc>
          <w:tcPr>
            <w:tcW w:w="3346" w:type="dxa"/>
            <w:vAlign w:val="center"/>
          </w:tcPr>
          <w:p w:rsidR="007D100C" w:rsidRPr="00414345" w:rsidRDefault="0015710B" w:rsidP="00C15CAC">
            <w:pPr>
              <w:spacing w:before="29" w:line="288" w:lineRule="auto"/>
              <w:jc w:val="left"/>
              <w:rPr>
                <w:sz w:val="24"/>
                <w:szCs w:val="24"/>
              </w:rPr>
            </w:pPr>
            <w:r w:rsidRPr="00414345">
              <w:rPr>
                <w:color w:val="000000"/>
                <w:sz w:val="24"/>
                <w:szCs w:val="24"/>
              </w:rPr>
              <w:t>其他</w:t>
            </w:r>
            <w:r w:rsidR="007D100C" w:rsidRPr="00414345">
              <w:rPr>
                <w:color w:val="000000"/>
                <w:sz w:val="24"/>
                <w:szCs w:val="24"/>
              </w:rPr>
              <w:t>资产</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6,113,857.43</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2.39</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8</w:t>
            </w:r>
          </w:p>
        </w:tc>
        <w:tc>
          <w:tcPr>
            <w:tcW w:w="3346" w:type="dxa"/>
            <w:vAlign w:val="center"/>
          </w:tcPr>
          <w:p w:rsidR="007D100C" w:rsidRPr="00414345" w:rsidRDefault="007D100C" w:rsidP="00C15CAC">
            <w:pPr>
              <w:spacing w:before="29" w:line="288" w:lineRule="auto"/>
              <w:jc w:val="left"/>
              <w:rPr>
                <w:sz w:val="24"/>
                <w:szCs w:val="24"/>
              </w:rPr>
            </w:pPr>
            <w:r w:rsidRPr="00414345">
              <w:rPr>
                <w:color w:val="000000"/>
                <w:sz w:val="24"/>
                <w:szCs w:val="24"/>
              </w:rPr>
              <w:t>合计</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255,834,767.81</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46,877,521.88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19.04</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5,161,000.00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2.10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834,206.75</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0.34</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2,036,000.00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0.83</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1,807,000.00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0.73</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753,300.00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0.31</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2,605,900.00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1.06</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16,309,590.00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6.62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10,424,000.00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4.23</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1,824,000.00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0.74</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88,632,518.63</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36.00</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C97235">
        <w:trPr>
          <w:jc w:val="center"/>
        </w:trPr>
        <w:tc>
          <w:tcPr>
            <w:tcW w:w="855" w:type="dxa"/>
            <w:vAlign w:val="center"/>
          </w:tcPr>
          <w:p w:rsidR="00C97235" w:rsidRDefault="00B01510">
            <w:pPr>
              <w:jc w:val="center"/>
            </w:pPr>
            <w:r>
              <w:rPr>
                <w:color w:val="000000"/>
                <w:sz w:val="24"/>
                <w:szCs w:val="24"/>
              </w:rPr>
              <w:t>1</w:t>
            </w:r>
          </w:p>
        </w:tc>
        <w:tc>
          <w:tcPr>
            <w:tcW w:w="1334" w:type="dxa"/>
            <w:vAlign w:val="center"/>
          </w:tcPr>
          <w:p w:rsidR="00C97235" w:rsidRDefault="00B01510">
            <w:pPr>
              <w:jc w:val="center"/>
            </w:pPr>
            <w:r>
              <w:rPr>
                <w:color w:val="000000"/>
                <w:sz w:val="24"/>
                <w:szCs w:val="24"/>
              </w:rPr>
              <w:t>000768</w:t>
            </w:r>
          </w:p>
        </w:tc>
        <w:tc>
          <w:tcPr>
            <w:tcW w:w="1777" w:type="dxa"/>
            <w:vAlign w:val="center"/>
          </w:tcPr>
          <w:p w:rsidR="00C97235" w:rsidRDefault="00B01510">
            <w:pPr>
              <w:jc w:val="center"/>
            </w:pPr>
            <w:r>
              <w:rPr>
                <w:color w:val="000000"/>
                <w:sz w:val="24"/>
                <w:szCs w:val="24"/>
              </w:rPr>
              <w:t>中航飞机</w:t>
            </w:r>
          </w:p>
        </w:tc>
        <w:tc>
          <w:tcPr>
            <w:tcW w:w="1334" w:type="dxa"/>
            <w:vAlign w:val="center"/>
          </w:tcPr>
          <w:p w:rsidR="00C97235" w:rsidRDefault="00B01510">
            <w:pPr>
              <w:jc w:val="right"/>
            </w:pPr>
            <w:r>
              <w:rPr>
                <w:color w:val="000000"/>
                <w:sz w:val="24"/>
                <w:szCs w:val="24"/>
              </w:rPr>
              <w:t>411,800</w:t>
            </w:r>
          </w:p>
        </w:tc>
        <w:tc>
          <w:tcPr>
            <w:tcW w:w="1924" w:type="dxa"/>
            <w:vAlign w:val="center"/>
          </w:tcPr>
          <w:p w:rsidR="00C97235" w:rsidRDefault="00B01510">
            <w:pPr>
              <w:jc w:val="right"/>
            </w:pPr>
            <w:r>
              <w:rPr>
                <w:color w:val="000000"/>
                <w:sz w:val="24"/>
                <w:szCs w:val="24"/>
              </w:rPr>
              <w:t>7,799,492.00</w:t>
            </w:r>
          </w:p>
        </w:tc>
        <w:tc>
          <w:tcPr>
            <w:tcW w:w="1644" w:type="dxa"/>
            <w:vAlign w:val="center"/>
          </w:tcPr>
          <w:p w:rsidR="00C97235" w:rsidRDefault="00B01510">
            <w:pPr>
              <w:jc w:val="right"/>
            </w:pPr>
            <w:r>
              <w:rPr>
                <w:color w:val="000000"/>
                <w:sz w:val="24"/>
                <w:szCs w:val="24"/>
              </w:rPr>
              <w:t>3.17</w:t>
            </w:r>
          </w:p>
        </w:tc>
      </w:tr>
      <w:tr w:rsidR="00C97235">
        <w:trPr>
          <w:jc w:val="center"/>
        </w:trPr>
        <w:tc>
          <w:tcPr>
            <w:tcW w:w="855" w:type="dxa"/>
            <w:vAlign w:val="center"/>
          </w:tcPr>
          <w:p w:rsidR="00C97235" w:rsidRDefault="00B01510">
            <w:pPr>
              <w:jc w:val="center"/>
            </w:pPr>
            <w:r>
              <w:rPr>
                <w:color w:val="000000"/>
                <w:sz w:val="24"/>
                <w:szCs w:val="24"/>
              </w:rPr>
              <w:t>2</w:t>
            </w:r>
          </w:p>
        </w:tc>
        <w:tc>
          <w:tcPr>
            <w:tcW w:w="1334" w:type="dxa"/>
            <w:vAlign w:val="center"/>
          </w:tcPr>
          <w:p w:rsidR="00C97235" w:rsidRDefault="00B01510">
            <w:pPr>
              <w:jc w:val="center"/>
            </w:pPr>
            <w:r>
              <w:rPr>
                <w:color w:val="000000"/>
                <w:sz w:val="24"/>
                <w:szCs w:val="24"/>
              </w:rPr>
              <w:t>600109</w:t>
            </w:r>
          </w:p>
        </w:tc>
        <w:tc>
          <w:tcPr>
            <w:tcW w:w="1777" w:type="dxa"/>
            <w:vAlign w:val="center"/>
          </w:tcPr>
          <w:p w:rsidR="00C97235" w:rsidRDefault="00B01510">
            <w:pPr>
              <w:jc w:val="center"/>
            </w:pPr>
            <w:r>
              <w:rPr>
                <w:color w:val="000000"/>
                <w:sz w:val="24"/>
                <w:szCs w:val="24"/>
              </w:rPr>
              <w:t>国金证券</w:t>
            </w:r>
          </w:p>
        </w:tc>
        <w:tc>
          <w:tcPr>
            <w:tcW w:w="1334" w:type="dxa"/>
            <w:vAlign w:val="center"/>
          </w:tcPr>
          <w:p w:rsidR="00C97235" w:rsidRDefault="00B01510">
            <w:pPr>
              <w:jc w:val="right"/>
            </w:pPr>
            <w:r>
              <w:rPr>
                <w:color w:val="000000"/>
                <w:sz w:val="24"/>
                <w:szCs w:val="24"/>
              </w:rPr>
              <w:t>300,000</w:t>
            </w:r>
          </w:p>
        </w:tc>
        <w:tc>
          <w:tcPr>
            <w:tcW w:w="1924" w:type="dxa"/>
            <w:vAlign w:val="center"/>
          </w:tcPr>
          <w:p w:rsidR="00C97235" w:rsidRDefault="00B01510">
            <w:pPr>
              <w:jc w:val="right"/>
            </w:pPr>
            <w:r>
              <w:rPr>
                <w:color w:val="000000"/>
                <w:sz w:val="24"/>
                <w:szCs w:val="24"/>
              </w:rPr>
              <w:t>5,937,000.00</w:t>
            </w:r>
          </w:p>
        </w:tc>
        <w:tc>
          <w:tcPr>
            <w:tcW w:w="1644" w:type="dxa"/>
            <w:vAlign w:val="center"/>
          </w:tcPr>
          <w:p w:rsidR="00C97235" w:rsidRDefault="00B01510">
            <w:pPr>
              <w:jc w:val="right"/>
            </w:pPr>
            <w:r>
              <w:rPr>
                <w:color w:val="000000"/>
                <w:sz w:val="24"/>
                <w:szCs w:val="24"/>
              </w:rPr>
              <w:t>2.41</w:t>
            </w:r>
          </w:p>
        </w:tc>
      </w:tr>
      <w:tr w:rsidR="00C97235">
        <w:trPr>
          <w:jc w:val="center"/>
        </w:trPr>
        <w:tc>
          <w:tcPr>
            <w:tcW w:w="855" w:type="dxa"/>
            <w:vAlign w:val="center"/>
          </w:tcPr>
          <w:p w:rsidR="00C97235" w:rsidRDefault="00B01510">
            <w:pPr>
              <w:jc w:val="center"/>
            </w:pPr>
            <w:r>
              <w:rPr>
                <w:color w:val="000000"/>
                <w:sz w:val="24"/>
                <w:szCs w:val="24"/>
              </w:rPr>
              <w:t>3</w:t>
            </w:r>
          </w:p>
        </w:tc>
        <w:tc>
          <w:tcPr>
            <w:tcW w:w="1334" w:type="dxa"/>
            <w:vAlign w:val="center"/>
          </w:tcPr>
          <w:p w:rsidR="00C97235" w:rsidRDefault="00B01510">
            <w:pPr>
              <w:jc w:val="center"/>
            </w:pPr>
            <w:r>
              <w:rPr>
                <w:color w:val="000000"/>
                <w:sz w:val="24"/>
                <w:szCs w:val="24"/>
              </w:rPr>
              <w:t>600584</w:t>
            </w:r>
          </w:p>
        </w:tc>
        <w:tc>
          <w:tcPr>
            <w:tcW w:w="1777" w:type="dxa"/>
            <w:vAlign w:val="center"/>
          </w:tcPr>
          <w:p w:rsidR="00C97235" w:rsidRDefault="00B01510">
            <w:pPr>
              <w:jc w:val="center"/>
            </w:pPr>
            <w:r>
              <w:rPr>
                <w:color w:val="000000"/>
                <w:sz w:val="24"/>
                <w:szCs w:val="24"/>
              </w:rPr>
              <w:t>长电科技</w:t>
            </w:r>
          </w:p>
        </w:tc>
        <w:tc>
          <w:tcPr>
            <w:tcW w:w="1334" w:type="dxa"/>
            <w:vAlign w:val="center"/>
          </w:tcPr>
          <w:p w:rsidR="00C97235" w:rsidRDefault="00B01510">
            <w:pPr>
              <w:jc w:val="right"/>
            </w:pPr>
            <w:r>
              <w:rPr>
                <w:color w:val="000000"/>
                <w:sz w:val="24"/>
                <w:szCs w:val="24"/>
              </w:rPr>
              <w:t>499,990</w:t>
            </w:r>
          </w:p>
        </w:tc>
        <w:tc>
          <w:tcPr>
            <w:tcW w:w="1924" w:type="dxa"/>
            <w:vAlign w:val="center"/>
          </w:tcPr>
          <w:p w:rsidR="00C97235" w:rsidRDefault="00B01510">
            <w:pPr>
              <w:jc w:val="right"/>
            </w:pPr>
            <w:r>
              <w:rPr>
                <w:color w:val="000000"/>
                <w:sz w:val="24"/>
                <w:szCs w:val="24"/>
              </w:rPr>
              <w:t>5,564,888.70</w:t>
            </w:r>
          </w:p>
        </w:tc>
        <w:tc>
          <w:tcPr>
            <w:tcW w:w="1644" w:type="dxa"/>
            <w:vAlign w:val="center"/>
          </w:tcPr>
          <w:p w:rsidR="00C97235" w:rsidRDefault="00B01510">
            <w:pPr>
              <w:jc w:val="right"/>
            </w:pPr>
            <w:r>
              <w:rPr>
                <w:color w:val="000000"/>
                <w:sz w:val="24"/>
                <w:szCs w:val="24"/>
              </w:rPr>
              <w:t>2.26</w:t>
            </w:r>
          </w:p>
        </w:tc>
      </w:tr>
      <w:tr w:rsidR="00C97235">
        <w:trPr>
          <w:jc w:val="center"/>
        </w:trPr>
        <w:tc>
          <w:tcPr>
            <w:tcW w:w="855" w:type="dxa"/>
            <w:vAlign w:val="center"/>
          </w:tcPr>
          <w:p w:rsidR="00C97235" w:rsidRDefault="00B01510">
            <w:pPr>
              <w:jc w:val="center"/>
            </w:pPr>
            <w:r>
              <w:rPr>
                <w:color w:val="000000"/>
                <w:sz w:val="24"/>
                <w:szCs w:val="24"/>
              </w:rPr>
              <w:t>4</w:t>
            </w:r>
          </w:p>
        </w:tc>
        <w:tc>
          <w:tcPr>
            <w:tcW w:w="1334" w:type="dxa"/>
            <w:vAlign w:val="center"/>
          </w:tcPr>
          <w:p w:rsidR="00C97235" w:rsidRDefault="00B01510">
            <w:pPr>
              <w:jc w:val="center"/>
            </w:pPr>
            <w:r>
              <w:rPr>
                <w:color w:val="000000"/>
                <w:sz w:val="24"/>
                <w:szCs w:val="24"/>
              </w:rPr>
              <w:t>601989</w:t>
            </w:r>
          </w:p>
        </w:tc>
        <w:tc>
          <w:tcPr>
            <w:tcW w:w="1777" w:type="dxa"/>
            <w:vAlign w:val="center"/>
          </w:tcPr>
          <w:p w:rsidR="00C97235" w:rsidRDefault="00B01510">
            <w:pPr>
              <w:jc w:val="center"/>
            </w:pPr>
            <w:r>
              <w:rPr>
                <w:color w:val="000000"/>
                <w:sz w:val="24"/>
                <w:szCs w:val="24"/>
              </w:rPr>
              <w:t>中国重工</w:t>
            </w:r>
          </w:p>
        </w:tc>
        <w:tc>
          <w:tcPr>
            <w:tcW w:w="1334" w:type="dxa"/>
            <w:vAlign w:val="center"/>
          </w:tcPr>
          <w:p w:rsidR="00C97235" w:rsidRDefault="00B01510">
            <w:pPr>
              <w:jc w:val="right"/>
            </w:pPr>
            <w:r>
              <w:rPr>
                <w:color w:val="000000"/>
                <w:sz w:val="24"/>
                <w:szCs w:val="24"/>
              </w:rPr>
              <w:t>600,000</w:t>
            </w:r>
          </w:p>
        </w:tc>
        <w:tc>
          <w:tcPr>
            <w:tcW w:w="1924" w:type="dxa"/>
            <w:vAlign w:val="center"/>
          </w:tcPr>
          <w:p w:rsidR="00C97235" w:rsidRDefault="00B01510">
            <w:pPr>
              <w:jc w:val="right"/>
            </w:pPr>
            <w:r>
              <w:rPr>
                <w:color w:val="000000"/>
                <w:sz w:val="24"/>
                <w:szCs w:val="24"/>
              </w:rPr>
              <w:t>5,526,000.00</w:t>
            </w:r>
          </w:p>
        </w:tc>
        <w:tc>
          <w:tcPr>
            <w:tcW w:w="1644" w:type="dxa"/>
            <w:vAlign w:val="center"/>
          </w:tcPr>
          <w:p w:rsidR="00C97235" w:rsidRDefault="00B01510">
            <w:pPr>
              <w:jc w:val="right"/>
            </w:pPr>
            <w:r>
              <w:rPr>
                <w:color w:val="000000"/>
                <w:sz w:val="24"/>
                <w:szCs w:val="24"/>
              </w:rPr>
              <w:t>2.24</w:t>
            </w:r>
          </w:p>
        </w:tc>
      </w:tr>
      <w:tr w:rsidR="00C97235">
        <w:trPr>
          <w:jc w:val="center"/>
        </w:trPr>
        <w:tc>
          <w:tcPr>
            <w:tcW w:w="855" w:type="dxa"/>
            <w:vAlign w:val="center"/>
          </w:tcPr>
          <w:p w:rsidR="00C97235" w:rsidRDefault="00B01510">
            <w:pPr>
              <w:jc w:val="center"/>
            </w:pPr>
            <w:r>
              <w:rPr>
                <w:color w:val="000000"/>
                <w:sz w:val="24"/>
                <w:szCs w:val="24"/>
              </w:rPr>
              <w:t>5</w:t>
            </w:r>
          </w:p>
        </w:tc>
        <w:tc>
          <w:tcPr>
            <w:tcW w:w="1334" w:type="dxa"/>
            <w:vAlign w:val="center"/>
          </w:tcPr>
          <w:p w:rsidR="00C97235" w:rsidRDefault="00B01510">
            <w:pPr>
              <w:jc w:val="center"/>
            </w:pPr>
            <w:r>
              <w:rPr>
                <w:color w:val="000000"/>
                <w:sz w:val="24"/>
                <w:szCs w:val="24"/>
              </w:rPr>
              <w:t>601688</w:t>
            </w:r>
          </w:p>
        </w:tc>
        <w:tc>
          <w:tcPr>
            <w:tcW w:w="1777" w:type="dxa"/>
            <w:vAlign w:val="center"/>
          </w:tcPr>
          <w:p w:rsidR="00C97235" w:rsidRDefault="00B01510">
            <w:pPr>
              <w:jc w:val="center"/>
            </w:pPr>
            <w:r>
              <w:rPr>
                <w:color w:val="000000"/>
                <w:sz w:val="24"/>
                <w:szCs w:val="24"/>
              </w:rPr>
              <w:t>华泰证券</w:t>
            </w:r>
          </w:p>
        </w:tc>
        <w:tc>
          <w:tcPr>
            <w:tcW w:w="1334" w:type="dxa"/>
            <w:vAlign w:val="center"/>
          </w:tcPr>
          <w:p w:rsidR="00C97235" w:rsidRDefault="00B01510">
            <w:pPr>
              <w:jc w:val="right"/>
            </w:pPr>
            <w:r>
              <w:rPr>
                <w:color w:val="000000"/>
                <w:sz w:val="24"/>
                <w:szCs w:val="24"/>
              </w:rPr>
              <w:t>200,000</w:t>
            </w:r>
          </w:p>
        </w:tc>
        <w:tc>
          <w:tcPr>
            <w:tcW w:w="1924" w:type="dxa"/>
            <w:vAlign w:val="center"/>
          </w:tcPr>
          <w:p w:rsidR="00C97235" w:rsidRDefault="00B01510">
            <w:pPr>
              <w:jc w:val="right"/>
            </w:pPr>
            <w:r>
              <w:rPr>
                <w:color w:val="000000"/>
                <w:sz w:val="24"/>
                <w:szCs w:val="24"/>
              </w:rPr>
              <w:t>4,894,000.00</w:t>
            </w:r>
          </w:p>
        </w:tc>
        <w:tc>
          <w:tcPr>
            <w:tcW w:w="1644" w:type="dxa"/>
            <w:vAlign w:val="center"/>
          </w:tcPr>
          <w:p w:rsidR="00C97235" w:rsidRDefault="00B01510">
            <w:pPr>
              <w:jc w:val="right"/>
            </w:pPr>
            <w:r>
              <w:rPr>
                <w:color w:val="000000"/>
                <w:sz w:val="24"/>
                <w:szCs w:val="24"/>
              </w:rPr>
              <w:t>1.99</w:t>
            </w:r>
          </w:p>
        </w:tc>
      </w:tr>
      <w:tr w:rsidR="00C97235">
        <w:trPr>
          <w:jc w:val="center"/>
        </w:trPr>
        <w:tc>
          <w:tcPr>
            <w:tcW w:w="855" w:type="dxa"/>
            <w:vAlign w:val="center"/>
          </w:tcPr>
          <w:p w:rsidR="00C97235" w:rsidRDefault="00B01510">
            <w:pPr>
              <w:jc w:val="center"/>
            </w:pPr>
            <w:r>
              <w:rPr>
                <w:color w:val="000000"/>
                <w:sz w:val="24"/>
                <w:szCs w:val="24"/>
              </w:rPr>
              <w:t>6</w:t>
            </w:r>
          </w:p>
        </w:tc>
        <w:tc>
          <w:tcPr>
            <w:tcW w:w="1334" w:type="dxa"/>
            <w:vAlign w:val="center"/>
          </w:tcPr>
          <w:p w:rsidR="00C97235" w:rsidRDefault="00B01510">
            <w:pPr>
              <w:jc w:val="center"/>
            </w:pPr>
            <w:r>
              <w:rPr>
                <w:color w:val="000000"/>
                <w:sz w:val="24"/>
                <w:szCs w:val="24"/>
              </w:rPr>
              <w:t>600590</w:t>
            </w:r>
          </w:p>
        </w:tc>
        <w:tc>
          <w:tcPr>
            <w:tcW w:w="1777" w:type="dxa"/>
            <w:vAlign w:val="center"/>
          </w:tcPr>
          <w:p w:rsidR="00C97235" w:rsidRDefault="00B01510">
            <w:pPr>
              <w:jc w:val="center"/>
            </w:pPr>
            <w:r>
              <w:rPr>
                <w:color w:val="000000"/>
                <w:sz w:val="24"/>
                <w:szCs w:val="24"/>
              </w:rPr>
              <w:t>泰豪科技</w:t>
            </w:r>
          </w:p>
        </w:tc>
        <w:tc>
          <w:tcPr>
            <w:tcW w:w="1334" w:type="dxa"/>
            <w:vAlign w:val="center"/>
          </w:tcPr>
          <w:p w:rsidR="00C97235" w:rsidRDefault="00B01510">
            <w:pPr>
              <w:jc w:val="right"/>
            </w:pPr>
            <w:r>
              <w:rPr>
                <w:color w:val="000000"/>
                <w:sz w:val="24"/>
                <w:szCs w:val="24"/>
              </w:rPr>
              <w:t>380,000</w:t>
            </w:r>
          </w:p>
        </w:tc>
        <w:tc>
          <w:tcPr>
            <w:tcW w:w="1924" w:type="dxa"/>
            <w:vAlign w:val="center"/>
          </w:tcPr>
          <w:p w:rsidR="00C97235" w:rsidRDefault="00B01510">
            <w:pPr>
              <w:jc w:val="right"/>
            </w:pPr>
            <w:r>
              <w:rPr>
                <w:color w:val="000000"/>
                <w:sz w:val="24"/>
                <w:szCs w:val="24"/>
              </w:rPr>
              <w:t>3,389,600.00</w:t>
            </w:r>
          </w:p>
        </w:tc>
        <w:tc>
          <w:tcPr>
            <w:tcW w:w="1644" w:type="dxa"/>
            <w:vAlign w:val="center"/>
          </w:tcPr>
          <w:p w:rsidR="00C97235" w:rsidRDefault="00B01510">
            <w:pPr>
              <w:jc w:val="right"/>
            </w:pPr>
            <w:r>
              <w:rPr>
                <w:color w:val="000000"/>
                <w:sz w:val="24"/>
                <w:szCs w:val="24"/>
              </w:rPr>
              <w:t>1.38</w:t>
            </w:r>
          </w:p>
        </w:tc>
      </w:tr>
      <w:tr w:rsidR="00C97235">
        <w:trPr>
          <w:jc w:val="center"/>
        </w:trPr>
        <w:tc>
          <w:tcPr>
            <w:tcW w:w="855" w:type="dxa"/>
            <w:vAlign w:val="center"/>
          </w:tcPr>
          <w:p w:rsidR="00C97235" w:rsidRDefault="00B01510">
            <w:pPr>
              <w:jc w:val="center"/>
            </w:pPr>
            <w:r>
              <w:rPr>
                <w:color w:val="000000"/>
                <w:sz w:val="24"/>
                <w:szCs w:val="24"/>
              </w:rPr>
              <w:t>7</w:t>
            </w:r>
          </w:p>
        </w:tc>
        <w:tc>
          <w:tcPr>
            <w:tcW w:w="1334" w:type="dxa"/>
            <w:vAlign w:val="center"/>
          </w:tcPr>
          <w:p w:rsidR="00C97235" w:rsidRDefault="00B01510">
            <w:pPr>
              <w:jc w:val="center"/>
            </w:pPr>
            <w:r>
              <w:rPr>
                <w:color w:val="000000"/>
                <w:sz w:val="24"/>
                <w:szCs w:val="24"/>
              </w:rPr>
              <w:t>000783</w:t>
            </w:r>
          </w:p>
        </w:tc>
        <w:tc>
          <w:tcPr>
            <w:tcW w:w="1777" w:type="dxa"/>
            <w:vAlign w:val="center"/>
          </w:tcPr>
          <w:p w:rsidR="00C97235" w:rsidRDefault="00B01510">
            <w:pPr>
              <w:jc w:val="center"/>
            </w:pPr>
            <w:r>
              <w:rPr>
                <w:color w:val="000000"/>
                <w:sz w:val="24"/>
                <w:szCs w:val="24"/>
              </w:rPr>
              <w:t>长江证券</w:t>
            </w:r>
          </w:p>
        </w:tc>
        <w:tc>
          <w:tcPr>
            <w:tcW w:w="1334" w:type="dxa"/>
            <w:vAlign w:val="center"/>
          </w:tcPr>
          <w:p w:rsidR="00C97235" w:rsidRDefault="00B01510">
            <w:pPr>
              <w:jc w:val="right"/>
            </w:pPr>
            <w:r>
              <w:rPr>
                <w:color w:val="000000"/>
                <w:sz w:val="24"/>
                <w:szCs w:val="24"/>
              </w:rPr>
              <w:t>200,000</w:t>
            </w:r>
          </w:p>
        </w:tc>
        <w:tc>
          <w:tcPr>
            <w:tcW w:w="1924" w:type="dxa"/>
            <w:vAlign w:val="center"/>
          </w:tcPr>
          <w:p w:rsidR="00C97235" w:rsidRDefault="00B01510">
            <w:pPr>
              <w:jc w:val="right"/>
            </w:pPr>
            <w:r>
              <w:rPr>
                <w:color w:val="000000"/>
                <w:sz w:val="24"/>
                <w:szCs w:val="24"/>
              </w:rPr>
              <w:t>3,364,000.00</w:t>
            </w:r>
          </w:p>
        </w:tc>
        <w:tc>
          <w:tcPr>
            <w:tcW w:w="1644" w:type="dxa"/>
            <w:vAlign w:val="center"/>
          </w:tcPr>
          <w:p w:rsidR="00C97235" w:rsidRDefault="00B01510">
            <w:pPr>
              <w:jc w:val="right"/>
            </w:pPr>
            <w:r>
              <w:rPr>
                <w:color w:val="000000"/>
                <w:sz w:val="24"/>
                <w:szCs w:val="24"/>
              </w:rPr>
              <w:t>1.37</w:t>
            </w:r>
          </w:p>
        </w:tc>
      </w:tr>
      <w:tr w:rsidR="00C97235">
        <w:trPr>
          <w:jc w:val="center"/>
        </w:trPr>
        <w:tc>
          <w:tcPr>
            <w:tcW w:w="855" w:type="dxa"/>
            <w:vAlign w:val="center"/>
          </w:tcPr>
          <w:p w:rsidR="00C97235" w:rsidRDefault="00B01510">
            <w:pPr>
              <w:jc w:val="center"/>
            </w:pPr>
            <w:r>
              <w:rPr>
                <w:color w:val="000000"/>
                <w:sz w:val="24"/>
                <w:szCs w:val="24"/>
              </w:rPr>
              <w:t>8</w:t>
            </w:r>
          </w:p>
        </w:tc>
        <w:tc>
          <w:tcPr>
            <w:tcW w:w="1334" w:type="dxa"/>
            <w:vAlign w:val="center"/>
          </w:tcPr>
          <w:p w:rsidR="00C97235" w:rsidRDefault="00B01510">
            <w:pPr>
              <w:jc w:val="center"/>
            </w:pPr>
            <w:r>
              <w:rPr>
                <w:color w:val="000000"/>
                <w:sz w:val="24"/>
                <w:szCs w:val="24"/>
              </w:rPr>
              <w:t>601992</w:t>
            </w:r>
          </w:p>
        </w:tc>
        <w:tc>
          <w:tcPr>
            <w:tcW w:w="1777" w:type="dxa"/>
            <w:vAlign w:val="center"/>
          </w:tcPr>
          <w:p w:rsidR="00C97235" w:rsidRDefault="00B01510">
            <w:pPr>
              <w:jc w:val="center"/>
            </w:pPr>
            <w:r>
              <w:rPr>
                <w:color w:val="000000"/>
                <w:sz w:val="24"/>
                <w:szCs w:val="24"/>
              </w:rPr>
              <w:t>金隅股份</w:t>
            </w:r>
          </w:p>
        </w:tc>
        <w:tc>
          <w:tcPr>
            <w:tcW w:w="1334" w:type="dxa"/>
            <w:vAlign w:val="center"/>
          </w:tcPr>
          <w:p w:rsidR="00C97235" w:rsidRDefault="00B01510">
            <w:pPr>
              <w:jc w:val="right"/>
            </w:pPr>
            <w:r>
              <w:rPr>
                <w:color w:val="000000"/>
                <w:sz w:val="24"/>
                <w:szCs w:val="24"/>
              </w:rPr>
              <w:t>300,000</w:t>
            </w:r>
          </w:p>
        </w:tc>
        <w:tc>
          <w:tcPr>
            <w:tcW w:w="1924" w:type="dxa"/>
            <w:vAlign w:val="center"/>
          </w:tcPr>
          <w:p w:rsidR="00C97235" w:rsidRDefault="00B01510">
            <w:pPr>
              <w:jc w:val="right"/>
            </w:pPr>
            <w:r>
              <w:rPr>
                <w:color w:val="000000"/>
                <w:sz w:val="24"/>
                <w:szCs w:val="24"/>
              </w:rPr>
              <w:t>3,042,000.00</w:t>
            </w:r>
          </w:p>
        </w:tc>
        <w:tc>
          <w:tcPr>
            <w:tcW w:w="1644" w:type="dxa"/>
            <w:vAlign w:val="center"/>
          </w:tcPr>
          <w:p w:rsidR="00C97235" w:rsidRDefault="00B01510">
            <w:pPr>
              <w:jc w:val="right"/>
            </w:pPr>
            <w:r>
              <w:rPr>
                <w:color w:val="000000"/>
                <w:sz w:val="24"/>
                <w:szCs w:val="24"/>
              </w:rPr>
              <w:t>1.24</w:t>
            </w:r>
          </w:p>
        </w:tc>
      </w:tr>
      <w:tr w:rsidR="00C97235">
        <w:trPr>
          <w:jc w:val="center"/>
        </w:trPr>
        <w:tc>
          <w:tcPr>
            <w:tcW w:w="855" w:type="dxa"/>
            <w:vAlign w:val="center"/>
          </w:tcPr>
          <w:p w:rsidR="00C97235" w:rsidRDefault="00B01510">
            <w:pPr>
              <w:jc w:val="center"/>
            </w:pPr>
            <w:r>
              <w:rPr>
                <w:color w:val="000000"/>
                <w:sz w:val="24"/>
                <w:szCs w:val="24"/>
              </w:rPr>
              <w:t>9</w:t>
            </w:r>
          </w:p>
        </w:tc>
        <w:tc>
          <w:tcPr>
            <w:tcW w:w="1334" w:type="dxa"/>
            <w:vAlign w:val="center"/>
          </w:tcPr>
          <w:p w:rsidR="00C97235" w:rsidRDefault="00B01510">
            <w:pPr>
              <w:jc w:val="center"/>
            </w:pPr>
            <w:r>
              <w:rPr>
                <w:color w:val="000000"/>
                <w:sz w:val="24"/>
                <w:szCs w:val="24"/>
              </w:rPr>
              <w:t>600893</w:t>
            </w:r>
          </w:p>
        </w:tc>
        <w:tc>
          <w:tcPr>
            <w:tcW w:w="1777" w:type="dxa"/>
            <w:vAlign w:val="center"/>
          </w:tcPr>
          <w:p w:rsidR="00C97235" w:rsidRDefault="00B01510">
            <w:pPr>
              <w:jc w:val="center"/>
            </w:pPr>
            <w:r>
              <w:rPr>
                <w:color w:val="000000"/>
                <w:sz w:val="24"/>
                <w:szCs w:val="24"/>
              </w:rPr>
              <w:t>航空动力</w:t>
            </w:r>
          </w:p>
        </w:tc>
        <w:tc>
          <w:tcPr>
            <w:tcW w:w="1334" w:type="dxa"/>
            <w:vAlign w:val="center"/>
          </w:tcPr>
          <w:p w:rsidR="00C97235" w:rsidRDefault="00B01510">
            <w:pPr>
              <w:jc w:val="right"/>
            </w:pPr>
            <w:r>
              <w:rPr>
                <w:color w:val="000000"/>
                <w:sz w:val="24"/>
                <w:szCs w:val="24"/>
              </w:rPr>
              <w:t>100,000</w:t>
            </w:r>
          </w:p>
        </w:tc>
        <w:tc>
          <w:tcPr>
            <w:tcW w:w="1924" w:type="dxa"/>
            <w:vAlign w:val="center"/>
          </w:tcPr>
          <w:p w:rsidR="00C97235" w:rsidRDefault="00B01510">
            <w:pPr>
              <w:jc w:val="right"/>
            </w:pPr>
            <w:r>
              <w:rPr>
                <w:color w:val="000000"/>
                <w:sz w:val="24"/>
                <w:szCs w:val="24"/>
              </w:rPr>
              <w:t>2,896,000.00</w:t>
            </w:r>
          </w:p>
        </w:tc>
        <w:tc>
          <w:tcPr>
            <w:tcW w:w="1644" w:type="dxa"/>
            <w:vAlign w:val="center"/>
          </w:tcPr>
          <w:p w:rsidR="00C97235" w:rsidRDefault="00B01510">
            <w:pPr>
              <w:jc w:val="right"/>
            </w:pPr>
            <w:r>
              <w:rPr>
                <w:color w:val="000000"/>
                <w:sz w:val="24"/>
                <w:szCs w:val="24"/>
              </w:rPr>
              <w:t>1.18</w:t>
            </w:r>
          </w:p>
        </w:tc>
      </w:tr>
      <w:tr w:rsidR="00C97235">
        <w:trPr>
          <w:jc w:val="center"/>
        </w:trPr>
        <w:tc>
          <w:tcPr>
            <w:tcW w:w="855" w:type="dxa"/>
            <w:vAlign w:val="center"/>
          </w:tcPr>
          <w:p w:rsidR="00C97235" w:rsidRDefault="00B01510">
            <w:pPr>
              <w:jc w:val="center"/>
            </w:pPr>
            <w:r>
              <w:rPr>
                <w:color w:val="000000"/>
                <w:sz w:val="24"/>
                <w:szCs w:val="24"/>
              </w:rPr>
              <w:t>10</w:t>
            </w:r>
          </w:p>
        </w:tc>
        <w:tc>
          <w:tcPr>
            <w:tcW w:w="1334" w:type="dxa"/>
            <w:vAlign w:val="center"/>
          </w:tcPr>
          <w:p w:rsidR="00C97235" w:rsidRDefault="00B01510">
            <w:pPr>
              <w:jc w:val="center"/>
            </w:pPr>
            <w:r>
              <w:rPr>
                <w:color w:val="000000"/>
                <w:sz w:val="24"/>
                <w:szCs w:val="24"/>
              </w:rPr>
              <w:t>600118</w:t>
            </w:r>
          </w:p>
        </w:tc>
        <w:tc>
          <w:tcPr>
            <w:tcW w:w="1777" w:type="dxa"/>
            <w:vAlign w:val="center"/>
          </w:tcPr>
          <w:p w:rsidR="00C97235" w:rsidRDefault="00B01510">
            <w:pPr>
              <w:jc w:val="center"/>
            </w:pPr>
            <w:r>
              <w:rPr>
                <w:color w:val="000000"/>
                <w:sz w:val="24"/>
                <w:szCs w:val="24"/>
              </w:rPr>
              <w:t>中国卫星</w:t>
            </w:r>
          </w:p>
        </w:tc>
        <w:tc>
          <w:tcPr>
            <w:tcW w:w="1334" w:type="dxa"/>
            <w:vAlign w:val="center"/>
          </w:tcPr>
          <w:p w:rsidR="00C97235" w:rsidRDefault="00B01510">
            <w:pPr>
              <w:jc w:val="right"/>
            </w:pPr>
            <w:r>
              <w:rPr>
                <w:color w:val="000000"/>
                <w:sz w:val="24"/>
                <w:szCs w:val="24"/>
              </w:rPr>
              <w:t>99,941</w:t>
            </w:r>
          </w:p>
        </w:tc>
        <w:tc>
          <w:tcPr>
            <w:tcW w:w="1924" w:type="dxa"/>
            <w:vAlign w:val="center"/>
          </w:tcPr>
          <w:p w:rsidR="00C97235" w:rsidRDefault="00B01510">
            <w:pPr>
              <w:jc w:val="right"/>
            </w:pPr>
            <w:r>
              <w:rPr>
                <w:color w:val="000000"/>
                <w:sz w:val="24"/>
                <w:szCs w:val="24"/>
              </w:rPr>
              <w:t>2,846,319.68</w:t>
            </w:r>
          </w:p>
        </w:tc>
        <w:tc>
          <w:tcPr>
            <w:tcW w:w="1644" w:type="dxa"/>
            <w:vAlign w:val="center"/>
          </w:tcPr>
          <w:p w:rsidR="00C97235" w:rsidRDefault="00B01510">
            <w:pPr>
              <w:jc w:val="right"/>
            </w:pPr>
            <w:r>
              <w:rPr>
                <w:color w:val="000000"/>
                <w:sz w:val="24"/>
                <w:szCs w:val="24"/>
              </w:rPr>
              <w:t>1.16</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260"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49"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r w:rsidR="00C47163" w:rsidRPr="00414345">
              <w:rPr>
                <w:color w:val="000000"/>
                <w:sz w:val="24"/>
              </w:rPr>
              <w:t>（元）</w:t>
            </w:r>
          </w:p>
        </w:tc>
        <w:tc>
          <w:tcPr>
            <w:tcW w:w="1729"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C47163" w:rsidRPr="00414345">
              <w:rPr>
                <w:color w:val="000000"/>
                <w:sz w:val="24"/>
              </w:rPr>
              <w:t>（％）</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132,765,000.00</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53.92</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132,765,000.00</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53.92</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A8721A">
        <w:trPr>
          <w:jc w:val="center"/>
        </w:trPr>
        <w:tc>
          <w:tcPr>
            <w:tcW w:w="817"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260"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49"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29"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A8721A">
        <w:trPr>
          <w:jc w:val="center"/>
        </w:trPr>
        <w:tc>
          <w:tcPr>
            <w:tcW w:w="817"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408,618.00</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0.17</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8</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9</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133,173,618.00</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54.08</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D2061C" w:rsidRPr="00414345">
              <w:rPr>
                <w:color w:val="000000"/>
                <w:sz w:val="24"/>
              </w:rPr>
              <w:t>（张）</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C97235">
        <w:trPr>
          <w:jc w:val="center"/>
        </w:trPr>
        <w:tc>
          <w:tcPr>
            <w:tcW w:w="850" w:type="dxa"/>
            <w:vAlign w:val="center"/>
          </w:tcPr>
          <w:p w:rsidR="00C97235" w:rsidRDefault="00B01510">
            <w:pPr>
              <w:jc w:val="center"/>
            </w:pPr>
            <w:r>
              <w:rPr>
                <w:color w:val="000000"/>
                <w:sz w:val="24"/>
                <w:szCs w:val="24"/>
              </w:rPr>
              <w:t>1</w:t>
            </w:r>
          </w:p>
        </w:tc>
        <w:tc>
          <w:tcPr>
            <w:tcW w:w="1475" w:type="dxa"/>
            <w:vAlign w:val="center"/>
          </w:tcPr>
          <w:p w:rsidR="00C97235" w:rsidRDefault="00B01510">
            <w:pPr>
              <w:jc w:val="center"/>
            </w:pPr>
            <w:r>
              <w:rPr>
                <w:color w:val="000000"/>
                <w:sz w:val="24"/>
                <w:szCs w:val="24"/>
              </w:rPr>
              <w:t>140407</w:t>
            </w:r>
          </w:p>
        </w:tc>
        <w:tc>
          <w:tcPr>
            <w:tcW w:w="1769" w:type="dxa"/>
            <w:vAlign w:val="center"/>
          </w:tcPr>
          <w:p w:rsidR="00C97235" w:rsidRDefault="00B01510">
            <w:pPr>
              <w:jc w:val="center"/>
            </w:pPr>
            <w:r>
              <w:rPr>
                <w:color w:val="000000"/>
                <w:sz w:val="24"/>
                <w:szCs w:val="24"/>
              </w:rPr>
              <w:t>14</w:t>
            </w:r>
            <w:r>
              <w:rPr>
                <w:color w:val="000000"/>
                <w:sz w:val="24"/>
                <w:szCs w:val="24"/>
              </w:rPr>
              <w:t>农发</w:t>
            </w:r>
            <w:r>
              <w:rPr>
                <w:color w:val="000000"/>
                <w:sz w:val="24"/>
                <w:szCs w:val="24"/>
              </w:rPr>
              <w:t>07</w:t>
            </w:r>
          </w:p>
        </w:tc>
        <w:tc>
          <w:tcPr>
            <w:tcW w:w="1387" w:type="dxa"/>
            <w:vAlign w:val="center"/>
          </w:tcPr>
          <w:p w:rsidR="00C97235" w:rsidRDefault="00B01510">
            <w:pPr>
              <w:jc w:val="right"/>
            </w:pPr>
            <w:r>
              <w:rPr>
                <w:color w:val="000000"/>
                <w:sz w:val="24"/>
                <w:szCs w:val="24"/>
              </w:rPr>
              <w:t>500,000</w:t>
            </w:r>
          </w:p>
        </w:tc>
        <w:tc>
          <w:tcPr>
            <w:tcW w:w="2150" w:type="dxa"/>
            <w:vAlign w:val="center"/>
          </w:tcPr>
          <w:p w:rsidR="00C97235" w:rsidRDefault="00B01510">
            <w:pPr>
              <w:jc w:val="right"/>
            </w:pPr>
            <w:r>
              <w:rPr>
                <w:color w:val="000000"/>
                <w:sz w:val="24"/>
                <w:szCs w:val="24"/>
              </w:rPr>
              <w:t>51,250,000.00</w:t>
            </w:r>
          </w:p>
        </w:tc>
        <w:tc>
          <w:tcPr>
            <w:tcW w:w="1237" w:type="dxa"/>
            <w:vAlign w:val="center"/>
          </w:tcPr>
          <w:p w:rsidR="00C97235" w:rsidRDefault="00B01510">
            <w:pPr>
              <w:jc w:val="right"/>
            </w:pPr>
            <w:r>
              <w:rPr>
                <w:color w:val="000000"/>
                <w:sz w:val="24"/>
                <w:szCs w:val="24"/>
              </w:rPr>
              <w:t>20.81</w:t>
            </w:r>
          </w:p>
        </w:tc>
      </w:tr>
      <w:tr w:rsidR="00C97235">
        <w:trPr>
          <w:jc w:val="center"/>
        </w:trPr>
        <w:tc>
          <w:tcPr>
            <w:tcW w:w="850" w:type="dxa"/>
            <w:vAlign w:val="center"/>
          </w:tcPr>
          <w:p w:rsidR="00C97235" w:rsidRDefault="00B01510">
            <w:pPr>
              <w:jc w:val="center"/>
            </w:pPr>
            <w:r>
              <w:rPr>
                <w:color w:val="000000"/>
                <w:sz w:val="24"/>
                <w:szCs w:val="24"/>
              </w:rPr>
              <w:t>2</w:t>
            </w:r>
          </w:p>
        </w:tc>
        <w:tc>
          <w:tcPr>
            <w:tcW w:w="1475" w:type="dxa"/>
            <w:vAlign w:val="center"/>
          </w:tcPr>
          <w:p w:rsidR="00C97235" w:rsidRDefault="00B01510">
            <w:pPr>
              <w:jc w:val="center"/>
            </w:pPr>
            <w:r>
              <w:rPr>
                <w:color w:val="000000"/>
                <w:sz w:val="24"/>
                <w:szCs w:val="24"/>
              </w:rPr>
              <w:t>140424</w:t>
            </w:r>
          </w:p>
        </w:tc>
        <w:tc>
          <w:tcPr>
            <w:tcW w:w="1769" w:type="dxa"/>
            <w:vAlign w:val="center"/>
          </w:tcPr>
          <w:p w:rsidR="00C97235" w:rsidRDefault="00B01510">
            <w:pPr>
              <w:jc w:val="center"/>
            </w:pPr>
            <w:r>
              <w:rPr>
                <w:color w:val="000000"/>
                <w:sz w:val="24"/>
                <w:szCs w:val="24"/>
              </w:rPr>
              <w:t>14</w:t>
            </w:r>
            <w:r>
              <w:rPr>
                <w:color w:val="000000"/>
                <w:sz w:val="24"/>
                <w:szCs w:val="24"/>
              </w:rPr>
              <w:t>农发</w:t>
            </w:r>
            <w:r>
              <w:rPr>
                <w:color w:val="000000"/>
                <w:sz w:val="24"/>
                <w:szCs w:val="24"/>
              </w:rPr>
              <w:t>24</w:t>
            </w:r>
          </w:p>
        </w:tc>
        <w:tc>
          <w:tcPr>
            <w:tcW w:w="1387" w:type="dxa"/>
            <w:vAlign w:val="center"/>
          </w:tcPr>
          <w:p w:rsidR="00C97235" w:rsidRDefault="00B01510">
            <w:pPr>
              <w:jc w:val="right"/>
            </w:pPr>
            <w:r>
              <w:rPr>
                <w:color w:val="000000"/>
                <w:sz w:val="24"/>
                <w:szCs w:val="24"/>
              </w:rPr>
              <w:t>500,000</w:t>
            </w:r>
          </w:p>
        </w:tc>
        <w:tc>
          <w:tcPr>
            <w:tcW w:w="2150" w:type="dxa"/>
            <w:vAlign w:val="center"/>
          </w:tcPr>
          <w:p w:rsidR="00C97235" w:rsidRDefault="00B01510">
            <w:pPr>
              <w:jc w:val="right"/>
            </w:pPr>
            <w:r>
              <w:rPr>
                <w:color w:val="000000"/>
                <w:sz w:val="24"/>
                <w:szCs w:val="24"/>
              </w:rPr>
              <w:t>51,230,000.00</w:t>
            </w:r>
          </w:p>
        </w:tc>
        <w:tc>
          <w:tcPr>
            <w:tcW w:w="1237" w:type="dxa"/>
            <w:vAlign w:val="center"/>
          </w:tcPr>
          <w:p w:rsidR="00C97235" w:rsidRDefault="00B01510">
            <w:pPr>
              <w:jc w:val="right"/>
            </w:pPr>
            <w:r>
              <w:rPr>
                <w:color w:val="000000"/>
                <w:sz w:val="24"/>
                <w:szCs w:val="24"/>
              </w:rPr>
              <w:t>20.81</w:t>
            </w:r>
          </w:p>
        </w:tc>
      </w:tr>
      <w:tr w:rsidR="00C97235">
        <w:trPr>
          <w:jc w:val="center"/>
        </w:trPr>
        <w:tc>
          <w:tcPr>
            <w:tcW w:w="850" w:type="dxa"/>
            <w:vAlign w:val="center"/>
          </w:tcPr>
          <w:p w:rsidR="00C97235" w:rsidRDefault="00B01510">
            <w:pPr>
              <w:jc w:val="center"/>
            </w:pPr>
            <w:r>
              <w:rPr>
                <w:color w:val="000000"/>
                <w:sz w:val="24"/>
                <w:szCs w:val="24"/>
              </w:rPr>
              <w:t>3</w:t>
            </w:r>
          </w:p>
        </w:tc>
        <w:tc>
          <w:tcPr>
            <w:tcW w:w="1475" w:type="dxa"/>
            <w:vAlign w:val="center"/>
          </w:tcPr>
          <w:p w:rsidR="00C97235" w:rsidRDefault="00B01510">
            <w:pPr>
              <w:jc w:val="center"/>
            </w:pPr>
            <w:r>
              <w:rPr>
                <w:color w:val="000000"/>
                <w:sz w:val="24"/>
                <w:szCs w:val="24"/>
              </w:rPr>
              <w:t>140317</w:t>
            </w:r>
          </w:p>
        </w:tc>
        <w:tc>
          <w:tcPr>
            <w:tcW w:w="1769" w:type="dxa"/>
            <w:vAlign w:val="center"/>
          </w:tcPr>
          <w:p w:rsidR="00C97235" w:rsidRDefault="00B01510">
            <w:pPr>
              <w:jc w:val="center"/>
            </w:pPr>
            <w:r>
              <w:rPr>
                <w:color w:val="000000"/>
                <w:sz w:val="24"/>
                <w:szCs w:val="24"/>
              </w:rPr>
              <w:t>14</w:t>
            </w:r>
            <w:r>
              <w:rPr>
                <w:color w:val="000000"/>
                <w:sz w:val="24"/>
                <w:szCs w:val="24"/>
              </w:rPr>
              <w:t>进出</w:t>
            </w:r>
            <w:r>
              <w:rPr>
                <w:color w:val="000000"/>
                <w:sz w:val="24"/>
                <w:szCs w:val="24"/>
              </w:rPr>
              <w:t>17</w:t>
            </w:r>
          </w:p>
        </w:tc>
        <w:tc>
          <w:tcPr>
            <w:tcW w:w="1387" w:type="dxa"/>
            <w:vAlign w:val="center"/>
          </w:tcPr>
          <w:p w:rsidR="00C97235" w:rsidRDefault="00B01510">
            <w:pPr>
              <w:jc w:val="right"/>
            </w:pPr>
            <w:r>
              <w:rPr>
                <w:color w:val="000000"/>
                <w:sz w:val="24"/>
                <w:szCs w:val="24"/>
              </w:rPr>
              <w:t>200,000</w:t>
            </w:r>
          </w:p>
        </w:tc>
        <w:tc>
          <w:tcPr>
            <w:tcW w:w="2150" w:type="dxa"/>
            <w:vAlign w:val="center"/>
          </w:tcPr>
          <w:p w:rsidR="00C97235" w:rsidRDefault="00B01510">
            <w:pPr>
              <w:jc w:val="right"/>
            </w:pPr>
            <w:r>
              <w:rPr>
                <w:color w:val="000000"/>
                <w:sz w:val="24"/>
                <w:szCs w:val="24"/>
              </w:rPr>
              <w:t>20,012,000.00</w:t>
            </w:r>
          </w:p>
        </w:tc>
        <w:tc>
          <w:tcPr>
            <w:tcW w:w="1237" w:type="dxa"/>
            <w:vAlign w:val="center"/>
          </w:tcPr>
          <w:p w:rsidR="00C97235" w:rsidRDefault="00B01510">
            <w:pPr>
              <w:jc w:val="right"/>
            </w:pPr>
            <w:r>
              <w:rPr>
                <w:color w:val="000000"/>
                <w:sz w:val="24"/>
                <w:szCs w:val="24"/>
              </w:rPr>
              <w:t>8.13</w:t>
            </w:r>
          </w:p>
        </w:tc>
      </w:tr>
      <w:tr w:rsidR="00C97235">
        <w:trPr>
          <w:jc w:val="center"/>
        </w:trPr>
        <w:tc>
          <w:tcPr>
            <w:tcW w:w="850" w:type="dxa"/>
            <w:vAlign w:val="center"/>
          </w:tcPr>
          <w:p w:rsidR="00C97235" w:rsidRDefault="00B01510">
            <w:pPr>
              <w:jc w:val="center"/>
            </w:pPr>
            <w:r>
              <w:rPr>
                <w:color w:val="000000"/>
                <w:sz w:val="24"/>
                <w:szCs w:val="24"/>
              </w:rPr>
              <w:t>4</w:t>
            </w:r>
          </w:p>
        </w:tc>
        <w:tc>
          <w:tcPr>
            <w:tcW w:w="1475" w:type="dxa"/>
            <w:vAlign w:val="center"/>
          </w:tcPr>
          <w:p w:rsidR="00C97235" w:rsidRDefault="00B01510">
            <w:pPr>
              <w:jc w:val="center"/>
            </w:pPr>
            <w:r>
              <w:rPr>
                <w:color w:val="000000"/>
                <w:sz w:val="24"/>
                <w:szCs w:val="24"/>
              </w:rPr>
              <w:t>018001</w:t>
            </w:r>
          </w:p>
        </w:tc>
        <w:tc>
          <w:tcPr>
            <w:tcW w:w="1769" w:type="dxa"/>
            <w:vAlign w:val="center"/>
          </w:tcPr>
          <w:p w:rsidR="00C97235" w:rsidRDefault="00B01510">
            <w:pPr>
              <w:jc w:val="center"/>
            </w:pPr>
            <w:r>
              <w:rPr>
                <w:color w:val="000000"/>
                <w:sz w:val="24"/>
                <w:szCs w:val="24"/>
              </w:rPr>
              <w:t>国开</w:t>
            </w:r>
            <w:r>
              <w:rPr>
                <w:color w:val="000000"/>
                <w:sz w:val="24"/>
                <w:szCs w:val="24"/>
              </w:rPr>
              <w:t>1301</w:t>
            </w:r>
          </w:p>
        </w:tc>
        <w:tc>
          <w:tcPr>
            <w:tcW w:w="1387" w:type="dxa"/>
            <w:vAlign w:val="center"/>
          </w:tcPr>
          <w:p w:rsidR="00C97235" w:rsidRDefault="00B01510">
            <w:pPr>
              <w:jc w:val="right"/>
            </w:pPr>
            <w:r>
              <w:rPr>
                <w:color w:val="000000"/>
                <w:sz w:val="24"/>
                <w:szCs w:val="24"/>
              </w:rPr>
              <w:t>100,000</w:t>
            </w:r>
          </w:p>
        </w:tc>
        <w:tc>
          <w:tcPr>
            <w:tcW w:w="2150" w:type="dxa"/>
            <w:vAlign w:val="center"/>
          </w:tcPr>
          <w:p w:rsidR="00C97235" w:rsidRDefault="00B01510">
            <w:pPr>
              <w:jc w:val="right"/>
            </w:pPr>
            <w:r>
              <w:rPr>
                <w:color w:val="000000"/>
                <w:sz w:val="24"/>
                <w:szCs w:val="24"/>
              </w:rPr>
              <w:t>10,273,000.00</w:t>
            </w:r>
          </w:p>
        </w:tc>
        <w:tc>
          <w:tcPr>
            <w:tcW w:w="1237" w:type="dxa"/>
            <w:vAlign w:val="center"/>
          </w:tcPr>
          <w:p w:rsidR="00C97235" w:rsidRDefault="00B01510">
            <w:pPr>
              <w:jc w:val="right"/>
            </w:pPr>
            <w:r>
              <w:rPr>
                <w:color w:val="000000"/>
                <w:sz w:val="24"/>
                <w:szCs w:val="24"/>
              </w:rPr>
              <w:t>4.17</w:t>
            </w:r>
          </w:p>
        </w:tc>
      </w:tr>
      <w:tr w:rsidR="00C97235">
        <w:trPr>
          <w:jc w:val="center"/>
        </w:trPr>
        <w:tc>
          <w:tcPr>
            <w:tcW w:w="850" w:type="dxa"/>
            <w:vAlign w:val="center"/>
          </w:tcPr>
          <w:p w:rsidR="00C97235" w:rsidRDefault="00B01510">
            <w:pPr>
              <w:jc w:val="center"/>
            </w:pPr>
            <w:r>
              <w:rPr>
                <w:color w:val="000000"/>
                <w:sz w:val="24"/>
                <w:szCs w:val="24"/>
              </w:rPr>
              <w:t>5</w:t>
            </w:r>
          </w:p>
        </w:tc>
        <w:tc>
          <w:tcPr>
            <w:tcW w:w="1475" w:type="dxa"/>
            <w:vAlign w:val="center"/>
          </w:tcPr>
          <w:p w:rsidR="00C97235" w:rsidRDefault="00B01510">
            <w:pPr>
              <w:jc w:val="center"/>
            </w:pPr>
            <w:r>
              <w:rPr>
                <w:color w:val="000000"/>
                <w:sz w:val="24"/>
                <w:szCs w:val="24"/>
              </w:rPr>
              <w:t>113501</w:t>
            </w:r>
          </w:p>
        </w:tc>
        <w:tc>
          <w:tcPr>
            <w:tcW w:w="1769" w:type="dxa"/>
            <w:vAlign w:val="center"/>
          </w:tcPr>
          <w:p w:rsidR="00C97235" w:rsidRDefault="00B01510">
            <w:pPr>
              <w:jc w:val="center"/>
            </w:pPr>
            <w:r>
              <w:rPr>
                <w:color w:val="000000"/>
                <w:sz w:val="24"/>
                <w:szCs w:val="24"/>
              </w:rPr>
              <w:t>洛钼转债</w:t>
            </w:r>
          </w:p>
        </w:tc>
        <w:tc>
          <w:tcPr>
            <w:tcW w:w="1387" w:type="dxa"/>
            <w:vAlign w:val="center"/>
          </w:tcPr>
          <w:p w:rsidR="00C97235" w:rsidRDefault="00B01510">
            <w:pPr>
              <w:jc w:val="right"/>
            </w:pPr>
            <w:r>
              <w:rPr>
                <w:color w:val="000000"/>
                <w:sz w:val="24"/>
                <w:szCs w:val="24"/>
              </w:rPr>
              <w:t>3,220</w:t>
            </w:r>
          </w:p>
        </w:tc>
        <w:tc>
          <w:tcPr>
            <w:tcW w:w="2150" w:type="dxa"/>
            <w:vAlign w:val="center"/>
          </w:tcPr>
          <w:p w:rsidR="00C97235" w:rsidRDefault="00B01510">
            <w:pPr>
              <w:jc w:val="right"/>
            </w:pPr>
            <w:r>
              <w:rPr>
                <w:color w:val="000000"/>
                <w:sz w:val="24"/>
                <w:szCs w:val="24"/>
              </w:rPr>
              <w:t>408,618.00</w:t>
            </w:r>
          </w:p>
        </w:tc>
        <w:tc>
          <w:tcPr>
            <w:tcW w:w="1237" w:type="dxa"/>
            <w:vAlign w:val="center"/>
          </w:tcPr>
          <w:p w:rsidR="00C97235" w:rsidRDefault="00B01510">
            <w:pPr>
              <w:jc w:val="right"/>
            </w:pPr>
            <w:r>
              <w:rPr>
                <w:color w:val="000000"/>
                <w:sz w:val="24"/>
                <w:szCs w:val="24"/>
              </w:rPr>
              <w:t>0.17</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eastAsiaTheme="minorEastAsia"/>
          <w:b/>
          <w:bCs/>
          <w:color w:val="000000"/>
          <w:kern w:val="0"/>
          <w:sz w:val="24"/>
          <w:szCs w:val="24"/>
        </w:rPr>
        <w:t xml:space="preserve"> </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8E1D74" w:rsidRPr="00414345">
        <w:rPr>
          <w:b/>
          <w:bCs/>
          <w:color w:val="000000"/>
          <w:kern w:val="0"/>
          <w:sz w:val="24"/>
          <w:szCs w:val="24"/>
        </w:rPr>
        <w:t xml:space="preserve"> </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8E1D74" w:rsidRPr="00414345">
        <w:rPr>
          <w:b/>
          <w:bCs/>
          <w:color w:val="000000"/>
          <w:kern w:val="0"/>
          <w:sz w:val="24"/>
          <w:szCs w:val="24"/>
        </w:rPr>
        <w:t xml:space="preserve"> </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0004308C" w:rsidRPr="00414345">
        <w:rPr>
          <w:b/>
          <w:bCs/>
          <w:color w:val="000000"/>
          <w:kern w:val="0"/>
          <w:sz w:val="24"/>
          <w:szCs w:val="24"/>
        </w:rPr>
        <w:t xml:space="preserve"> </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04308C" w:rsidRPr="00414345">
        <w:rPr>
          <w:b/>
          <w:bCs/>
          <w:color w:val="000000"/>
          <w:kern w:val="0"/>
          <w:sz w:val="24"/>
          <w:szCs w:val="24"/>
        </w:rPr>
        <w:t xml:space="preserve"> </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w:t>
      </w:r>
      <w:r w:rsidRPr="00BE5388">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w:t>
      </w:r>
      <w:r w:rsidRPr="00BE5388">
        <w:rPr>
          <w:bCs/>
          <w:color w:val="000000"/>
          <w:kern w:val="0"/>
          <w:sz w:val="24"/>
          <w:szCs w:val="24"/>
        </w:rPr>
        <w:t>本基金投资的前十名股票中，没有超出基金合同规定的备选股票库之外的股票。</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04308C" w:rsidRPr="00414345">
        <w:rPr>
          <w:bCs/>
          <w:color w:val="000000"/>
          <w:kern w:val="0"/>
          <w:sz w:val="24"/>
          <w:szCs w:val="24"/>
        </w:rPr>
        <w:t xml:space="preserve"> </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59,330.14</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5,595,929.83</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458,597.46</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6,113,857.43</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E85E4B" w:rsidRPr="00414345">
        <w:rPr>
          <w:bCs/>
          <w:color w:val="000000"/>
          <w:kern w:val="0"/>
          <w:sz w:val="24"/>
          <w:szCs w:val="24"/>
        </w:rPr>
        <w:t xml:space="preserve"> </w:t>
      </w:r>
      <w:r w:rsidR="004061AC" w:rsidRPr="00414345">
        <w:rPr>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3F09B5" w:rsidRPr="00414345">
        <w:rPr>
          <w:bCs/>
          <w:color w:val="000000"/>
          <w:kern w:val="0"/>
          <w:sz w:val="24"/>
          <w:szCs w:val="24"/>
        </w:rPr>
        <w:t xml:space="preserve"> </w:t>
      </w:r>
      <w:r w:rsidR="004061AC" w:rsidRPr="00414345">
        <w:rPr>
          <w:bCs/>
          <w:color w:val="000000"/>
          <w:kern w:val="0"/>
          <w:sz w:val="24"/>
          <w:szCs w:val="24"/>
        </w:rPr>
        <w:t>报告期末前十名股票中存在流通受限情况的说明</w:t>
      </w:r>
    </w:p>
    <w:tbl>
      <w:tblPr>
        <w:tblStyle w:val="af7"/>
        <w:tblW w:w="8868" w:type="dxa"/>
        <w:jc w:val="center"/>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3E62FB" w:rsidRPr="00414345" w:rsidTr="00BC216C">
        <w:trPr>
          <w:jc w:val="center"/>
        </w:trPr>
        <w:tc>
          <w:tcPr>
            <w:tcW w:w="1083"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302"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股票代码</w:t>
            </w:r>
          </w:p>
        </w:tc>
        <w:tc>
          <w:tcPr>
            <w:tcW w:w="13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股票名称</w:t>
            </w:r>
          </w:p>
        </w:tc>
        <w:tc>
          <w:tcPr>
            <w:tcW w:w="1805"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流通受限部分的公允价值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55"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AC063D" w:rsidRPr="00414345">
              <w:rPr>
                <w:color w:val="000000"/>
                <w:sz w:val="24"/>
                <w:szCs w:val="24"/>
              </w:rPr>
              <w:t>(</w:t>
            </w:r>
            <w:r w:rsidR="00AC063D" w:rsidRPr="00414345">
              <w:rPr>
                <w:color w:val="000000"/>
                <w:sz w:val="24"/>
                <w:szCs w:val="24"/>
              </w:rPr>
              <w:t>％</w:t>
            </w:r>
            <w:r w:rsidR="00AC063D" w:rsidRPr="00414345">
              <w:rPr>
                <w:color w:val="000000"/>
                <w:sz w:val="24"/>
                <w:szCs w:val="24"/>
              </w:rPr>
              <w:t>)</w:t>
            </w:r>
          </w:p>
        </w:tc>
        <w:tc>
          <w:tcPr>
            <w:tcW w:w="136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流通受限情况说明</w:t>
            </w:r>
          </w:p>
        </w:tc>
      </w:tr>
      <w:tr w:rsidR="00C97235">
        <w:trPr>
          <w:jc w:val="center"/>
        </w:trPr>
        <w:tc>
          <w:tcPr>
            <w:tcW w:w="1129" w:type="dxa"/>
            <w:vAlign w:val="center"/>
          </w:tcPr>
          <w:p w:rsidR="00C97235" w:rsidRDefault="00B01510">
            <w:pPr>
              <w:jc w:val="center"/>
            </w:pPr>
            <w:r>
              <w:rPr>
                <w:color w:val="000000"/>
                <w:sz w:val="24"/>
                <w:szCs w:val="24"/>
              </w:rPr>
              <w:t>1</w:t>
            </w:r>
          </w:p>
        </w:tc>
        <w:tc>
          <w:tcPr>
            <w:tcW w:w="1356" w:type="dxa"/>
            <w:vAlign w:val="center"/>
          </w:tcPr>
          <w:p w:rsidR="00C97235" w:rsidRDefault="00B01510">
            <w:pPr>
              <w:jc w:val="center"/>
            </w:pPr>
            <w:r>
              <w:rPr>
                <w:color w:val="000000"/>
                <w:sz w:val="24"/>
                <w:szCs w:val="24"/>
              </w:rPr>
              <w:t>600584</w:t>
            </w:r>
          </w:p>
        </w:tc>
        <w:tc>
          <w:tcPr>
            <w:tcW w:w="1355" w:type="dxa"/>
            <w:vAlign w:val="center"/>
          </w:tcPr>
          <w:p w:rsidR="00C97235" w:rsidRDefault="00B01510">
            <w:pPr>
              <w:jc w:val="center"/>
            </w:pPr>
            <w:r>
              <w:rPr>
                <w:color w:val="000000"/>
                <w:sz w:val="24"/>
                <w:szCs w:val="24"/>
              </w:rPr>
              <w:t>长电科技</w:t>
            </w:r>
          </w:p>
        </w:tc>
        <w:tc>
          <w:tcPr>
            <w:tcW w:w="1880" w:type="dxa"/>
            <w:vAlign w:val="center"/>
          </w:tcPr>
          <w:p w:rsidR="00C97235" w:rsidRDefault="00B01510">
            <w:pPr>
              <w:jc w:val="right"/>
            </w:pPr>
            <w:r>
              <w:rPr>
                <w:color w:val="000000"/>
                <w:sz w:val="24"/>
                <w:szCs w:val="24"/>
              </w:rPr>
              <w:t>5,564,888.70</w:t>
            </w:r>
          </w:p>
        </w:tc>
        <w:tc>
          <w:tcPr>
            <w:tcW w:w="1724" w:type="dxa"/>
            <w:vAlign w:val="center"/>
          </w:tcPr>
          <w:p w:rsidR="00C97235" w:rsidRDefault="00B01510">
            <w:pPr>
              <w:jc w:val="right"/>
            </w:pPr>
            <w:r>
              <w:rPr>
                <w:color w:val="000000"/>
                <w:sz w:val="24"/>
                <w:szCs w:val="24"/>
              </w:rPr>
              <w:t>2.26</w:t>
            </w:r>
          </w:p>
        </w:tc>
        <w:tc>
          <w:tcPr>
            <w:tcW w:w="1424" w:type="dxa"/>
            <w:vAlign w:val="center"/>
          </w:tcPr>
          <w:p w:rsidR="00C97235" w:rsidRDefault="00B01510">
            <w:pPr>
              <w:jc w:val="right"/>
            </w:pPr>
            <w:r>
              <w:rPr>
                <w:color w:val="000000"/>
                <w:sz w:val="24"/>
                <w:szCs w:val="24"/>
              </w:rPr>
              <w:t>重大事项</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3F09B5" w:rsidRPr="00414345">
        <w:rPr>
          <w:bCs/>
          <w:color w:val="000000"/>
          <w:kern w:val="0"/>
          <w:sz w:val="24"/>
          <w:szCs w:val="24"/>
        </w:rPr>
        <w:t xml:space="preserve"> </w:t>
      </w:r>
      <w:r w:rsidR="001675CD" w:rsidRPr="00414345">
        <w:rPr>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Pr="00414345" w:rsidRDefault="006B2FF6" w:rsidP="00C15CAC">
      <w:pPr>
        <w:spacing w:before="29" w:line="288" w:lineRule="auto"/>
        <w:ind w:firstLineChars="200" w:firstLine="480"/>
        <w:rPr>
          <w:color w:val="000000"/>
          <w:sz w:val="24"/>
          <w:szCs w:val="24"/>
        </w:rPr>
      </w:pPr>
    </w:p>
    <w:p w:rsidR="004061AC" w:rsidRPr="00414345" w:rsidRDefault="004061AC" w:rsidP="00C15CAC">
      <w:pPr>
        <w:spacing w:before="29" w:line="288" w:lineRule="auto"/>
        <w:ind w:firstLineChars="200" w:firstLine="482"/>
        <w:jc w:val="center"/>
        <w:rPr>
          <w:b/>
          <w:color w:val="000000"/>
          <w:sz w:val="24"/>
          <w:szCs w:val="24"/>
        </w:rPr>
      </w:pPr>
      <w:r w:rsidRPr="00414345">
        <w:rPr>
          <w:b/>
          <w:color w:val="000000"/>
          <w:kern w:val="0"/>
          <w:sz w:val="24"/>
          <w:szCs w:val="24"/>
        </w:rPr>
        <w:t xml:space="preserve">§6  </w:t>
      </w:r>
      <w:r w:rsidRPr="00414345">
        <w:rPr>
          <w:b/>
          <w:color w:val="000000"/>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243,504,998.55</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9,174,995.96</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33,212,458.48</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219,467,536.03</w:t>
            </w:r>
          </w:p>
        </w:tc>
      </w:tr>
    </w:tbl>
    <w:p w:rsidR="00C97235" w:rsidRDefault="00B01510">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D43C8C">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00775B61">
        <w:rPr>
          <w:rFonts w:hint="eastAsia"/>
          <w:b/>
          <w:sz w:val="24"/>
        </w:rPr>
        <w:t xml:space="preserve"> </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4061AC" w:rsidRPr="00414345" w:rsidRDefault="004061AC" w:rsidP="00D43C8C">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676095" w:rsidRPr="00414345">
        <w:rPr>
          <w:color w:val="000000"/>
          <w:kern w:val="0"/>
          <w:sz w:val="24"/>
          <w:szCs w:val="24"/>
        </w:rPr>
        <w:t>8</w:t>
      </w:r>
      <w:r w:rsidR="00A3030E" w:rsidRPr="00414345">
        <w:rPr>
          <w:color w:val="000000"/>
          <w:kern w:val="0"/>
          <w:sz w:val="24"/>
          <w:szCs w:val="24"/>
        </w:rPr>
        <w:t xml:space="preserve"> </w:t>
      </w:r>
      <w:r w:rsidRPr="00414345">
        <w:rPr>
          <w:color w:val="000000"/>
          <w:kern w:val="0"/>
          <w:sz w:val="24"/>
          <w:szCs w:val="24"/>
        </w:rPr>
        <w:t>影响投资者决策的其他重要信息</w:t>
      </w:r>
    </w:p>
    <w:p w:rsidR="004061AC" w:rsidRDefault="00FB2BB0" w:rsidP="00393490">
      <w:pPr>
        <w:spacing w:before="29" w:line="288" w:lineRule="auto"/>
        <w:rPr>
          <w:color w:val="000000"/>
          <w:sz w:val="24"/>
          <w:szCs w:val="24"/>
        </w:rPr>
      </w:pPr>
      <w:r>
        <w:rPr>
          <w:rFonts w:hint="eastAsia"/>
          <w:color w:val="000000"/>
          <w:sz w:val="24"/>
          <w:szCs w:val="24"/>
        </w:rPr>
        <w:t>1</w:t>
      </w:r>
      <w:r>
        <w:rPr>
          <w:rFonts w:hint="eastAsia"/>
          <w:color w:val="000000"/>
          <w:sz w:val="24"/>
          <w:szCs w:val="24"/>
        </w:rPr>
        <w:t>、</w:t>
      </w:r>
      <w:r w:rsidR="004061AC" w:rsidRPr="00414345">
        <w:rPr>
          <w:color w:val="000000"/>
          <w:sz w:val="24"/>
          <w:szCs w:val="24"/>
        </w:rPr>
        <w:t>依据中国证监会《关于进一步规范证券投资基金估值业务的指导意见》（证监会公告</w:t>
      </w:r>
      <w:r w:rsidR="004061AC" w:rsidRPr="00414345">
        <w:rPr>
          <w:color w:val="000000"/>
          <w:sz w:val="24"/>
          <w:szCs w:val="24"/>
        </w:rPr>
        <w:t>[2008]38</w:t>
      </w:r>
      <w:r w:rsidR="004061AC" w:rsidRPr="00414345">
        <w:rPr>
          <w:color w:val="000000"/>
          <w:sz w:val="24"/>
          <w:szCs w:val="24"/>
        </w:rPr>
        <w:t>号）的有关规定和《关于发布中基协（</w:t>
      </w:r>
      <w:r w:rsidR="004061AC" w:rsidRPr="00414345">
        <w:rPr>
          <w:color w:val="000000"/>
          <w:sz w:val="24"/>
          <w:szCs w:val="24"/>
        </w:rPr>
        <w:t>AMAC</w:t>
      </w:r>
      <w:r w:rsidR="004061AC" w:rsidRPr="00414345">
        <w:rPr>
          <w:color w:val="000000"/>
          <w:sz w:val="24"/>
          <w:szCs w:val="24"/>
        </w:rPr>
        <w:t>）基金行业股票估值指数的通知》的指导意见，经与基金托管人协商一致，本基金对其所持有的中航飞机（证券代码：</w:t>
      </w:r>
      <w:r w:rsidR="004061AC" w:rsidRPr="00414345">
        <w:rPr>
          <w:color w:val="000000"/>
          <w:sz w:val="24"/>
          <w:szCs w:val="24"/>
        </w:rPr>
        <w:t>000768</w:t>
      </w:r>
      <w:r w:rsidR="004061AC" w:rsidRPr="00414345">
        <w:rPr>
          <w:color w:val="000000"/>
          <w:sz w:val="24"/>
          <w:szCs w:val="24"/>
        </w:rPr>
        <w:t>）股票自</w:t>
      </w:r>
      <w:r w:rsidR="004061AC" w:rsidRPr="00414345">
        <w:rPr>
          <w:color w:val="000000"/>
          <w:sz w:val="24"/>
          <w:szCs w:val="24"/>
        </w:rPr>
        <w:t>2014</w:t>
      </w:r>
      <w:r w:rsidR="004061AC" w:rsidRPr="00414345">
        <w:rPr>
          <w:color w:val="000000"/>
          <w:sz w:val="24"/>
          <w:szCs w:val="24"/>
        </w:rPr>
        <w:t>年</w:t>
      </w:r>
      <w:r w:rsidR="004061AC" w:rsidRPr="00414345">
        <w:rPr>
          <w:color w:val="000000"/>
          <w:sz w:val="24"/>
          <w:szCs w:val="24"/>
        </w:rPr>
        <w:t>10</w:t>
      </w:r>
      <w:r w:rsidR="004061AC" w:rsidRPr="00414345">
        <w:rPr>
          <w:color w:val="000000"/>
          <w:sz w:val="24"/>
          <w:szCs w:val="24"/>
        </w:rPr>
        <w:t>月</w:t>
      </w:r>
      <w:r w:rsidR="004061AC" w:rsidRPr="00414345">
        <w:rPr>
          <w:color w:val="000000"/>
          <w:sz w:val="24"/>
          <w:szCs w:val="24"/>
        </w:rPr>
        <w:t>8</w:t>
      </w:r>
      <w:r w:rsidR="004061AC" w:rsidRPr="00414345">
        <w:rPr>
          <w:color w:val="000000"/>
          <w:sz w:val="24"/>
          <w:szCs w:val="24"/>
        </w:rPr>
        <w:t>日起按照指数收益法进行估值，并已于</w:t>
      </w:r>
      <w:r w:rsidR="004061AC" w:rsidRPr="00414345">
        <w:rPr>
          <w:color w:val="000000"/>
          <w:sz w:val="24"/>
          <w:szCs w:val="24"/>
        </w:rPr>
        <w:t>2014</w:t>
      </w:r>
      <w:r w:rsidR="004061AC" w:rsidRPr="00414345">
        <w:rPr>
          <w:color w:val="000000"/>
          <w:sz w:val="24"/>
          <w:szCs w:val="24"/>
        </w:rPr>
        <w:t>年</w:t>
      </w:r>
      <w:r w:rsidR="004061AC" w:rsidRPr="00414345">
        <w:rPr>
          <w:color w:val="000000"/>
          <w:sz w:val="24"/>
          <w:szCs w:val="24"/>
        </w:rPr>
        <w:t>10</w:t>
      </w:r>
      <w:r w:rsidR="004061AC" w:rsidRPr="00414345">
        <w:rPr>
          <w:color w:val="000000"/>
          <w:sz w:val="24"/>
          <w:szCs w:val="24"/>
        </w:rPr>
        <w:t>月</w:t>
      </w:r>
      <w:r w:rsidR="004061AC" w:rsidRPr="00414345">
        <w:rPr>
          <w:color w:val="000000"/>
          <w:sz w:val="24"/>
          <w:szCs w:val="24"/>
        </w:rPr>
        <w:t>17</w:t>
      </w:r>
      <w:r w:rsidR="004061AC" w:rsidRPr="00414345">
        <w:rPr>
          <w:color w:val="000000"/>
          <w:sz w:val="24"/>
          <w:szCs w:val="24"/>
        </w:rPr>
        <w:t>日起恢复按市场价格进行估值；本基金对其所持有的湖北能源（证券代码：</w:t>
      </w:r>
      <w:r w:rsidR="004061AC" w:rsidRPr="00414345">
        <w:rPr>
          <w:color w:val="000000"/>
          <w:sz w:val="24"/>
          <w:szCs w:val="24"/>
        </w:rPr>
        <w:t>000883</w:t>
      </w:r>
      <w:r w:rsidR="004061AC" w:rsidRPr="00414345">
        <w:rPr>
          <w:color w:val="000000"/>
          <w:sz w:val="24"/>
          <w:szCs w:val="24"/>
        </w:rPr>
        <w:t>）股票自</w:t>
      </w:r>
      <w:r w:rsidR="004061AC" w:rsidRPr="00414345">
        <w:rPr>
          <w:color w:val="000000"/>
          <w:sz w:val="24"/>
          <w:szCs w:val="24"/>
        </w:rPr>
        <w:t>2014</w:t>
      </w:r>
      <w:r w:rsidR="004061AC" w:rsidRPr="00414345">
        <w:rPr>
          <w:color w:val="000000"/>
          <w:sz w:val="24"/>
          <w:szCs w:val="24"/>
        </w:rPr>
        <w:t>年</w:t>
      </w:r>
      <w:r w:rsidR="004061AC" w:rsidRPr="00414345">
        <w:rPr>
          <w:color w:val="000000"/>
          <w:sz w:val="24"/>
          <w:szCs w:val="24"/>
        </w:rPr>
        <w:t>12</w:t>
      </w:r>
      <w:r w:rsidR="004061AC" w:rsidRPr="00414345">
        <w:rPr>
          <w:color w:val="000000"/>
          <w:sz w:val="24"/>
          <w:szCs w:val="24"/>
        </w:rPr>
        <w:t>月</w:t>
      </w:r>
      <w:r w:rsidR="004061AC" w:rsidRPr="00414345">
        <w:rPr>
          <w:color w:val="000000"/>
          <w:sz w:val="24"/>
          <w:szCs w:val="24"/>
        </w:rPr>
        <w:t>8</w:t>
      </w:r>
      <w:r w:rsidR="004061AC" w:rsidRPr="00414345">
        <w:rPr>
          <w:color w:val="000000"/>
          <w:sz w:val="24"/>
          <w:szCs w:val="24"/>
        </w:rPr>
        <w:t>日起按照指数收益法进行估值。</w:t>
      </w:r>
    </w:p>
    <w:p w:rsidR="00FB2BB0" w:rsidRDefault="00FB2BB0" w:rsidP="00FB2BB0">
      <w:pPr>
        <w:spacing w:before="29" w:line="288" w:lineRule="auto"/>
        <w:rPr>
          <w:rFonts w:eastAsiaTheme="minorEastAsia"/>
          <w:color w:val="000000"/>
          <w:sz w:val="24"/>
          <w:szCs w:val="24"/>
        </w:rPr>
      </w:pPr>
      <w:r>
        <w:rPr>
          <w:rFonts w:hint="eastAsia"/>
          <w:color w:val="000000"/>
          <w:sz w:val="24"/>
          <w:szCs w:val="24"/>
        </w:rPr>
        <w:t>2</w:t>
      </w:r>
      <w:r>
        <w:rPr>
          <w:rFonts w:hint="eastAsia"/>
          <w:color w:val="000000"/>
          <w:sz w:val="24"/>
          <w:szCs w:val="24"/>
        </w:rPr>
        <w:t>、</w:t>
      </w:r>
      <w:r>
        <w:rPr>
          <w:rFonts w:eastAsiaTheme="minorEastAsia" w:hint="eastAsia"/>
          <w:color w:val="000000"/>
          <w:sz w:val="24"/>
        </w:rPr>
        <w:t>本基金托管人</w:t>
      </w:r>
      <w:r>
        <w:rPr>
          <w:rFonts w:eastAsiaTheme="minorEastAsia"/>
          <w:color w:val="000000"/>
          <w:sz w:val="24"/>
        </w:rPr>
        <w:t>2014</w:t>
      </w:r>
      <w:r>
        <w:rPr>
          <w:rFonts w:eastAsiaTheme="minorEastAsia" w:hint="eastAsia"/>
          <w:color w:val="000000"/>
          <w:sz w:val="24"/>
        </w:rPr>
        <w:t>年</w:t>
      </w:r>
      <w:r w:rsidR="00D64ACE">
        <w:rPr>
          <w:rFonts w:eastAsiaTheme="minorEastAsia"/>
          <w:color w:val="000000"/>
          <w:sz w:val="24"/>
        </w:rPr>
        <w:t>11</w:t>
      </w:r>
      <w:r>
        <w:rPr>
          <w:rFonts w:eastAsiaTheme="minorEastAsia" w:hint="eastAsia"/>
          <w:color w:val="000000"/>
          <w:sz w:val="24"/>
        </w:rPr>
        <w:t>月</w:t>
      </w:r>
      <w:r w:rsidR="00D64ACE">
        <w:rPr>
          <w:rFonts w:eastAsiaTheme="minorEastAsia"/>
          <w:color w:val="000000"/>
          <w:sz w:val="24"/>
        </w:rPr>
        <w:t>3</w:t>
      </w:r>
      <w:bookmarkStart w:id="0" w:name="_GoBack"/>
      <w:bookmarkEnd w:id="0"/>
      <w:r>
        <w:rPr>
          <w:rFonts w:eastAsiaTheme="minorEastAsia" w:hint="eastAsia"/>
          <w:color w:val="000000"/>
          <w:sz w:val="24"/>
        </w:rPr>
        <w:t>日发布公告，聘任赵观甫为中国建设银行投资托管业务部总经理。</w:t>
      </w:r>
    </w:p>
    <w:p w:rsidR="00ED6E80" w:rsidRPr="00FB2BB0" w:rsidRDefault="00ED6E80" w:rsidP="00393490">
      <w:pPr>
        <w:spacing w:before="29" w:line="288" w:lineRule="auto"/>
        <w:rPr>
          <w:color w:val="000000"/>
          <w:sz w:val="24"/>
          <w:szCs w:val="24"/>
        </w:rPr>
      </w:pPr>
    </w:p>
    <w:p w:rsidR="00B22DEE" w:rsidRPr="00E02660" w:rsidRDefault="004061AC" w:rsidP="00D43C8C">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9</w:t>
      </w:r>
      <w:r w:rsidR="00A3030E" w:rsidRPr="00414345">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1</w:t>
      </w:r>
      <w:r w:rsidR="00E705CC" w:rsidRPr="00414345">
        <w:rPr>
          <w:b/>
          <w:bCs/>
          <w:color w:val="000000"/>
          <w:kern w:val="0"/>
          <w:sz w:val="24"/>
          <w:szCs w:val="24"/>
        </w:rPr>
        <w:t xml:space="preserve"> </w:t>
      </w:r>
      <w:r w:rsidR="004061AC" w:rsidRPr="00414345">
        <w:rPr>
          <w:b/>
          <w:bCs/>
          <w:color w:val="000000"/>
          <w:kern w:val="0"/>
          <w:sz w:val="24"/>
          <w:szCs w:val="24"/>
        </w:rPr>
        <w:t>备查文件目录</w:t>
      </w:r>
    </w:p>
    <w:p w:rsidR="00C97235" w:rsidRDefault="00B01510">
      <w:pPr>
        <w:spacing w:before="29" w:line="288" w:lineRule="auto"/>
        <w:ind w:firstLineChars="200" w:firstLine="480"/>
        <w:rPr>
          <w:color w:val="000000"/>
          <w:sz w:val="24"/>
          <w:szCs w:val="24"/>
        </w:rPr>
      </w:pPr>
      <w:r>
        <w:rPr>
          <w:color w:val="000000"/>
          <w:sz w:val="24"/>
          <w:szCs w:val="24"/>
        </w:rPr>
        <w:t>1</w:t>
      </w:r>
      <w:r>
        <w:rPr>
          <w:color w:val="000000"/>
          <w:sz w:val="24"/>
          <w:szCs w:val="24"/>
        </w:rPr>
        <w:t>、中国证监会批准交银施罗德荣泰保本混合型证券投资基金募集的文件；</w:t>
      </w:r>
      <w:r>
        <w:rPr>
          <w:color w:val="000000"/>
          <w:sz w:val="24"/>
          <w:szCs w:val="24"/>
        </w:rPr>
        <w:t xml:space="preserve"> </w:t>
      </w:r>
    </w:p>
    <w:p w:rsidR="00C97235" w:rsidRDefault="00B01510">
      <w:pPr>
        <w:spacing w:before="29" w:line="288" w:lineRule="auto"/>
        <w:ind w:firstLineChars="200" w:firstLine="480"/>
        <w:rPr>
          <w:color w:val="000000"/>
          <w:sz w:val="24"/>
          <w:szCs w:val="24"/>
        </w:rPr>
      </w:pPr>
      <w:r>
        <w:rPr>
          <w:color w:val="000000"/>
          <w:sz w:val="24"/>
          <w:szCs w:val="24"/>
        </w:rPr>
        <w:t>2</w:t>
      </w:r>
      <w:r>
        <w:rPr>
          <w:color w:val="000000"/>
          <w:sz w:val="24"/>
          <w:szCs w:val="24"/>
        </w:rPr>
        <w:t>、《交银施罗德荣泰保本混合型证券投资基金基金合同》；</w:t>
      </w:r>
      <w:r>
        <w:rPr>
          <w:color w:val="000000"/>
          <w:sz w:val="24"/>
          <w:szCs w:val="24"/>
        </w:rPr>
        <w:t xml:space="preserve"> </w:t>
      </w:r>
    </w:p>
    <w:p w:rsidR="00C97235" w:rsidRDefault="00B01510">
      <w:pPr>
        <w:spacing w:before="29" w:line="288" w:lineRule="auto"/>
        <w:ind w:firstLineChars="200" w:firstLine="480"/>
        <w:rPr>
          <w:color w:val="000000"/>
          <w:sz w:val="24"/>
          <w:szCs w:val="24"/>
        </w:rPr>
      </w:pPr>
      <w:r>
        <w:rPr>
          <w:color w:val="000000"/>
          <w:sz w:val="24"/>
          <w:szCs w:val="24"/>
        </w:rPr>
        <w:t>3</w:t>
      </w:r>
      <w:r>
        <w:rPr>
          <w:color w:val="000000"/>
          <w:sz w:val="24"/>
          <w:szCs w:val="24"/>
        </w:rPr>
        <w:t>、《交银施罗德荣泰保本混合型证券投资基金招募说明书》；</w:t>
      </w:r>
    </w:p>
    <w:p w:rsidR="00C97235" w:rsidRDefault="00B01510">
      <w:pPr>
        <w:spacing w:before="29" w:line="288" w:lineRule="auto"/>
        <w:ind w:firstLineChars="200" w:firstLine="480"/>
        <w:rPr>
          <w:color w:val="000000"/>
          <w:sz w:val="24"/>
          <w:szCs w:val="24"/>
        </w:rPr>
      </w:pPr>
      <w:r>
        <w:rPr>
          <w:color w:val="000000"/>
          <w:sz w:val="24"/>
          <w:szCs w:val="24"/>
        </w:rPr>
        <w:t>4</w:t>
      </w:r>
      <w:r>
        <w:rPr>
          <w:color w:val="000000"/>
          <w:sz w:val="24"/>
          <w:szCs w:val="24"/>
        </w:rPr>
        <w:t>、《交银施罗德荣泰保本混合型证券投资基金托管协议》；</w:t>
      </w:r>
      <w:r>
        <w:rPr>
          <w:color w:val="000000"/>
          <w:sz w:val="24"/>
          <w:szCs w:val="24"/>
        </w:rPr>
        <w:t xml:space="preserve"> </w:t>
      </w:r>
    </w:p>
    <w:p w:rsidR="00C97235" w:rsidRDefault="00B01510">
      <w:pPr>
        <w:spacing w:before="29" w:line="288" w:lineRule="auto"/>
        <w:ind w:firstLineChars="200" w:firstLine="480"/>
        <w:rPr>
          <w:color w:val="000000"/>
          <w:sz w:val="24"/>
          <w:szCs w:val="24"/>
        </w:rPr>
      </w:pPr>
      <w:r>
        <w:rPr>
          <w:color w:val="000000"/>
          <w:sz w:val="24"/>
          <w:szCs w:val="24"/>
        </w:rPr>
        <w:t>5</w:t>
      </w:r>
      <w:r>
        <w:rPr>
          <w:color w:val="000000"/>
          <w:sz w:val="24"/>
          <w:szCs w:val="24"/>
        </w:rPr>
        <w:t>、基金管理人业务资格批件、营业执照；</w:t>
      </w:r>
    </w:p>
    <w:p w:rsidR="00C97235" w:rsidRDefault="00B01510">
      <w:pPr>
        <w:spacing w:before="29" w:line="288" w:lineRule="auto"/>
        <w:ind w:firstLineChars="200" w:firstLine="480"/>
        <w:rPr>
          <w:color w:val="000000"/>
          <w:sz w:val="24"/>
          <w:szCs w:val="24"/>
        </w:rPr>
      </w:pPr>
      <w:r>
        <w:rPr>
          <w:color w:val="000000"/>
          <w:sz w:val="24"/>
          <w:szCs w:val="24"/>
        </w:rPr>
        <w:t>6</w:t>
      </w:r>
      <w:r>
        <w:rPr>
          <w:color w:val="000000"/>
          <w:sz w:val="24"/>
          <w:szCs w:val="24"/>
        </w:rPr>
        <w:t>、基金托管人业务资格批件、营业执照；</w:t>
      </w:r>
    </w:p>
    <w:p w:rsidR="00C97235" w:rsidRDefault="00B01510">
      <w:pPr>
        <w:spacing w:before="29" w:line="288" w:lineRule="auto"/>
        <w:ind w:firstLineChars="200" w:firstLine="480"/>
        <w:rPr>
          <w:color w:val="000000"/>
          <w:sz w:val="24"/>
          <w:szCs w:val="24"/>
        </w:rPr>
      </w:pPr>
      <w:r>
        <w:rPr>
          <w:color w:val="000000"/>
          <w:sz w:val="24"/>
          <w:szCs w:val="24"/>
        </w:rPr>
        <w:t>7</w:t>
      </w:r>
      <w:r>
        <w:rPr>
          <w:color w:val="000000"/>
          <w:sz w:val="24"/>
          <w:szCs w:val="24"/>
        </w:rPr>
        <w:t>、关于申请募集交银施罗德荣泰保本混合型证券投资基金之法律意见书；</w:t>
      </w:r>
    </w:p>
    <w:p w:rsidR="00C97235" w:rsidRDefault="00B01510">
      <w:pPr>
        <w:spacing w:before="29" w:line="288" w:lineRule="auto"/>
        <w:ind w:firstLineChars="200" w:firstLine="480"/>
        <w:rPr>
          <w:color w:val="000000"/>
          <w:sz w:val="24"/>
          <w:szCs w:val="24"/>
        </w:rPr>
      </w:pPr>
      <w:r>
        <w:rPr>
          <w:color w:val="000000"/>
          <w:sz w:val="24"/>
          <w:szCs w:val="24"/>
        </w:rPr>
        <w:t>8</w:t>
      </w:r>
      <w:r>
        <w:rPr>
          <w:color w:val="000000"/>
          <w:sz w:val="24"/>
          <w:szCs w:val="24"/>
        </w:rPr>
        <w:t>、《交银施罗德荣泰保本混合型证券投资基金保证合同》；</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9</w:t>
      </w:r>
      <w:r w:rsidRPr="00414345">
        <w:rPr>
          <w:color w:val="000000"/>
          <w:sz w:val="24"/>
          <w:szCs w:val="24"/>
        </w:rPr>
        <w:t>、报告期内交银施罗德荣泰保本混合型证券投资基金在指定报刊上各项公告的原稿。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2</w:t>
      </w:r>
      <w:r w:rsidR="00E705CC" w:rsidRPr="00414345">
        <w:rPr>
          <w:b/>
          <w:bCs/>
          <w:color w:val="000000"/>
          <w:kern w:val="0"/>
          <w:sz w:val="24"/>
          <w:szCs w:val="24"/>
        </w:rPr>
        <w:t xml:space="preserve"> </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3</w:t>
      </w:r>
      <w:r w:rsidR="00E705CC" w:rsidRPr="00414345">
        <w:rPr>
          <w:b/>
          <w:bCs/>
          <w:color w:val="000000"/>
          <w:kern w:val="0"/>
          <w:sz w:val="24"/>
          <w:szCs w:val="24"/>
        </w:rPr>
        <w:t xml:space="preserve"> </w:t>
      </w:r>
      <w:r w:rsidR="004061AC" w:rsidRPr="00414345">
        <w:rPr>
          <w:b/>
          <w:bCs/>
          <w:color w:val="000000"/>
          <w:kern w:val="0"/>
          <w:sz w:val="24"/>
          <w:szCs w:val="24"/>
        </w:rPr>
        <w:t>查阅方式</w:t>
      </w:r>
    </w:p>
    <w:p w:rsidR="00C97235" w:rsidRDefault="00B01510">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w:t>
      </w:r>
      <w:r>
        <w:rPr>
          <w:color w:val="000000"/>
          <w:sz w:val="24"/>
          <w:szCs w:val="24"/>
        </w:rPr>
        <w:t>www.bocomschroder.com)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ED9" w:rsidRDefault="004F2ED9" w:rsidP="00876D65">
      <w:r>
        <w:separator/>
      </w:r>
    </w:p>
  </w:endnote>
  <w:endnote w:type="continuationSeparator" w:id="0">
    <w:p w:rsidR="004F2ED9" w:rsidRDefault="004F2ED9"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7972F5">
      <w:rPr>
        <w:rFonts w:hint="eastAsia"/>
        <w:kern w:val="0"/>
        <w:szCs w:val="21"/>
      </w:rPr>
      <w:t xml:space="preserve"> </w:t>
    </w:r>
    <w:r w:rsidR="00A90F35">
      <w:rPr>
        <w:kern w:val="0"/>
        <w:szCs w:val="21"/>
      </w:rPr>
      <w:fldChar w:fldCharType="begin"/>
    </w:r>
    <w:r>
      <w:rPr>
        <w:kern w:val="0"/>
        <w:szCs w:val="21"/>
      </w:rPr>
      <w:instrText xml:space="preserve"> PAGE </w:instrText>
    </w:r>
    <w:r w:rsidR="00A90F35">
      <w:rPr>
        <w:kern w:val="0"/>
        <w:szCs w:val="21"/>
      </w:rPr>
      <w:fldChar w:fldCharType="separate"/>
    </w:r>
    <w:r w:rsidR="00D64ACE">
      <w:rPr>
        <w:noProof/>
        <w:kern w:val="0"/>
        <w:szCs w:val="21"/>
      </w:rPr>
      <w:t>11</w:t>
    </w:r>
    <w:r w:rsidR="00A90F35">
      <w:rPr>
        <w:kern w:val="0"/>
        <w:szCs w:val="21"/>
      </w:rPr>
      <w:fldChar w:fldCharType="end"/>
    </w:r>
    <w:r w:rsidR="007972F5">
      <w:rPr>
        <w:rFonts w:hint="eastAsia"/>
        <w:kern w:val="0"/>
        <w:szCs w:val="21"/>
      </w:rPr>
      <w:t xml:space="preserve"> </w:t>
    </w:r>
    <w:r>
      <w:rPr>
        <w:rFonts w:hint="eastAsia"/>
        <w:kern w:val="0"/>
        <w:szCs w:val="21"/>
      </w:rPr>
      <w:t>页</w:t>
    </w:r>
    <w:r w:rsidR="007972F5">
      <w:rPr>
        <w:rFonts w:hint="eastAsia"/>
        <w:kern w:val="0"/>
        <w:szCs w:val="21"/>
      </w:rPr>
      <w:t xml:space="preserve"> </w:t>
    </w:r>
    <w:r>
      <w:rPr>
        <w:rFonts w:hint="eastAsia"/>
        <w:kern w:val="0"/>
        <w:szCs w:val="21"/>
      </w:rPr>
      <w:t>共</w:t>
    </w:r>
    <w:r w:rsidR="007972F5">
      <w:rPr>
        <w:rFonts w:hint="eastAsia"/>
        <w:kern w:val="0"/>
        <w:szCs w:val="21"/>
      </w:rPr>
      <w:t xml:space="preserve"> </w:t>
    </w:r>
    <w:r w:rsidR="00A90F35">
      <w:rPr>
        <w:kern w:val="0"/>
        <w:szCs w:val="21"/>
      </w:rPr>
      <w:fldChar w:fldCharType="begin"/>
    </w:r>
    <w:r>
      <w:rPr>
        <w:kern w:val="0"/>
        <w:szCs w:val="21"/>
      </w:rPr>
      <w:instrText xml:space="preserve"> NUMPAGES </w:instrText>
    </w:r>
    <w:r w:rsidR="00A90F35">
      <w:rPr>
        <w:kern w:val="0"/>
        <w:szCs w:val="21"/>
      </w:rPr>
      <w:fldChar w:fldCharType="separate"/>
    </w:r>
    <w:r w:rsidR="00D64ACE">
      <w:rPr>
        <w:noProof/>
        <w:kern w:val="0"/>
        <w:szCs w:val="21"/>
      </w:rPr>
      <w:t>12</w:t>
    </w:r>
    <w:r w:rsidR="00A90F35">
      <w:rPr>
        <w:kern w:val="0"/>
        <w:szCs w:val="21"/>
      </w:rPr>
      <w:fldChar w:fldCharType="end"/>
    </w:r>
    <w:r w:rsidR="007972F5">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ED9" w:rsidRDefault="004F2ED9" w:rsidP="00876D65">
      <w:r>
        <w:separator/>
      </w:r>
    </w:p>
  </w:footnote>
  <w:footnote w:type="continuationSeparator" w:id="0">
    <w:p w:rsidR="004F2ED9" w:rsidRDefault="004F2ED9"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CA574C" w:rsidRDefault="006B5457" w:rsidP="00090A26">
    <w:pPr>
      <w:pStyle w:val="a9"/>
      <w:pBdr>
        <w:bottom w:val="single" w:sz="6" w:space="0" w:color="auto"/>
      </w:pBdr>
      <w:jc w:val="right"/>
    </w:pPr>
    <w:r>
      <w:rPr>
        <w:rFonts w:hint="eastAsia"/>
        <w:noProof/>
      </w:rPr>
      <w:drawing>
        <wp:anchor distT="0" distB="0" distL="114300" distR="114300" simplePos="0" relativeHeight="251658240" behindDoc="0" locked="0" layoutInCell="1" allowOverlap="1">
          <wp:simplePos x="0" y="0"/>
          <wp:positionH relativeFrom="column">
            <wp:posOffset>-14605</wp:posOffset>
          </wp:positionH>
          <wp:positionV relativeFrom="paragraph">
            <wp:posOffset>-340360</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14099"/>
    <w:rsid w:val="000160C5"/>
    <w:rsid w:val="000210E7"/>
    <w:rsid w:val="000243BD"/>
    <w:rsid w:val="00024F7F"/>
    <w:rsid w:val="00031EBB"/>
    <w:rsid w:val="00033B8D"/>
    <w:rsid w:val="00035AB6"/>
    <w:rsid w:val="0004308C"/>
    <w:rsid w:val="00043852"/>
    <w:rsid w:val="000450DD"/>
    <w:rsid w:val="000463DE"/>
    <w:rsid w:val="0006147E"/>
    <w:rsid w:val="000625ED"/>
    <w:rsid w:val="00064D40"/>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7E5E"/>
    <w:rsid w:val="000F6CC8"/>
    <w:rsid w:val="00111261"/>
    <w:rsid w:val="00133015"/>
    <w:rsid w:val="00137452"/>
    <w:rsid w:val="00137B31"/>
    <w:rsid w:val="00144F93"/>
    <w:rsid w:val="00147376"/>
    <w:rsid w:val="0015450B"/>
    <w:rsid w:val="00154BE1"/>
    <w:rsid w:val="0015710B"/>
    <w:rsid w:val="00160EDC"/>
    <w:rsid w:val="00162D61"/>
    <w:rsid w:val="001675CD"/>
    <w:rsid w:val="001717D5"/>
    <w:rsid w:val="00171EF0"/>
    <w:rsid w:val="001761D2"/>
    <w:rsid w:val="00176C21"/>
    <w:rsid w:val="001830D7"/>
    <w:rsid w:val="00185A34"/>
    <w:rsid w:val="001934F6"/>
    <w:rsid w:val="00196E6C"/>
    <w:rsid w:val="001A73E8"/>
    <w:rsid w:val="001B0A62"/>
    <w:rsid w:val="001B2F35"/>
    <w:rsid w:val="001B4DD6"/>
    <w:rsid w:val="001C0993"/>
    <w:rsid w:val="001C79F2"/>
    <w:rsid w:val="001D6A4B"/>
    <w:rsid w:val="001E4630"/>
    <w:rsid w:val="001F0964"/>
    <w:rsid w:val="001F30D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4CCB"/>
    <w:rsid w:val="00365798"/>
    <w:rsid w:val="0039085F"/>
    <w:rsid w:val="00393490"/>
    <w:rsid w:val="00394069"/>
    <w:rsid w:val="00396809"/>
    <w:rsid w:val="003A6061"/>
    <w:rsid w:val="003B3494"/>
    <w:rsid w:val="003B6CA5"/>
    <w:rsid w:val="003B6FBC"/>
    <w:rsid w:val="003D742E"/>
    <w:rsid w:val="003E62FB"/>
    <w:rsid w:val="003E6867"/>
    <w:rsid w:val="003F09B5"/>
    <w:rsid w:val="003F1ECB"/>
    <w:rsid w:val="003F39DF"/>
    <w:rsid w:val="003F63BE"/>
    <w:rsid w:val="004003F8"/>
    <w:rsid w:val="004033ED"/>
    <w:rsid w:val="004061AC"/>
    <w:rsid w:val="00410630"/>
    <w:rsid w:val="00414345"/>
    <w:rsid w:val="004149AC"/>
    <w:rsid w:val="0042009D"/>
    <w:rsid w:val="004216D2"/>
    <w:rsid w:val="00421CD2"/>
    <w:rsid w:val="00426096"/>
    <w:rsid w:val="00427F58"/>
    <w:rsid w:val="00433805"/>
    <w:rsid w:val="00443869"/>
    <w:rsid w:val="00460575"/>
    <w:rsid w:val="00463EC0"/>
    <w:rsid w:val="00464787"/>
    <w:rsid w:val="00471408"/>
    <w:rsid w:val="00480B35"/>
    <w:rsid w:val="004858E0"/>
    <w:rsid w:val="00491C81"/>
    <w:rsid w:val="004934E9"/>
    <w:rsid w:val="004943C2"/>
    <w:rsid w:val="004949F3"/>
    <w:rsid w:val="004A11A7"/>
    <w:rsid w:val="004A459C"/>
    <w:rsid w:val="004A7B1D"/>
    <w:rsid w:val="004C0914"/>
    <w:rsid w:val="004C702F"/>
    <w:rsid w:val="004D340C"/>
    <w:rsid w:val="004D495A"/>
    <w:rsid w:val="004E5975"/>
    <w:rsid w:val="004E790A"/>
    <w:rsid w:val="004F1A4E"/>
    <w:rsid w:val="004F2ED9"/>
    <w:rsid w:val="004F50FD"/>
    <w:rsid w:val="00500A03"/>
    <w:rsid w:val="00512200"/>
    <w:rsid w:val="005143CD"/>
    <w:rsid w:val="005144F2"/>
    <w:rsid w:val="00516618"/>
    <w:rsid w:val="00517989"/>
    <w:rsid w:val="005242A5"/>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61EE"/>
    <w:rsid w:val="00582D99"/>
    <w:rsid w:val="00585263"/>
    <w:rsid w:val="005866D3"/>
    <w:rsid w:val="0059076B"/>
    <w:rsid w:val="005910BF"/>
    <w:rsid w:val="005A0F1F"/>
    <w:rsid w:val="005A6675"/>
    <w:rsid w:val="005B09FA"/>
    <w:rsid w:val="005B2E9C"/>
    <w:rsid w:val="005B3CC0"/>
    <w:rsid w:val="005B4F93"/>
    <w:rsid w:val="005B73D2"/>
    <w:rsid w:val="005D2B36"/>
    <w:rsid w:val="005E475E"/>
    <w:rsid w:val="005F118D"/>
    <w:rsid w:val="005F399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C12B8"/>
    <w:rsid w:val="006C2C1B"/>
    <w:rsid w:val="006C37FC"/>
    <w:rsid w:val="006C7EA3"/>
    <w:rsid w:val="006D2F96"/>
    <w:rsid w:val="006D39E9"/>
    <w:rsid w:val="006D3BE3"/>
    <w:rsid w:val="006D7004"/>
    <w:rsid w:val="006D789D"/>
    <w:rsid w:val="006D7FF8"/>
    <w:rsid w:val="006E042A"/>
    <w:rsid w:val="006F5E68"/>
    <w:rsid w:val="00706D60"/>
    <w:rsid w:val="007075E3"/>
    <w:rsid w:val="00707F66"/>
    <w:rsid w:val="00710AE0"/>
    <w:rsid w:val="00713A1A"/>
    <w:rsid w:val="00713B5F"/>
    <w:rsid w:val="00720D28"/>
    <w:rsid w:val="00722509"/>
    <w:rsid w:val="00723CB2"/>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4C04"/>
    <w:rsid w:val="007B5AFB"/>
    <w:rsid w:val="007C395A"/>
    <w:rsid w:val="007C5862"/>
    <w:rsid w:val="007D0922"/>
    <w:rsid w:val="007D100C"/>
    <w:rsid w:val="007E2686"/>
    <w:rsid w:val="007E57C0"/>
    <w:rsid w:val="007F29B1"/>
    <w:rsid w:val="007F7F0B"/>
    <w:rsid w:val="008014F9"/>
    <w:rsid w:val="0080358B"/>
    <w:rsid w:val="008059BD"/>
    <w:rsid w:val="0081286B"/>
    <w:rsid w:val="00812D46"/>
    <w:rsid w:val="008148E0"/>
    <w:rsid w:val="00815769"/>
    <w:rsid w:val="00815A38"/>
    <w:rsid w:val="0082103F"/>
    <w:rsid w:val="00824239"/>
    <w:rsid w:val="008279FE"/>
    <w:rsid w:val="00831259"/>
    <w:rsid w:val="0083208A"/>
    <w:rsid w:val="0083218A"/>
    <w:rsid w:val="00832A00"/>
    <w:rsid w:val="00837845"/>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91261"/>
    <w:rsid w:val="008A21B2"/>
    <w:rsid w:val="008A3DAA"/>
    <w:rsid w:val="008A5B20"/>
    <w:rsid w:val="008B2FDD"/>
    <w:rsid w:val="008B3C7E"/>
    <w:rsid w:val="008B4A75"/>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1735"/>
    <w:rsid w:val="00921AC7"/>
    <w:rsid w:val="00924582"/>
    <w:rsid w:val="00931291"/>
    <w:rsid w:val="0093367D"/>
    <w:rsid w:val="009431FA"/>
    <w:rsid w:val="00945AF6"/>
    <w:rsid w:val="009550BE"/>
    <w:rsid w:val="00955531"/>
    <w:rsid w:val="00955BE8"/>
    <w:rsid w:val="00957594"/>
    <w:rsid w:val="00963F40"/>
    <w:rsid w:val="009730B8"/>
    <w:rsid w:val="0097424F"/>
    <w:rsid w:val="0098122D"/>
    <w:rsid w:val="00986596"/>
    <w:rsid w:val="00990685"/>
    <w:rsid w:val="009A0ABE"/>
    <w:rsid w:val="009A4E5D"/>
    <w:rsid w:val="009B2D4B"/>
    <w:rsid w:val="009C5186"/>
    <w:rsid w:val="009C60F7"/>
    <w:rsid w:val="009D0952"/>
    <w:rsid w:val="009E19A9"/>
    <w:rsid w:val="009E31DA"/>
    <w:rsid w:val="009E402C"/>
    <w:rsid w:val="009E7C6A"/>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0F35"/>
    <w:rsid w:val="00A917BF"/>
    <w:rsid w:val="00A96A94"/>
    <w:rsid w:val="00AA3A38"/>
    <w:rsid w:val="00AA4F94"/>
    <w:rsid w:val="00AA6513"/>
    <w:rsid w:val="00AB047E"/>
    <w:rsid w:val="00AB4DB6"/>
    <w:rsid w:val="00AC063D"/>
    <w:rsid w:val="00AC592E"/>
    <w:rsid w:val="00AC6C10"/>
    <w:rsid w:val="00AC7BC6"/>
    <w:rsid w:val="00AD24AA"/>
    <w:rsid w:val="00AE7962"/>
    <w:rsid w:val="00AF0A7F"/>
    <w:rsid w:val="00AF3AB2"/>
    <w:rsid w:val="00B01510"/>
    <w:rsid w:val="00B11A78"/>
    <w:rsid w:val="00B11BE5"/>
    <w:rsid w:val="00B12B7D"/>
    <w:rsid w:val="00B16985"/>
    <w:rsid w:val="00B22DEE"/>
    <w:rsid w:val="00B27479"/>
    <w:rsid w:val="00B32AA7"/>
    <w:rsid w:val="00B34678"/>
    <w:rsid w:val="00B35024"/>
    <w:rsid w:val="00B371B4"/>
    <w:rsid w:val="00B40F64"/>
    <w:rsid w:val="00B42A76"/>
    <w:rsid w:val="00B47982"/>
    <w:rsid w:val="00B56F53"/>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70E0"/>
    <w:rsid w:val="00BD7473"/>
    <w:rsid w:val="00BD7703"/>
    <w:rsid w:val="00BE14ED"/>
    <w:rsid w:val="00BE420D"/>
    <w:rsid w:val="00BE5388"/>
    <w:rsid w:val="00BF0A66"/>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97235"/>
    <w:rsid w:val="00CA574C"/>
    <w:rsid w:val="00CA5FD5"/>
    <w:rsid w:val="00CA7703"/>
    <w:rsid w:val="00CB0F92"/>
    <w:rsid w:val="00CD4E6D"/>
    <w:rsid w:val="00CD4F19"/>
    <w:rsid w:val="00CD5095"/>
    <w:rsid w:val="00CD5707"/>
    <w:rsid w:val="00CD7702"/>
    <w:rsid w:val="00CE29EA"/>
    <w:rsid w:val="00CE473F"/>
    <w:rsid w:val="00CF04CF"/>
    <w:rsid w:val="00CF2D3E"/>
    <w:rsid w:val="00CF6572"/>
    <w:rsid w:val="00D01FE6"/>
    <w:rsid w:val="00D02347"/>
    <w:rsid w:val="00D046DB"/>
    <w:rsid w:val="00D04755"/>
    <w:rsid w:val="00D1116B"/>
    <w:rsid w:val="00D13737"/>
    <w:rsid w:val="00D1638E"/>
    <w:rsid w:val="00D2061C"/>
    <w:rsid w:val="00D21FFF"/>
    <w:rsid w:val="00D2206B"/>
    <w:rsid w:val="00D272A5"/>
    <w:rsid w:val="00D346D9"/>
    <w:rsid w:val="00D43AFB"/>
    <w:rsid w:val="00D43C8C"/>
    <w:rsid w:val="00D44EE8"/>
    <w:rsid w:val="00D57B7C"/>
    <w:rsid w:val="00D64ACE"/>
    <w:rsid w:val="00D65B44"/>
    <w:rsid w:val="00D75E69"/>
    <w:rsid w:val="00D8099B"/>
    <w:rsid w:val="00D866A8"/>
    <w:rsid w:val="00D91E06"/>
    <w:rsid w:val="00D94B8D"/>
    <w:rsid w:val="00D96C8D"/>
    <w:rsid w:val="00D974EF"/>
    <w:rsid w:val="00DA0C61"/>
    <w:rsid w:val="00DA14B0"/>
    <w:rsid w:val="00DA2876"/>
    <w:rsid w:val="00DA66D0"/>
    <w:rsid w:val="00DC0B51"/>
    <w:rsid w:val="00DC141F"/>
    <w:rsid w:val="00DC28F1"/>
    <w:rsid w:val="00DC6B55"/>
    <w:rsid w:val="00DE27F7"/>
    <w:rsid w:val="00DE4B43"/>
    <w:rsid w:val="00E02660"/>
    <w:rsid w:val="00E215BA"/>
    <w:rsid w:val="00E36549"/>
    <w:rsid w:val="00E40D31"/>
    <w:rsid w:val="00E41260"/>
    <w:rsid w:val="00E44E18"/>
    <w:rsid w:val="00E52DBC"/>
    <w:rsid w:val="00E54301"/>
    <w:rsid w:val="00E54BF5"/>
    <w:rsid w:val="00E554A1"/>
    <w:rsid w:val="00E55ABD"/>
    <w:rsid w:val="00E60817"/>
    <w:rsid w:val="00E62DE5"/>
    <w:rsid w:val="00E705CC"/>
    <w:rsid w:val="00E84C7E"/>
    <w:rsid w:val="00E85E4B"/>
    <w:rsid w:val="00E8670B"/>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F17AB"/>
    <w:rsid w:val="00EF6FA5"/>
    <w:rsid w:val="00F11104"/>
    <w:rsid w:val="00F11BB5"/>
    <w:rsid w:val="00F16E3F"/>
    <w:rsid w:val="00F2070B"/>
    <w:rsid w:val="00F22499"/>
    <w:rsid w:val="00F22B0F"/>
    <w:rsid w:val="00F24B42"/>
    <w:rsid w:val="00F24F73"/>
    <w:rsid w:val="00F27299"/>
    <w:rsid w:val="00F31B0C"/>
    <w:rsid w:val="00F31F6E"/>
    <w:rsid w:val="00F3389C"/>
    <w:rsid w:val="00F375F2"/>
    <w:rsid w:val="00F45C47"/>
    <w:rsid w:val="00F54EAE"/>
    <w:rsid w:val="00F66A51"/>
    <w:rsid w:val="00F71057"/>
    <w:rsid w:val="00F71A4B"/>
    <w:rsid w:val="00F728CF"/>
    <w:rsid w:val="00F743D4"/>
    <w:rsid w:val="00F80AC3"/>
    <w:rsid w:val="00F81917"/>
    <w:rsid w:val="00F83B17"/>
    <w:rsid w:val="00F87EDA"/>
    <w:rsid w:val="00F970EE"/>
    <w:rsid w:val="00FA775C"/>
    <w:rsid w:val="00FB0BC9"/>
    <w:rsid w:val="00FB2BB0"/>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DBB2B09-77BC-4473-A76A-2D3CA1FF3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uiPriority w:val="99"/>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701074">
      <w:bodyDiv w:val="1"/>
      <w:marLeft w:val="0"/>
      <w:marRight w:val="0"/>
      <w:marTop w:val="0"/>
      <w:marBottom w:val="0"/>
      <w:divBdr>
        <w:top w:val="none" w:sz="0" w:space="0" w:color="auto"/>
        <w:left w:val="none" w:sz="0" w:space="0" w:color="auto"/>
        <w:bottom w:val="none" w:sz="0" w:space="0" w:color="auto"/>
        <w:right w:val="none" w:sz="0" w:space="0" w:color="auto"/>
      </w:divBdr>
    </w:div>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42592-200E-45B3-8BE7-AB8D8AC40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1789</TotalTime>
  <Pages>12</Pages>
  <Words>1085</Words>
  <Characters>6191</Characters>
  <Application>Microsoft Office Word</Application>
  <DocSecurity>0</DocSecurity>
  <Lines>51</Lines>
  <Paragraphs>14</Paragraphs>
  <ScaleCrop>false</ScaleCrop>
  <Company/>
  <LinksUpToDate>false</LinksUpToDate>
  <CharactersWithSpaces>7262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王晚婷</cp:lastModifiedBy>
  <cp:revision>563</cp:revision>
  <dcterms:created xsi:type="dcterms:W3CDTF">2012-10-16T06:07:00Z</dcterms:created>
  <dcterms:modified xsi:type="dcterms:W3CDTF">2015-01-20T06:51:00Z</dcterms:modified>
</cp:coreProperties>
</file>