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3E4CE8">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84600" w:rsidRDefault="007450A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E4CE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173,082,094.97</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E4CE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E4CE8" w:rsidRPr="00414345" w:rsidTr="003E4CE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E4CE8" w:rsidRPr="00414345" w:rsidTr="003E4C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14,051,563.32</w:t>
            </w:r>
          </w:p>
        </w:tc>
      </w:tr>
      <w:tr w:rsidR="003E4CE8" w:rsidRPr="00414345" w:rsidTr="003E4C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27,545,329.45</w:t>
            </w:r>
          </w:p>
        </w:tc>
      </w:tr>
      <w:tr w:rsidR="003E4CE8" w:rsidRPr="00414345" w:rsidTr="003E4C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0.1455</w:t>
            </w:r>
          </w:p>
        </w:tc>
      </w:tr>
      <w:tr w:rsidR="003E4CE8" w:rsidRPr="00414345" w:rsidTr="003E4C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224,702,971.64</w:t>
            </w:r>
          </w:p>
        </w:tc>
      </w:tr>
      <w:tr w:rsidR="003E4CE8" w:rsidRPr="00414345" w:rsidTr="003E4CE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1.298</w:t>
            </w:r>
          </w:p>
        </w:tc>
      </w:tr>
    </w:tbl>
    <w:p w:rsidR="00584600" w:rsidRDefault="007450A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84600">
        <w:trPr>
          <w:jc w:val="center"/>
        </w:trPr>
        <w:tc>
          <w:tcPr>
            <w:tcW w:w="1701" w:type="dxa"/>
            <w:vAlign w:val="center"/>
          </w:tcPr>
          <w:p w:rsidR="00584600" w:rsidRDefault="007450A6">
            <w:pPr>
              <w:jc w:val="left"/>
            </w:pPr>
            <w:r>
              <w:rPr>
                <w:color w:val="000000"/>
                <w:sz w:val="24"/>
                <w:szCs w:val="24"/>
              </w:rPr>
              <w:t>过去三个月</w:t>
            </w:r>
          </w:p>
        </w:tc>
        <w:tc>
          <w:tcPr>
            <w:tcW w:w="1045" w:type="dxa"/>
            <w:vAlign w:val="center"/>
          </w:tcPr>
          <w:p w:rsidR="00584600" w:rsidRDefault="007450A6">
            <w:pPr>
              <w:jc w:val="center"/>
            </w:pPr>
            <w:r>
              <w:rPr>
                <w:color w:val="000000"/>
                <w:sz w:val="24"/>
                <w:szCs w:val="24"/>
              </w:rPr>
              <w:t>12.97%</w:t>
            </w:r>
          </w:p>
        </w:tc>
        <w:tc>
          <w:tcPr>
            <w:tcW w:w="1344" w:type="dxa"/>
            <w:vAlign w:val="center"/>
          </w:tcPr>
          <w:p w:rsidR="00584600" w:rsidRDefault="007450A6">
            <w:pPr>
              <w:jc w:val="center"/>
            </w:pPr>
            <w:r>
              <w:rPr>
                <w:color w:val="000000"/>
                <w:sz w:val="24"/>
                <w:szCs w:val="24"/>
              </w:rPr>
              <w:t>1.38%</w:t>
            </w:r>
          </w:p>
        </w:tc>
        <w:tc>
          <w:tcPr>
            <w:tcW w:w="1194" w:type="dxa"/>
            <w:vAlign w:val="center"/>
          </w:tcPr>
          <w:p w:rsidR="00584600" w:rsidRDefault="007450A6">
            <w:pPr>
              <w:jc w:val="center"/>
            </w:pPr>
            <w:r>
              <w:rPr>
                <w:color w:val="000000"/>
                <w:sz w:val="24"/>
                <w:szCs w:val="24"/>
              </w:rPr>
              <w:t>15.68%</w:t>
            </w:r>
          </w:p>
        </w:tc>
        <w:tc>
          <w:tcPr>
            <w:tcW w:w="1492" w:type="dxa"/>
            <w:vAlign w:val="center"/>
          </w:tcPr>
          <w:p w:rsidR="00584600" w:rsidRDefault="007450A6">
            <w:pPr>
              <w:jc w:val="center"/>
            </w:pPr>
            <w:r>
              <w:rPr>
                <w:color w:val="000000"/>
                <w:sz w:val="24"/>
                <w:szCs w:val="24"/>
              </w:rPr>
              <w:t>0.73%</w:t>
            </w:r>
          </w:p>
        </w:tc>
        <w:tc>
          <w:tcPr>
            <w:tcW w:w="1194" w:type="dxa"/>
            <w:vAlign w:val="center"/>
          </w:tcPr>
          <w:p w:rsidR="00584600" w:rsidRDefault="007450A6">
            <w:pPr>
              <w:jc w:val="center"/>
            </w:pPr>
            <w:r>
              <w:rPr>
                <w:color w:val="000000"/>
                <w:sz w:val="24"/>
                <w:szCs w:val="24"/>
              </w:rPr>
              <w:t>-2.71%</w:t>
            </w:r>
          </w:p>
        </w:tc>
        <w:tc>
          <w:tcPr>
            <w:tcW w:w="898" w:type="dxa"/>
            <w:vAlign w:val="center"/>
          </w:tcPr>
          <w:p w:rsidR="00584600" w:rsidRDefault="007450A6">
            <w:pPr>
              <w:jc w:val="center"/>
            </w:pPr>
            <w:r>
              <w:rPr>
                <w:color w:val="000000"/>
                <w:sz w:val="24"/>
                <w:szCs w:val="24"/>
              </w:rPr>
              <w:t>0.65%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w:t>
      </w:r>
      <w:r w:rsidR="00A05AC7" w:rsidRPr="00D379AF">
        <w:rPr>
          <w:rFonts w:hint="eastAsia"/>
          <w:color w:val="000000"/>
          <w:sz w:val="24"/>
          <w:szCs w:val="24"/>
        </w:rPr>
        <w:t>本基金基金合同生效日为</w:t>
      </w:r>
      <w:r w:rsidR="00A05AC7" w:rsidRPr="00D379AF">
        <w:rPr>
          <w:color w:val="000000"/>
          <w:sz w:val="24"/>
          <w:szCs w:val="24"/>
        </w:rPr>
        <w:t>2013</w:t>
      </w:r>
      <w:r w:rsidR="00A05AC7" w:rsidRPr="00D379AF">
        <w:rPr>
          <w:rFonts w:hint="eastAsia"/>
          <w:color w:val="000000"/>
          <w:sz w:val="24"/>
          <w:szCs w:val="24"/>
        </w:rPr>
        <w:t>年</w:t>
      </w:r>
      <w:r w:rsidR="00A05AC7" w:rsidRPr="00D379AF">
        <w:rPr>
          <w:color w:val="000000"/>
          <w:sz w:val="24"/>
          <w:szCs w:val="24"/>
        </w:rPr>
        <w:t>9</w:t>
      </w:r>
      <w:r w:rsidR="00A05AC7" w:rsidRPr="00D379AF">
        <w:rPr>
          <w:rFonts w:hint="eastAsia"/>
          <w:color w:val="000000"/>
          <w:sz w:val="24"/>
          <w:szCs w:val="24"/>
        </w:rPr>
        <w:t>月</w:t>
      </w:r>
      <w:r w:rsidR="00A05AC7" w:rsidRPr="00D379AF">
        <w:rPr>
          <w:color w:val="000000"/>
          <w:sz w:val="24"/>
          <w:szCs w:val="24"/>
        </w:rPr>
        <w:t>4</w:t>
      </w:r>
      <w:r w:rsidR="00A05AC7" w:rsidRPr="00D379AF">
        <w:rPr>
          <w:rFonts w:hint="eastAsia"/>
          <w:color w:val="000000"/>
          <w:sz w:val="24"/>
          <w:szCs w:val="24"/>
        </w:rPr>
        <w:t>日，截至报告期期末，本基金已完成建仓但报告期期末距建仓结束未满一年。本基金建仓期为自基金合同生效日起的</w:t>
      </w:r>
      <w:r w:rsidR="00A05AC7" w:rsidRPr="00D379AF">
        <w:rPr>
          <w:color w:val="000000"/>
          <w:sz w:val="24"/>
          <w:szCs w:val="24"/>
        </w:rPr>
        <w:t>6</w:t>
      </w:r>
      <w:r w:rsidR="00A05AC7" w:rsidRPr="00D379AF">
        <w:rPr>
          <w:rFonts w:hint="eastAsia"/>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3E4CE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84600">
        <w:trPr>
          <w:jc w:val="center"/>
        </w:trPr>
        <w:tc>
          <w:tcPr>
            <w:tcW w:w="846" w:type="dxa"/>
            <w:vAlign w:val="center"/>
          </w:tcPr>
          <w:p w:rsidR="00584600" w:rsidRDefault="007450A6">
            <w:pPr>
              <w:jc w:val="center"/>
            </w:pPr>
            <w:r>
              <w:rPr>
                <w:color w:val="000000"/>
                <w:sz w:val="24"/>
                <w:szCs w:val="24"/>
              </w:rPr>
              <w:t>项廷锋</w:t>
            </w:r>
          </w:p>
        </w:tc>
        <w:tc>
          <w:tcPr>
            <w:tcW w:w="845" w:type="dxa"/>
            <w:vAlign w:val="center"/>
          </w:tcPr>
          <w:p w:rsidR="00584600" w:rsidRDefault="007450A6">
            <w:pPr>
              <w:jc w:val="center"/>
            </w:pPr>
            <w:r>
              <w:rPr>
                <w:color w:val="000000"/>
                <w:sz w:val="24"/>
                <w:szCs w:val="24"/>
              </w:rPr>
              <w:t>本基金、交银双利债券、交银荣安保本混合、交银荣祥保本混合、交银荣泰保本混合、交银周期回报灵活配置混合的基金经理，公司投资总监</w:t>
            </w:r>
          </w:p>
        </w:tc>
        <w:tc>
          <w:tcPr>
            <w:tcW w:w="1549" w:type="dxa"/>
            <w:vAlign w:val="center"/>
          </w:tcPr>
          <w:p w:rsidR="00584600" w:rsidRDefault="007450A6">
            <w:pPr>
              <w:jc w:val="center"/>
            </w:pPr>
            <w:r>
              <w:rPr>
                <w:color w:val="000000"/>
                <w:sz w:val="24"/>
                <w:szCs w:val="24"/>
              </w:rPr>
              <w:t>2013-09-04</w:t>
            </w:r>
          </w:p>
        </w:tc>
        <w:tc>
          <w:tcPr>
            <w:tcW w:w="1548" w:type="dxa"/>
            <w:vAlign w:val="center"/>
          </w:tcPr>
          <w:p w:rsidR="00584600" w:rsidRDefault="007450A6">
            <w:pPr>
              <w:jc w:val="center"/>
            </w:pPr>
            <w:r>
              <w:rPr>
                <w:color w:val="000000"/>
                <w:sz w:val="24"/>
                <w:szCs w:val="24"/>
              </w:rPr>
              <w:t>2014-12-19</w:t>
            </w:r>
          </w:p>
        </w:tc>
        <w:tc>
          <w:tcPr>
            <w:tcW w:w="1407" w:type="dxa"/>
            <w:vAlign w:val="center"/>
          </w:tcPr>
          <w:p w:rsidR="00584600" w:rsidRDefault="007450A6">
            <w:pPr>
              <w:jc w:val="center"/>
            </w:pPr>
            <w:r>
              <w:rPr>
                <w:color w:val="000000"/>
                <w:sz w:val="24"/>
                <w:szCs w:val="24"/>
              </w:rPr>
              <w:t>15</w:t>
            </w:r>
            <w:r>
              <w:rPr>
                <w:color w:val="000000"/>
                <w:sz w:val="24"/>
                <w:szCs w:val="24"/>
              </w:rPr>
              <w:t>年</w:t>
            </w:r>
          </w:p>
        </w:tc>
        <w:tc>
          <w:tcPr>
            <w:tcW w:w="2673" w:type="dxa"/>
            <w:vAlign w:val="center"/>
          </w:tcPr>
          <w:p w:rsidR="00584600" w:rsidRDefault="007450A6">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r w:rsidR="00584600">
        <w:trPr>
          <w:jc w:val="center"/>
        </w:trPr>
        <w:tc>
          <w:tcPr>
            <w:tcW w:w="846" w:type="dxa"/>
            <w:vAlign w:val="center"/>
          </w:tcPr>
          <w:p w:rsidR="00584600" w:rsidRDefault="007450A6">
            <w:pPr>
              <w:jc w:val="center"/>
            </w:pPr>
            <w:r>
              <w:rPr>
                <w:color w:val="000000"/>
                <w:sz w:val="24"/>
                <w:szCs w:val="24"/>
              </w:rPr>
              <w:t>张迎军</w:t>
            </w:r>
          </w:p>
        </w:tc>
        <w:tc>
          <w:tcPr>
            <w:tcW w:w="845" w:type="dxa"/>
            <w:vAlign w:val="center"/>
          </w:tcPr>
          <w:p w:rsidR="00584600" w:rsidRDefault="007450A6">
            <w:pPr>
              <w:jc w:val="center"/>
            </w:pPr>
            <w:r>
              <w:rPr>
                <w:color w:val="000000"/>
                <w:sz w:val="24"/>
                <w:szCs w:val="24"/>
              </w:rPr>
              <w:t>本基金、交银蓝筹股票、交银优势行业混合的基金经理，公司权益部副总经理</w:t>
            </w:r>
          </w:p>
        </w:tc>
        <w:tc>
          <w:tcPr>
            <w:tcW w:w="1549" w:type="dxa"/>
            <w:vAlign w:val="center"/>
          </w:tcPr>
          <w:p w:rsidR="00584600" w:rsidRDefault="007450A6">
            <w:pPr>
              <w:jc w:val="center"/>
            </w:pPr>
            <w:r>
              <w:rPr>
                <w:color w:val="000000"/>
                <w:sz w:val="24"/>
                <w:szCs w:val="24"/>
              </w:rPr>
              <w:t>2013-09-04</w:t>
            </w:r>
          </w:p>
        </w:tc>
        <w:tc>
          <w:tcPr>
            <w:tcW w:w="1548" w:type="dxa"/>
            <w:vAlign w:val="center"/>
          </w:tcPr>
          <w:p w:rsidR="00584600" w:rsidRDefault="007450A6">
            <w:pPr>
              <w:jc w:val="center"/>
            </w:pPr>
            <w:r>
              <w:rPr>
                <w:color w:val="000000"/>
                <w:sz w:val="24"/>
                <w:szCs w:val="24"/>
              </w:rPr>
              <w:t>-</w:t>
            </w:r>
          </w:p>
        </w:tc>
        <w:tc>
          <w:tcPr>
            <w:tcW w:w="1407" w:type="dxa"/>
            <w:vAlign w:val="center"/>
          </w:tcPr>
          <w:p w:rsidR="00584600" w:rsidRDefault="007450A6">
            <w:pPr>
              <w:jc w:val="center"/>
            </w:pPr>
            <w:r>
              <w:rPr>
                <w:color w:val="000000"/>
                <w:sz w:val="24"/>
                <w:szCs w:val="24"/>
              </w:rPr>
              <w:t>14</w:t>
            </w:r>
            <w:r>
              <w:rPr>
                <w:color w:val="000000"/>
                <w:sz w:val="24"/>
                <w:szCs w:val="24"/>
              </w:rPr>
              <w:t>年</w:t>
            </w:r>
          </w:p>
        </w:tc>
        <w:tc>
          <w:tcPr>
            <w:tcW w:w="2673" w:type="dxa"/>
            <w:vAlign w:val="center"/>
          </w:tcPr>
          <w:p w:rsidR="00584600" w:rsidRDefault="007450A6">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584600">
        <w:trPr>
          <w:jc w:val="center"/>
        </w:trPr>
        <w:tc>
          <w:tcPr>
            <w:tcW w:w="846" w:type="dxa"/>
            <w:vAlign w:val="center"/>
          </w:tcPr>
          <w:p w:rsidR="00584600" w:rsidRDefault="007450A6">
            <w:pPr>
              <w:jc w:val="center"/>
            </w:pPr>
            <w:r>
              <w:rPr>
                <w:color w:val="000000"/>
                <w:sz w:val="24"/>
                <w:szCs w:val="24"/>
              </w:rPr>
              <w:t>李德亮</w:t>
            </w:r>
          </w:p>
        </w:tc>
        <w:tc>
          <w:tcPr>
            <w:tcW w:w="845" w:type="dxa"/>
            <w:vAlign w:val="center"/>
          </w:tcPr>
          <w:p w:rsidR="00584600" w:rsidRDefault="007450A6">
            <w:pPr>
              <w:jc w:val="center"/>
            </w:pPr>
            <w:r>
              <w:rPr>
                <w:color w:val="000000"/>
                <w:sz w:val="24"/>
                <w:szCs w:val="24"/>
              </w:rPr>
              <w:t>本基金、交银蓝筹股票、交银强化回报债券的基金经理</w:t>
            </w:r>
          </w:p>
        </w:tc>
        <w:tc>
          <w:tcPr>
            <w:tcW w:w="1549" w:type="dxa"/>
            <w:vAlign w:val="center"/>
          </w:tcPr>
          <w:p w:rsidR="00584600" w:rsidRDefault="007450A6">
            <w:pPr>
              <w:jc w:val="center"/>
            </w:pPr>
            <w:r>
              <w:rPr>
                <w:color w:val="000000"/>
                <w:sz w:val="24"/>
                <w:szCs w:val="24"/>
              </w:rPr>
              <w:t>2013-09-04</w:t>
            </w:r>
          </w:p>
        </w:tc>
        <w:tc>
          <w:tcPr>
            <w:tcW w:w="1548" w:type="dxa"/>
            <w:vAlign w:val="center"/>
          </w:tcPr>
          <w:p w:rsidR="00584600" w:rsidRDefault="007450A6">
            <w:pPr>
              <w:jc w:val="center"/>
            </w:pPr>
            <w:r>
              <w:rPr>
                <w:color w:val="000000"/>
                <w:sz w:val="24"/>
                <w:szCs w:val="24"/>
              </w:rPr>
              <w:t>-</w:t>
            </w:r>
          </w:p>
        </w:tc>
        <w:tc>
          <w:tcPr>
            <w:tcW w:w="1407" w:type="dxa"/>
            <w:vAlign w:val="center"/>
          </w:tcPr>
          <w:p w:rsidR="00584600" w:rsidRDefault="007450A6">
            <w:pPr>
              <w:jc w:val="center"/>
            </w:pPr>
            <w:r>
              <w:rPr>
                <w:color w:val="000000"/>
                <w:sz w:val="24"/>
                <w:szCs w:val="24"/>
              </w:rPr>
              <w:t>8</w:t>
            </w:r>
            <w:r>
              <w:rPr>
                <w:color w:val="000000"/>
                <w:sz w:val="24"/>
                <w:szCs w:val="24"/>
              </w:rPr>
              <w:t>年</w:t>
            </w:r>
          </w:p>
        </w:tc>
        <w:tc>
          <w:tcPr>
            <w:tcW w:w="2673" w:type="dxa"/>
            <w:vAlign w:val="center"/>
          </w:tcPr>
          <w:p w:rsidR="00584600" w:rsidRDefault="007450A6">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84600" w:rsidRDefault="007450A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84600" w:rsidRDefault="007450A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84600" w:rsidRDefault="007450A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84600" w:rsidRDefault="007450A6">
      <w:pPr>
        <w:spacing w:before="29" w:line="288" w:lineRule="auto"/>
        <w:ind w:firstLineChars="200" w:firstLine="480"/>
        <w:rPr>
          <w:color w:val="000000"/>
          <w:sz w:val="24"/>
          <w:szCs w:val="24"/>
        </w:rPr>
      </w:pPr>
      <w:r>
        <w:rPr>
          <w:color w:val="000000"/>
          <w:sz w:val="24"/>
          <w:szCs w:val="24"/>
        </w:rPr>
        <w:t>在股市盈利效应和居民大类资产重新配置的背景下，增量资金开始加速流入市场，尤其是央行的超预期降息更加点燃了市场的做多热情，以券商为龙头的低估值蓝筹股出现了一波快速的暴涨行情，而之前市场表现较好的中小盘股票则出现了大幅调整，市场呈现二八甚至一九的格局。本轮市场上涨是在宏观经济依旧低迷的背景下展开的，估值修复是主流，因此基本上以周期为主的低估值蓝筹股都出现了不同幅度的轮动式上涨。</w:t>
      </w:r>
    </w:p>
    <w:p w:rsidR="00584600" w:rsidRDefault="007450A6">
      <w:pPr>
        <w:spacing w:before="29" w:line="288" w:lineRule="auto"/>
        <w:ind w:firstLineChars="200" w:firstLine="480"/>
        <w:rPr>
          <w:color w:val="000000"/>
          <w:sz w:val="24"/>
          <w:szCs w:val="24"/>
        </w:rPr>
      </w:pPr>
      <w:r>
        <w:rPr>
          <w:color w:val="000000"/>
          <w:sz w:val="24"/>
          <w:szCs w:val="24"/>
        </w:rPr>
        <w:t>本基金在四季度初期预见到了市场的上行趋势，因此仓位一直维持在较高水平，但对于低估值蓝筹股的上涨幅度预计不足，虽然在行业配置上逐步优化，但调整的及时性仍待提高。</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从基本面角度来看，经济依旧低迷，盈利层面对市场的支持力度有限，无风险利率下行预期和居民大类资产配置仍然是主导市场运行的主逻辑，因此市场风格上将继续偏向低估值蓝筹标的。预计自</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月份开始市场对经济基本面的关注度会开始提升，同时低估值蓝筹和成长类中小盘估值差也在不断收敛，届时均衡配置可能将是比较现实的选择，同时要密切关注可能发生的风格切换。</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1.298</w:t>
      </w:r>
      <w:r w:rsidRPr="00414345">
        <w:rPr>
          <w:color w:val="000000"/>
          <w:sz w:val="24"/>
          <w:szCs w:val="24"/>
        </w:rPr>
        <w:t>元，本报告期份额净值增长率为</w:t>
      </w:r>
      <w:r w:rsidRPr="00414345">
        <w:rPr>
          <w:color w:val="000000"/>
          <w:sz w:val="24"/>
          <w:szCs w:val="24"/>
        </w:rPr>
        <w:t>12.97%</w:t>
      </w:r>
      <w:r w:rsidRPr="00414345">
        <w:rPr>
          <w:color w:val="000000"/>
          <w:sz w:val="24"/>
          <w:szCs w:val="24"/>
        </w:rPr>
        <w:t>，同期业绩比较基准增长率为</w:t>
      </w:r>
      <w:r w:rsidRPr="00414345">
        <w:rPr>
          <w:color w:val="000000"/>
          <w:sz w:val="24"/>
          <w:szCs w:val="24"/>
        </w:rPr>
        <w:t>15.68%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3E4CE8">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3E4CE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152,435,215.16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152,435,215.16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64,595,062.00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64,595,062.00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8,262,088.28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6,919,143.81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232,211,509.25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35,790,154.50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16,416,100.00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16,263,600.00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55,481,100.00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9,857,050.00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3,675,000.00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4,444,710.66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152,435,215.16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84600">
        <w:trPr>
          <w:jc w:val="center"/>
        </w:trPr>
        <w:tc>
          <w:tcPr>
            <w:tcW w:w="855" w:type="dxa"/>
            <w:vAlign w:val="center"/>
          </w:tcPr>
          <w:p w:rsidR="00584600" w:rsidRDefault="007450A6">
            <w:pPr>
              <w:jc w:val="center"/>
            </w:pPr>
            <w:r>
              <w:rPr>
                <w:color w:val="000000"/>
                <w:sz w:val="24"/>
                <w:szCs w:val="24"/>
              </w:rPr>
              <w:t>1</w:t>
            </w:r>
          </w:p>
        </w:tc>
        <w:tc>
          <w:tcPr>
            <w:tcW w:w="1334" w:type="dxa"/>
            <w:vAlign w:val="center"/>
          </w:tcPr>
          <w:p w:rsidR="00584600" w:rsidRDefault="007450A6">
            <w:pPr>
              <w:jc w:val="center"/>
            </w:pPr>
            <w:r>
              <w:rPr>
                <w:color w:val="000000"/>
                <w:sz w:val="24"/>
                <w:szCs w:val="24"/>
              </w:rPr>
              <w:t>601318</w:t>
            </w:r>
          </w:p>
        </w:tc>
        <w:tc>
          <w:tcPr>
            <w:tcW w:w="1777" w:type="dxa"/>
            <w:vAlign w:val="center"/>
          </w:tcPr>
          <w:p w:rsidR="00584600" w:rsidRDefault="007450A6">
            <w:pPr>
              <w:jc w:val="center"/>
            </w:pPr>
            <w:r>
              <w:rPr>
                <w:color w:val="000000"/>
                <w:sz w:val="24"/>
                <w:szCs w:val="24"/>
              </w:rPr>
              <w:t>中国平安</w:t>
            </w:r>
          </w:p>
        </w:tc>
        <w:tc>
          <w:tcPr>
            <w:tcW w:w="1334" w:type="dxa"/>
            <w:vAlign w:val="center"/>
          </w:tcPr>
          <w:p w:rsidR="00584600" w:rsidRDefault="007450A6">
            <w:pPr>
              <w:jc w:val="right"/>
            </w:pPr>
            <w:r>
              <w:rPr>
                <w:color w:val="000000"/>
                <w:sz w:val="24"/>
                <w:szCs w:val="24"/>
              </w:rPr>
              <w:t>260,000</w:t>
            </w:r>
          </w:p>
        </w:tc>
        <w:tc>
          <w:tcPr>
            <w:tcW w:w="1924" w:type="dxa"/>
            <w:vAlign w:val="center"/>
          </w:tcPr>
          <w:p w:rsidR="00584600" w:rsidRDefault="007450A6">
            <w:pPr>
              <w:jc w:val="right"/>
            </w:pPr>
            <w:r>
              <w:rPr>
                <w:color w:val="000000"/>
                <w:sz w:val="24"/>
                <w:szCs w:val="24"/>
              </w:rPr>
              <w:t>19,424,600.00</w:t>
            </w:r>
          </w:p>
        </w:tc>
        <w:tc>
          <w:tcPr>
            <w:tcW w:w="1644" w:type="dxa"/>
            <w:vAlign w:val="center"/>
          </w:tcPr>
          <w:p w:rsidR="00584600" w:rsidRDefault="007450A6">
            <w:pPr>
              <w:jc w:val="right"/>
            </w:pPr>
            <w:r>
              <w:rPr>
                <w:color w:val="000000"/>
                <w:sz w:val="24"/>
                <w:szCs w:val="24"/>
              </w:rPr>
              <w:t>8.64</w:t>
            </w:r>
          </w:p>
        </w:tc>
      </w:tr>
      <w:tr w:rsidR="00584600">
        <w:trPr>
          <w:jc w:val="center"/>
        </w:trPr>
        <w:tc>
          <w:tcPr>
            <w:tcW w:w="855" w:type="dxa"/>
            <w:vAlign w:val="center"/>
          </w:tcPr>
          <w:p w:rsidR="00584600" w:rsidRDefault="007450A6">
            <w:pPr>
              <w:jc w:val="center"/>
            </w:pPr>
            <w:r>
              <w:rPr>
                <w:color w:val="000000"/>
                <w:sz w:val="24"/>
                <w:szCs w:val="24"/>
              </w:rPr>
              <w:t>2</w:t>
            </w:r>
          </w:p>
        </w:tc>
        <w:tc>
          <w:tcPr>
            <w:tcW w:w="1334" w:type="dxa"/>
            <w:vAlign w:val="center"/>
          </w:tcPr>
          <w:p w:rsidR="00584600" w:rsidRDefault="007450A6">
            <w:pPr>
              <w:jc w:val="center"/>
            </w:pPr>
            <w:r>
              <w:rPr>
                <w:color w:val="000000"/>
                <w:sz w:val="24"/>
                <w:szCs w:val="24"/>
              </w:rPr>
              <w:t>601336</w:t>
            </w:r>
          </w:p>
        </w:tc>
        <w:tc>
          <w:tcPr>
            <w:tcW w:w="1777" w:type="dxa"/>
            <w:vAlign w:val="center"/>
          </w:tcPr>
          <w:p w:rsidR="00584600" w:rsidRDefault="007450A6">
            <w:pPr>
              <w:jc w:val="center"/>
            </w:pPr>
            <w:r>
              <w:rPr>
                <w:color w:val="000000"/>
                <w:sz w:val="24"/>
                <w:szCs w:val="24"/>
              </w:rPr>
              <w:t>新华保险</w:t>
            </w:r>
          </w:p>
        </w:tc>
        <w:tc>
          <w:tcPr>
            <w:tcW w:w="1334" w:type="dxa"/>
            <w:vAlign w:val="center"/>
          </w:tcPr>
          <w:p w:rsidR="00584600" w:rsidRDefault="007450A6">
            <w:pPr>
              <w:jc w:val="right"/>
            </w:pPr>
            <w:r>
              <w:rPr>
                <w:color w:val="000000"/>
                <w:sz w:val="24"/>
                <w:szCs w:val="24"/>
              </w:rPr>
              <w:t>250,000</w:t>
            </w:r>
          </w:p>
        </w:tc>
        <w:tc>
          <w:tcPr>
            <w:tcW w:w="1924" w:type="dxa"/>
            <w:vAlign w:val="center"/>
          </w:tcPr>
          <w:p w:rsidR="00584600" w:rsidRDefault="007450A6">
            <w:pPr>
              <w:jc w:val="right"/>
            </w:pPr>
            <w:r>
              <w:rPr>
                <w:color w:val="000000"/>
                <w:sz w:val="24"/>
                <w:szCs w:val="24"/>
              </w:rPr>
              <w:t>12,390,000.00</w:t>
            </w:r>
          </w:p>
        </w:tc>
        <w:tc>
          <w:tcPr>
            <w:tcW w:w="1644" w:type="dxa"/>
            <w:vAlign w:val="center"/>
          </w:tcPr>
          <w:p w:rsidR="00584600" w:rsidRDefault="007450A6">
            <w:pPr>
              <w:jc w:val="right"/>
            </w:pPr>
            <w:r>
              <w:rPr>
                <w:color w:val="000000"/>
                <w:sz w:val="24"/>
                <w:szCs w:val="24"/>
              </w:rPr>
              <w:t>5.51</w:t>
            </w:r>
          </w:p>
        </w:tc>
      </w:tr>
      <w:tr w:rsidR="00584600">
        <w:trPr>
          <w:jc w:val="center"/>
        </w:trPr>
        <w:tc>
          <w:tcPr>
            <w:tcW w:w="855" w:type="dxa"/>
            <w:vAlign w:val="center"/>
          </w:tcPr>
          <w:p w:rsidR="00584600" w:rsidRDefault="007450A6">
            <w:pPr>
              <w:jc w:val="center"/>
            </w:pPr>
            <w:r>
              <w:rPr>
                <w:color w:val="000000"/>
                <w:sz w:val="24"/>
                <w:szCs w:val="24"/>
              </w:rPr>
              <w:t>3</w:t>
            </w:r>
          </w:p>
        </w:tc>
        <w:tc>
          <w:tcPr>
            <w:tcW w:w="1334" w:type="dxa"/>
            <w:vAlign w:val="center"/>
          </w:tcPr>
          <w:p w:rsidR="00584600" w:rsidRDefault="007450A6">
            <w:pPr>
              <w:jc w:val="center"/>
            </w:pPr>
            <w:r>
              <w:rPr>
                <w:color w:val="000000"/>
                <w:sz w:val="24"/>
                <w:szCs w:val="24"/>
              </w:rPr>
              <w:t>600376</w:t>
            </w:r>
          </w:p>
        </w:tc>
        <w:tc>
          <w:tcPr>
            <w:tcW w:w="1777" w:type="dxa"/>
            <w:vAlign w:val="center"/>
          </w:tcPr>
          <w:p w:rsidR="00584600" w:rsidRDefault="007450A6">
            <w:pPr>
              <w:jc w:val="center"/>
            </w:pPr>
            <w:r>
              <w:rPr>
                <w:color w:val="000000"/>
                <w:sz w:val="24"/>
                <w:szCs w:val="24"/>
              </w:rPr>
              <w:t>首开股份</w:t>
            </w:r>
          </w:p>
        </w:tc>
        <w:tc>
          <w:tcPr>
            <w:tcW w:w="1334" w:type="dxa"/>
            <w:vAlign w:val="center"/>
          </w:tcPr>
          <w:p w:rsidR="00584600" w:rsidRDefault="007450A6">
            <w:pPr>
              <w:jc w:val="right"/>
            </w:pPr>
            <w:r>
              <w:rPr>
                <w:color w:val="000000"/>
                <w:sz w:val="24"/>
                <w:szCs w:val="24"/>
              </w:rPr>
              <w:t>800,000</w:t>
            </w:r>
          </w:p>
        </w:tc>
        <w:tc>
          <w:tcPr>
            <w:tcW w:w="1924" w:type="dxa"/>
            <w:vAlign w:val="center"/>
          </w:tcPr>
          <w:p w:rsidR="00584600" w:rsidRDefault="007450A6">
            <w:pPr>
              <w:jc w:val="right"/>
            </w:pPr>
            <w:r>
              <w:rPr>
                <w:color w:val="000000"/>
                <w:sz w:val="24"/>
                <w:szCs w:val="24"/>
              </w:rPr>
              <w:t>8,064,000.00</w:t>
            </w:r>
          </w:p>
        </w:tc>
        <w:tc>
          <w:tcPr>
            <w:tcW w:w="1644" w:type="dxa"/>
            <w:vAlign w:val="center"/>
          </w:tcPr>
          <w:p w:rsidR="00584600" w:rsidRDefault="007450A6">
            <w:pPr>
              <w:jc w:val="right"/>
            </w:pPr>
            <w:r>
              <w:rPr>
                <w:color w:val="000000"/>
                <w:sz w:val="24"/>
                <w:szCs w:val="24"/>
              </w:rPr>
              <w:t>3.59</w:t>
            </w:r>
          </w:p>
        </w:tc>
      </w:tr>
      <w:tr w:rsidR="00584600">
        <w:trPr>
          <w:jc w:val="center"/>
        </w:trPr>
        <w:tc>
          <w:tcPr>
            <w:tcW w:w="855" w:type="dxa"/>
            <w:vAlign w:val="center"/>
          </w:tcPr>
          <w:p w:rsidR="00584600" w:rsidRDefault="007450A6">
            <w:pPr>
              <w:jc w:val="center"/>
            </w:pPr>
            <w:r>
              <w:rPr>
                <w:color w:val="000000"/>
                <w:sz w:val="24"/>
                <w:szCs w:val="24"/>
              </w:rPr>
              <w:t>4</w:t>
            </w:r>
          </w:p>
        </w:tc>
        <w:tc>
          <w:tcPr>
            <w:tcW w:w="1334" w:type="dxa"/>
            <w:vAlign w:val="center"/>
          </w:tcPr>
          <w:p w:rsidR="00584600" w:rsidRDefault="007450A6">
            <w:pPr>
              <w:jc w:val="center"/>
            </w:pPr>
            <w:r>
              <w:rPr>
                <w:color w:val="000000"/>
                <w:sz w:val="24"/>
                <w:szCs w:val="24"/>
              </w:rPr>
              <w:t>601668</w:t>
            </w:r>
          </w:p>
        </w:tc>
        <w:tc>
          <w:tcPr>
            <w:tcW w:w="1777" w:type="dxa"/>
            <w:vAlign w:val="center"/>
          </w:tcPr>
          <w:p w:rsidR="00584600" w:rsidRDefault="007450A6">
            <w:pPr>
              <w:jc w:val="center"/>
            </w:pPr>
            <w:r>
              <w:rPr>
                <w:color w:val="000000"/>
                <w:sz w:val="24"/>
                <w:szCs w:val="24"/>
              </w:rPr>
              <w:t>中国建筑</w:t>
            </w:r>
          </w:p>
        </w:tc>
        <w:tc>
          <w:tcPr>
            <w:tcW w:w="1334" w:type="dxa"/>
            <w:vAlign w:val="center"/>
          </w:tcPr>
          <w:p w:rsidR="00584600" w:rsidRDefault="007450A6">
            <w:pPr>
              <w:jc w:val="right"/>
            </w:pPr>
            <w:r>
              <w:rPr>
                <w:color w:val="000000"/>
                <w:sz w:val="24"/>
                <w:szCs w:val="24"/>
              </w:rPr>
              <w:t>950,000</w:t>
            </w:r>
          </w:p>
        </w:tc>
        <w:tc>
          <w:tcPr>
            <w:tcW w:w="1924" w:type="dxa"/>
            <w:vAlign w:val="center"/>
          </w:tcPr>
          <w:p w:rsidR="00584600" w:rsidRDefault="007450A6">
            <w:pPr>
              <w:jc w:val="right"/>
            </w:pPr>
            <w:r>
              <w:rPr>
                <w:color w:val="000000"/>
                <w:sz w:val="24"/>
                <w:szCs w:val="24"/>
              </w:rPr>
              <w:t>6,916,000.00</w:t>
            </w:r>
          </w:p>
        </w:tc>
        <w:tc>
          <w:tcPr>
            <w:tcW w:w="1644" w:type="dxa"/>
            <w:vAlign w:val="center"/>
          </w:tcPr>
          <w:p w:rsidR="00584600" w:rsidRDefault="007450A6">
            <w:pPr>
              <w:jc w:val="right"/>
            </w:pPr>
            <w:r>
              <w:rPr>
                <w:color w:val="000000"/>
                <w:sz w:val="24"/>
                <w:szCs w:val="24"/>
              </w:rPr>
              <w:t>3.08</w:t>
            </w:r>
          </w:p>
        </w:tc>
      </w:tr>
      <w:tr w:rsidR="00584600">
        <w:trPr>
          <w:jc w:val="center"/>
        </w:trPr>
        <w:tc>
          <w:tcPr>
            <w:tcW w:w="855" w:type="dxa"/>
            <w:vAlign w:val="center"/>
          </w:tcPr>
          <w:p w:rsidR="00584600" w:rsidRDefault="007450A6">
            <w:pPr>
              <w:jc w:val="center"/>
            </w:pPr>
            <w:r>
              <w:rPr>
                <w:color w:val="000000"/>
                <w:sz w:val="24"/>
                <w:szCs w:val="24"/>
              </w:rPr>
              <w:t>5</w:t>
            </w:r>
          </w:p>
        </w:tc>
        <w:tc>
          <w:tcPr>
            <w:tcW w:w="1334" w:type="dxa"/>
            <w:vAlign w:val="center"/>
          </w:tcPr>
          <w:p w:rsidR="00584600" w:rsidRDefault="007450A6">
            <w:pPr>
              <w:jc w:val="center"/>
            </w:pPr>
            <w:r>
              <w:rPr>
                <w:color w:val="000000"/>
                <w:sz w:val="24"/>
                <w:szCs w:val="24"/>
              </w:rPr>
              <w:t>300166</w:t>
            </w:r>
          </w:p>
        </w:tc>
        <w:tc>
          <w:tcPr>
            <w:tcW w:w="1777" w:type="dxa"/>
            <w:vAlign w:val="center"/>
          </w:tcPr>
          <w:p w:rsidR="00584600" w:rsidRDefault="007450A6">
            <w:pPr>
              <w:jc w:val="center"/>
            </w:pPr>
            <w:r>
              <w:rPr>
                <w:color w:val="000000"/>
                <w:sz w:val="24"/>
                <w:szCs w:val="24"/>
              </w:rPr>
              <w:t>东方国信</w:t>
            </w:r>
          </w:p>
        </w:tc>
        <w:tc>
          <w:tcPr>
            <w:tcW w:w="1334" w:type="dxa"/>
            <w:vAlign w:val="center"/>
          </w:tcPr>
          <w:p w:rsidR="00584600" w:rsidRDefault="007450A6">
            <w:pPr>
              <w:jc w:val="right"/>
            </w:pPr>
            <w:r>
              <w:rPr>
                <w:color w:val="000000"/>
                <w:sz w:val="24"/>
                <w:szCs w:val="24"/>
              </w:rPr>
              <w:t>230,000</w:t>
            </w:r>
          </w:p>
        </w:tc>
        <w:tc>
          <w:tcPr>
            <w:tcW w:w="1924" w:type="dxa"/>
            <w:vAlign w:val="center"/>
          </w:tcPr>
          <w:p w:rsidR="00584600" w:rsidRDefault="007450A6">
            <w:pPr>
              <w:jc w:val="right"/>
            </w:pPr>
            <w:r>
              <w:rPr>
                <w:color w:val="000000"/>
                <w:sz w:val="24"/>
                <w:szCs w:val="24"/>
              </w:rPr>
              <w:t>6,453,800.00</w:t>
            </w:r>
          </w:p>
        </w:tc>
        <w:tc>
          <w:tcPr>
            <w:tcW w:w="1644" w:type="dxa"/>
            <w:vAlign w:val="center"/>
          </w:tcPr>
          <w:p w:rsidR="00584600" w:rsidRDefault="007450A6">
            <w:pPr>
              <w:jc w:val="right"/>
            </w:pPr>
            <w:r>
              <w:rPr>
                <w:color w:val="000000"/>
                <w:sz w:val="24"/>
                <w:szCs w:val="24"/>
              </w:rPr>
              <w:t>2.87</w:t>
            </w:r>
          </w:p>
        </w:tc>
      </w:tr>
      <w:tr w:rsidR="00584600">
        <w:trPr>
          <w:jc w:val="center"/>
        </w:trPr>
        <w:tc>
          <w:tcPr>
            <w:tcW w:w="855" w:type="dxa"/>
            <w:vAlign w:val="center"/>
          </w:tcPr>
          <w:p w:rsidR="00584600" w:rsidRDefault="007450A6">
            <w:pPr>
              <w:jc w:val="center"/>
            </w:pPr>
            <w:r>
              <w:rPr>
                <w:color w:val="000000"/>
                <w:sz w:val="24"/>
                <w:szCs w:val="24"/>
              </w:rPr>
              <w:t>6</w:t>
            </w:r>
          </w:p>
        </w:tc>
        <w:tc>
          <w:tcPr>
            <w:tcW w:w="1334" w:type="dxa"/>
            <w:vAlign w:val="center"/>
          </w:tcPr>
          <w:p w:rsidR="00584600" w:rsidRDefault="007450A6">
            <w:pPr>
              <w:jc w:val="center"/>
            </w:pPr>
            <w:r>
              <w:rPr>
                <w:color w:val="000000"/>
                <w:sz w:val="24"/>
                <w:szCs w:val="24"/>
              </w:rPr>
              <w:t>600000</w:t>
            </w:r>
          </w:p>
        </w:tc>
        <w:tc>
          <w:tcPr>
            <w:tcW w:w="1777" w:type="dxa"/>
            <w:vAlign w:val="center"/>
          </w:tcPr>
          <w:p w:rsidR="00584600" w:rsidRDefault="007450A6">
            <w:pPr>
              <w:jc w:val="center"/>
            </w:pPr>
            <w:r>
              <w:rPr>
                <w:color w:val="000000"/>
                <w:sz w:val="24"/>
                <w:szCs w:val="24"/>
              </w:rPr>
              <w:t>浦发银行</w:t>
            </w:r>
          </w:p>
        </w:tc>
        <w:tc>
          <w:tcPr>
            <w:tcW w:w="1334" w:type="dxa"/>
            <w:vAlign w:val="center"/>
          </w:tcPr>
          <w:p w:rsidR="00584600" w:rsidRDefault="007450A6">
            <w:pPr>
              <w:jc w:val="right"/>
            </w:pPr>
            <w:r>
              <w:rPr>
                <w:color w:val="000000"/>
                <w:sz w:val="24"/>
                <w:szCs w:val="24"/>
              </w:rPr>
              <w:t>400,000</w:t>
            </w:r>
          </w:p>
        </w:tc>
        <w:tc>
          <w:tcPr>
            <w:tcW w:w="1924" w:type="dxa"/>
            <w:vAlign w:val="center"/>
          </w:tcPr>
          <w:p w:rsidR="00584600" w:rsidRDefault="007450A6">
            <w:pPr>
              <w:jc w:val="right"/>
            </w:pPr>
            <w:r>
              <w:rPr>
                <w:color w:val="000000"/>
                <w:sz w:val="24"/>
                <w:szCs w:val="24"/>
              </w:rPr>
              <w:t>6,276,000.00</w:t>
            </w:r>
          </w:p>
        </w:tc>
        <w:tc>
          <w:tcPr>
            <w:tcW w:w="1644" w:type="dxa"/>
            <w:vAlign w:val="center"/>
          </w:tcPr>
          <w:p w:rsidR="00584600" w:rsidRDefault="007450A6">
            <w:pPr>
              <w:jc w:val="right"/>
            </w:pPr>
            <w:r>
              <w:rPr>
                <w:color w:val="000000"/>
                <w:sz w:val="24"/>
                <w:szCs w:val="24"/>
              </w:rPr>
              <w:t>2.79</w:t>
            </w:r>
          </w:p>
        </w:tc>
      </w:tr>
      <w:tr w:rsidR="00584600">
        <w:trPr>
          <w:jc w:val="center"/>
        </w:trPr>
        <w:tc>
          <w:tcPr>
            <w:tcW w:w="855" w:type="dxa"/>
            <w:vAlign w:val="center"/>
          </w:tcPr>
          <w:p w:rsidR="00584600" w:rsidRDefault="007450A6">
            <w:pPr>
              <w:jc w:val="center"/>
            </w:pPr>
            <w:r>
              <w:rPr>
                <w:color w:val="000000"/>
                <w:sz w:val="24"/>
                <w:szCs w:val="24"/>
              </w:rPr>
              <w:t>7</w:t>
            </w:r>
          </w:p>
        </w:tc>
        <w:tc>
          <w:tcPr>
            <w:tcW w:w="1334" w:type="dxa"/>
            <w:vAlign w:val="center"/>
          </w:tcPr>
          <w:p w:rsidR="00584600" w:rsidRDefault="007450A6">
            <w:pPr>
              <w:jc w:val="center"/>
            </w:pPr>
            <w:r>
              <w:rPr>
                <w:color w:val="000000"/>
                <w:sz w:val="24"/>
                <w:szCs w:val="24"/>
              </w:rPr>
              <w:t>601818</w:t>
            </w:r>
          </w:p>
        </w:tc>
        <w:tc>
          <w:tcPr>
            <w:tcW w:w="1777" w:type="dxa"/>
            <w:vAlign w:val="center"/>
          </w:tcPr>
          <w:p w:rsidR="00584600" w:rsidRDefault="007450A6">
            <w:pPr>
              <w:jc w:val="center"/>
            </w:pPr>
            <w:r>
              <w:rPr>
                <w:color w:val="000000"/>
                <w:sz w:val="24"/>
                <w:szCs w:val="24"/>
              </w:rPr>
              <w:t>光大银行</w:t>
            </w:r>
          </w:p>
        </w:tc>
        <w:tc>
          <w:tcPr>
            <w:tcW w:w="1334" w:type="dxa"/>
            <w:vAlign w:val="center"/>
          </w:tcPr>
          <w:p w:rsidR="00584600" w:rsidRDefault="007450A6">
            <w:pPr>
              <w:jc w:val="right"/>
            </w:pPr>
            <w:r>
              <w:rPr>
                <w:color w:val="000000"/>
                <w:sz w:val="24"/>
                <w:szCs w:val="24"/>
              </w:rPr>
              <w:t>1,200,000</w:t>
            </w:r>
          </w:p>
        </w:tc>
        <w:tc>
          <w:tcPr>
            <w:tcW w:w="1924" w:type="dxa"/>
            <w:vAlign w:val="center"/>
          </w:tcPr>
          <w:p w:rsidR="00584600" w:rsidRDefault="007450A6">
            <w:pPr>
              <w:jc w:val="right"/>
            </w:pPr>
            <w:r>
              <w:rPr>
                <w:color w:val="000000"/>
                <w:sz w:val="24"/>
                <w:szCs w:val="24"/>
              </w:rPr>
              <w:t>5,856,000.00</w:t>
            </w:r>
          </w:p>
        </w:tc>
        <w:tc>
          <w:tcPr>
            <w:tcW w:w="1644" w:type="dxa"/>
            <w:vAlign w:val="center"/>
          </w:tcPr>
          <w:p w:rsidR="00584600" w:rsidRDefault="007450A6">
            <w:pPr>
              <w:jc w:val="right"/>
            </w:pPr>
            <w:r>
              <w:rPr>
                <w:color w:val="000000"/>
                <w:sz w:val="24"/>
                <w:szCs w:val="24"/>
              </w:rPr>
              <w:t>2.61</w:t>
            </w:r>
          </w:p>
        </w:tc>
      </w:tr>
      <w:tr w:rsidR="00584600">
        <w:trPr>
          <w:jc w:val="center"/>
        </w:trPr>
        <w:tc>
          <w:tcPr>
            <w:tcW w:w="855" w:type="dxa"/>
            <w:vAlign w:val="center"/>
          </w:tcPr>
          <w:p w:rsidR="00584600" w:rsidRDefault="007450A6">
            <w:pPr>
              <w:jc w:val="center"/>
            </w:pPr>
            <w:r>
              <w:rPr>
                <w:color w:val="000000"/>
                <w:sz w:val="24"/>
                <w:szCs w:val="24"/>
              </w:rPr>
              <w:t>8</w:t>
            </w:r>
          </w:p>
        </w:tc>
        <w:tc>
          <w:tcPr>
            <w:tcW w:w="1334" w:type="dxa"/>
            <w:vAlign w:val="center"/>
          </w:tcPr>
          <w:p w:rsidR="00584600" w:rsidRDefault="007450A6">
            <w:pPr>
              <w:jc w:val="center"/>
            </w:pPr>
            <w:r>
              <w:rPr>
                <w:color w:val="000000"/>
                <w:sz w:val="24"/>
                <w:szCs w:val="24"/>
              </w:rPr>
              <w:t>000685</w:t>
            </w:r>
          </w:p>
        </w:tc>
        <w:tc>
          <w:tcPr>
            <w:tcW w:w="1777" w:type="dxa"/>
            <w:vAlign w:val="center"/>
          </w:tcPr>
          <w:p w:rsidR="00584600" w:rsidRDefault="007450A6">
            <w:pPr>
              <w:jc w:val="center"/>
            </w:pPr>
            <w:r>
              <w:rPr>
                <w:color w:val="000000"/>
                <w:sz w:val="24"/>
                <w:szCs w:val="24"/>
              </w:rPr>
              <w:t>中山公用</w:t>
            </w:r>
          </w:p>
        </w:tc>
        <w:tc>
          <w:tcPr>
            <w:tcW w:w="1334" w:type="dxa"/>
            <w:vAlign w:val="center"/>
          </w:tcPr>
          <w:p w:rsidR="00584600" w:rsidRDefault="007450A6">
            <w:pPr>
              <w:jc w:val="right"/>
            </w:pPr>
            <w:r>
              <w:rPr>
                <w:color w:val="000000"/>
                <w:sz w:val="24"/>
                <w:szCs w:val="24"/>
              </w:rPr>
              <w:t>250,000</w:t>
            </w:r>
          </w:p>
        </w:tc>
        <w:tc>
          <w:tcPr>
            <w:tcW w:w="1924" w:type="dxa"/>
            <w:vAlign w:val="center"/>
          </w:tcPr>
          <w:p w:rsidR="00584600" w:rsidRDefault="007450A6">
            <w:pPr>
              <w:jc w:val="right"/>
            </w:pPr>
            <w:r>
              <w:rPr>
                <w:color w:val="000000"/>
                <w:sz w:val="24"/>
                <w:szCs w:val="24"/>
              </w:rPr>
              <w:t>5,557,500.00</w:t>
            </w:r>
          </w:p>
        </w:tc>
        <w:tc>
          <w:tcPr>
            <w:tcW w:w="1644" w:type="dxa"/>
            <w:vAlign w:val="center"/>
          </w:tcPr>
          <w:p w:rsidR="00584600" w:rsidRDefault="007450A6">
            <w:pPr>
              <w:jc w:val="right"/>
            </w:pPr>
            <w:r>
              <w:rPr>
                <w:color w:val="000000"/>
                <w:sz w:val="24"/>
                <w:szCs w:val="24"/>
              </w:rPr>
              <w:t>2.47</w:t>
            </w:r>
          </w:p>
        </w:tc>
      </w:tr>
      <w:tr w:rsidR="00584600">
        <w:trPr>
          <w:jc w:val="center"/>
        </w:trPr>
        <w:tc>
          <w:tcPr>
            <w:tcW w:w="855" w:type="dxa"/>
            <w:vAlign w:val="center"/>
          </w:tcPr>
          <w:p w:rsidR="00584600" w:rsidRDefault="007450A6">
            <w:pPr>
              <w:jc w:val="center"/>
            </w:pPr>
            <w:r>
              <w:rPr>
                <w:color w:val="000000"/>
                <w:sz w:val="24"/>
                <w:szCs w:val="24"/>
              </w:rPr>
              <w:t>9</w:t>
            </w:r>
          </w:p>
        </w:tc>
        <w:tc>
          <w:tcPr>
            <w:tcW w:w="1334" w:type="dxa"/>
            <w:vAlign w:val="center"/>
          </w:tcPr>
          <w:p w:rsidR="00584600" w:rsidRDefault="007450A6">
            <w:pPr>
              <w:jc w:val="center"/>
            </w:pPr>
            <w:r>
              <w:rPr>
                <w:color w:val="000000"/>
                <w:sz w:val="24"/>
                <w:szCs w:val="24"/>
              </w:rPr>
              <w:t>600804</w:t>
            </w:r>
          </w:p>
        </w:tc>
        <w:tc>
          <w:tcPr>
            <w:tcW w:w="1777" w:type="dxa"/>
            <w:vAlign w:val="center"/>
          </w:tcPr>
          <w:p w:rsidR="00584600" w:rsidRDefault="007450A6">
            <w:pPr>
              <w:jc w:val="center"/>
            </w:pPr>
            <w:r>
              <w:rPr>
                <w:color w:val="000000"/>
                <w:sz w:val="24"/>
                <w:szCs w:val="24"/>
              </w:rPr>
              <w:t>鹏博士</w:t>
            </w:r>
          </w:p>
        </w:tc>
        <w:tc>
          <w:tcPr>
            <w:tcW w:w="1334" w:type="dxa"/>
            <w:vAlign w:val="center"/>
          </w:tcPr>
          <w:p w:rsidR="00584600" w:rsidRDefault="007450A6">
            <w:pPr>
              <w:jc w:val="right"/>
            </w:pPr>
            <w:r>
              <w:rPr>
                <w:color w:val="000000"/>
                <w:sz w:val="24"/>
                <w:szCs w:val="24"/>
              </w:rPr>
              <w:t>280,000</w:t>
            </w:r>
          </w:p>
        </w:tc>
        <w:tc>
          <w:tcPr>
            <w:tcW w:w="1924" w:type="dxa"/>
            <w:vAlign w:val="center"/>
          </w:tcPr>
          <w:p w:rsidR="00584600" w:rsidRDefault="007450A6">
            <w:pPr>
              <w:jc w:val="right"/>
            </w:pPr>
            <w:r>
              <w:rPr>
                <w:color w:val="000000"/>
                <w:sz w:val="24"/>
                <w:szCs w:val="24"/>
              </w:rPr>
              <w:t>5,034,400.00</w:t>
            </w:r>
          </w:p>
        </w:tc>
        <w:tc>
          <w:tcPr>
            <w:tcW w:w="1644" w:type="dxa"/>
            <w:vAlign w:val="center"/>
          </w:tcPr>
          <w:p w:rsidR="00584600" w:rsidRDefault="007450A6">
            <w:pPr>
              <w:jc w:val="right"/>
            </w:pPr>
            <w:r>
              <w:rPr>
                <w:color w:val="000000"/>
                <w:sz w:val="24"/>
                <w:szCs w:val="24"/>
              </w:rPr>
              <w:t>2.24</w:t>
            </w:r>
          </w:p>
        </w:tc>
      </w:tr>
      <w:tr w:rsidR="00584600">
        <w:trPr>
          <w:jc w:val="center"/>
        </w:trPr>
        <w:tc>
          <w:tcPr>
            <w:tcW w:w="855" w:type="dxa"/>
            <w:vAlign w:val="center"/>
          </w:tcPr>
          <w:p w:rsidR="00584600" w:rsidRDefault="007450A6">
            <w:pPr>
              <w:jc w:val="center"/>
            </w:pPr>
            <w:r>
              <w:rPr>
                <w:color w:val="000000"/>
                <w:sz w:val="24"/>
                <w:szCs w:val="24"/>
              </w:rPr>
              <w:t>10</w:t>
            </w:r>
          </w:p>
        </w:tc>
        <w:tc>
          <w:tcPr>
            <w:tcW w:w="1334" w:type="dxa"/>
            <w:vAlign w:val="center"/>
          </w:tcPr>
          <w:p w:rsidR="00584600" w:rsidRDefault="007450A6">
            <w:pPr>
              <w:jc w:val="center"/>
            </w:pPr>
            <w:r>
              <w:rPr>
                <w:color w:val="000000"/>
                <w:sz w:val="24"/>
                <w:szCs w:val="24"/>
              </w:rPr>
              <w:t>000069</w:t>
            </w:r>
          </w:p>
        </w:tc>
        <w:tc>
          <w:tcPr>
            <w:tcW w:w="1777" w:type="dxa"/>
            <w:vAlign w:val="center"/>
          </w:tcPr>
          <w:p w:rsidR="00584600" w:rsidRDefault="007450A6">
            <w:pPr>
              <w:jc w:val="center"/>
            </w:pPr>
            <w:r>
              <w:rPr>
                <w:color w:val="000000"/>
                <w:sz w:val="24"/>
                <w:szCs w:val="24"/>
              </w:rPr>
              <w:t>华侨城Ａ</w:t>
            </w:r>
          </w:p>
        </w:tc>
        <w:tc>
          <w:tcPr>
            <w:tcW w:w="1334" w:type="dxa"/>
            <w:vAlign w:val="center"/>
          </w:tcPr>
          <w:p w:rsidR="00584600" w:rsidRDefault="007450A6">
            <w:pPr>
              <w:jc w:val="right"/>
            </w:pPr>
            <w:r>
              <w:rPr>
                <w:color w:val="000000"/>
                <w:sz w:val="24"/>
                <w:szCs w:val="24"/>
              </w:rPr>
              <w:t>600,000</w:t>
            </w:r>
          </w:p>
        </w:tc>
        <w:tc>
          <w:tcPr>
            <w:tcW w:w="1924" w:type="dxa"/>
            <w:vAlign w:val="center"/>
          </w:tcPr>
          <w:p w:rsidR="00584600" w:rsidRDefault="007450A6">
            <w:pPr>
              <w:jc w:val="right"/>
            </w:pPr>
            <w:r>
              <w:rPr>
                <w:color w:val="000000"/>
                <w:sz w:val="24"/>
                <w:szCs w:val="24"/>
              </w:rPr>
              <w:t>4,950,000.00</w:t>
            </w:r>
          </w:p>
        </w:tc>
        <w:tc>
          <w:tcPr>
            <w:tcW w:w="1644" w:type="dxa"/>
            <w:vAlign w:val="center"/>
          </w:tcPr>
          <w:p w:rsidR="00584600" w:rsidRDefault="007450A6">
            <w:pPr>
              <w:jc w:val="right"/>
            </w:pPr>
            <w:r>
              <w:rPr>
                <w:color w:val="000000"/>
                <w:sz w:val="24"/>
                <w:szCs w:val="24"/>
              </w:rPr>
              <w:t>2.20</w:t>
            </w:r>
          </w:p>
        </w:tc>
      </w:tr>
      <w:tr w:rsidR="00584600">
        <w:trPr>
          <w:jc w:val="center"/>
        </w:trPr>
        <w:tc>
          <w:tcPr>
            <w:tcW w:w="855" w:type="dxa"/>
            <w:vAlign w:val="center"/>
          </w:tcPr>
          <w:p w:rsidR="00584600" w:rsidRDefault="007450A6">
            <w:pPr>
              <w:jc w:val="center"/>
            </w:pPr>
            <w:r>
              <w:rPr>
                <w:color w:val="000000"/>
                <w:sz w:val="24"/>
                <w:szCs w:val="24"/>
              </w:rPr>
              <w:t>10</w:t>
            </w:r>
          </w:p>
        </w:tc>
        <w:tc>
          <w:tcPr>
            <w:tcW w:w="1334" w:type="dxa"/>
            <w:vAlign w:val="center"/>
          </w:tcPr>
          <w:p w:rsidR="00584600" w:rsidRDefault="007450A6">
            <w:pPr>
              <w:jc w:val="center"/>
            </w:pPr>
            <w:r>
              <w:rPr>
                <w:color w:val="000000"/>
                <w:sz w:val="24"/>
                <w:szCs w:val="24"/>
              </w:rPr>
              <w:t>601166</w:t>
            </w:r>
          </w:p>
        </w:tc>
        <w:tc>
          <w:tcPr>
            <w:tcW w:w="1777" w:type="dxa"/>
            <w:vAlign w:val="center"/>
          </w:tcPr>
          <w:p w:rsidR="00584600" w:rsidRDefault="007450A6">
            <w:pPr>
              <w:jc w:val="center"/>
            </w:pPr>
            <w:r>
              <w:rPr>
                <w:color w:val="000000"/>
                <w:sz w:val="24"/>
                <w:szCs w:val="24"/>
              </w:rPr>
              <w:t>兴业银行</w:t>
            </w:r>
          </w:p>
        </w:tc>
        <w:tc>
          <w:tcPr>
            <w:tcW w:w="1334" w:type="dxa"/>
            <w:vAlign w:val="center"/>
          </w:tcPr>
          <w:p w:rsidR="00584600" w:rsidRDefault="007450A6">
            <w:pPr>
              <w:jc w:val="right"/>
            </w:pPr>
            <w:r>
              <w:rPr>
                <w:color w:val="000000"/>
                <w:sz w:val="24"/>
                <w:szCs w:val="24"/>
              </w:rPr>
              <w:t>300,000</w:t>
            </w:r>
          </w:p>
        </w:tc>
        <w:tc>
          <w:tcPr>
            <w:tcW w:w="1924" w:type="dxa"/>
            <w:vAlign w:val="center"/>
          </w:tcPr>
          <w:p w:rsidR="00584600" w:rsidRDefault="007450A6">
            <w:pPr>
              <w:jc w:val="right"/>
            </w:pPr>
            <w:r>
              <w:rPr>
                <w:color w:val="000000"/>
                <w:sz w:val="24"/>
                <w:szCs w:val="24"/>
              </w:rPr>
              <w:t>4,950,000.00</w:t>
            </w:r>
          </w:p>
        </w:tc>
        <w:tc>
          <w:tcPr>
            <w:tcW w:w="1644" w:type="dxa"/>
            <w:vAlign w:val="center"/>
          </w:tcPr>
          <w:p w:rsidR="00584600" w:rsidRDefault="007450A6">
            <w:pPr>
              <w:jc w:val="right"/>
            </w:pPr>
            <w:r>
              <w:rPr>
                <w:color w:val="000000"/>
                <w:sz w:val="24"/>
                <w:szCs w:val="24"/>
              </w:rPr>
              <w:t>2.20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54,595,062.00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24.30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64,595,062.00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28.75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84600">
        <w:trPr>
          <w:jc w:val="center"/>
        </w:trPr>
        <w:tc>
          <w:tcPr>
            <w:tcW w:w="850" w:type="dxa"/>
            <w:vAlign w:val="center"/>
          </w:tcPr>
          <w:p w:rsidR="00584600" w:rsidRDefault="007450A6">
            <w:pPr>
              <w:jc w:val="center"/>
            </w:pPr>
            <w:r>
              <w:rPr>
                <w:color w:val="000000"/>
                <w:sz w:val="24"/>
                <w:szCs w:val="24"/>
              </w:rPr>
              <w:t>1</w:t>
            </w:r>
          </w:p>
        </w:tc>
        <w:tc>
          <w:tcPr>
            <w:tcW w:w="1475" w:type="dxa"/>
            <w:vAlign w:val="center"/>
          </w:tcPr>
          <w:p w:rsidR="00584600" w:rsidRDefault="007450A6">
            <w:pPr>
              <w:jc w:val="center"/>
            </w:pPr>
            <w:r>
              <w:rPr>
                <w:color w:val="000000"/>
                <w:sz w:val="24"/>
                <w:szCs w:val="24"/>
              </w:rPr>
              <w:t>110020</w:t>
            </w:r>
          </w:p>
        </w:tc>
        <w:tc>
          <w:tcPr>
            <w:tcW w:w="1769" w:type="dxa"/>
            <w:vAlign w:val="center"/>
          </w:tcPr>
          <w:p w:rsidR="00584600" w:rsidRDefault="007450A6">
            <w:pPr>
              <w:jc w:val="center"/>
            </w:pPr>
            <w:r>
              <w:rPr>
                <w:color w:val="000000"/>
                <w:sz w:val="24"/>
                <w:szCs w:val="24"/>
              </w:rPr>
              <w:t>南山转债</w:t>
            </w:r>
          </w:p>
        </w:tc>
        <w:tc>
          <w:tcPr>
            <w:tcW w:w="1387" w:type="dxa"/>
            <w:vAlign w:val="center"/>
          </w:tcPr>
          <w:p w:rsidR="00584600" w:rsidRDefault="007450A6">
            <w:pPr>
              <w:jc w:val="right"/>
            </w:pPr>
            <w:r>
              <w:rPr>
                <w:color w:val="000000"/>
                <w:sz w:val="24"/>
                <w:szCs w:val="24"/>
              </w:rPr>
              <w:t>115,000</w:t>
            </w:r>
          </w:p>
        </w:tc>
        <w:tc>
          <w:tcPr>
            <w:tcW w:w="2150" w:type="dxa"/>
            <w:vAlign w:val="center"/>
          </w:tcPr>
          <w:p w:rsidR="00584600" w:rsidRDefault="007450A6">
            <w:pPr>
              <w:jc w:val="right"/>
            </w:pPr>
            <w:r>
              <w:rPr>
                <w:color w:val="000000"/>
                <w:sz w:val="24"/>
                <w:szCs w:val="24"/>
              </w:rPr>
              <w:t>16,055,150.00</w:t>
            </w:r>
          </w:p>
        </w:tc>
        <w:tc>
          <w:tcPr>
            <w:tcW w:w="1237" w:type="dxa"/>
            <w:vAlign w:val="center"/>
          </w:tcPr>
          <w:p w:rsidR="00584600" w:rsidRDefault="007450A6">
            <w:pPr>
              <w:jc w:val="right"/>
            </w:pPr>
            <w:r>
              <w:rPr>
                <w:color w:val="000000"/>
                <w:sz w:val="24"/>
                <w:szCs w:val="24"/>
              </w:rPr>
              <w:t>7.15</w:t>
            </w:r>
          </w:p>
        </w:tc>
      </w:tr>
      <w:tr w:rsidR="00584600">
        <w:trPr>
          <w:jc w:val="center"/>
        </w:trPr>
        <w:tc>
          <w:tcPr>
            <w:tcW w:w="850" w:type="dxa"/>
            <w:vAlign w:val="center"/>
          </w:tcPr>
          <w:p w:rsidR="00584600" w:rsidRDefault="007450A6">
            <w:pPr>
              <w:jc w:val="center"/>
            </w:pPr>
            <w:r>
              <w:rPr>
                <w:color w:val="000000"/>
                <w:sz w:val="24"/>
                <w:szCs w:val="24"/>
              </w:rPr>
              <w:t>2</w:t>
            </w:r>
          </w:p>
        </w:tc>
        <w:tc>
          <w:tcPr>
            <w:tcW w:w="1475" w:type="dxa"/>
            <w:vAlign w:val="center"/>
          </w:tcPr>
          <w:p w:rsidR="00584600" w:rsidRDefault="007450A6">
            <w:pPr>
              <w:jc w:val="center"/>
            </w:pPr>
            <w:r>
              <w:rPr>
                <w:color w:val="000000"/>
                <w:sz w:val="24"/>
                <w:szCs w:val="24"/>
              </w:rPr>
              <w:t>113007</w:t>
            </w:r>
          </w:p>
        </w:tc>
        <w:tc>
          <w:tcPr>
            <w:tcW w:w="1769" w:type="dxa"/>
            <w:vAlign w:val="center"/>
          </w:tcPr>
          <w:p w:rsidR="00584600" w:rsidRDefault="007450A6">
            <w:pPr>
              <w:jc w:val="center"/>
            </w:pPr>
            <w:r>
              <w:rPr>
                <w:color w:val="000000"/>
                <w:sz w:val="24"/>
                <w:szCs w:val="24"/>
              </w:rPr>
              <w:t>吉视转债</w:t>
            </w:r>
          </w:p>
        </w:tc>
        <w:tc>
          <w:tcPr>
            <w:tcW w:w="1387" w:type="dxa"/>
            <w:vAlign w:val="center"/>
          </w:tcPr>
          <w:p w:rsidR="00584600" w:rsidRDefault="007450A6">
            <w:pPr>
              <w:jc w:val="right"/>
            </w:pPr>
            <w:r>
              <w:rPr>
                <w:color w:val="000000"/>
                <w:sz w:val="24"/>
                <w:szCs w:val="24"/>
              </w:rPr>
              <w:t>91,900</w:t>
            </w:r>
          </w:p>
        </w:tc>
        <w:tc>
          <w:tcPr>
            <w:tcW w:w="2150" w:type="dxa"/>
            <w:vAlign w:val="center"/>
          </w:tcPr>
          <w:p w:rsidR="00584600" w:rsidRDefault="007450A6">
            <w:pPr>
              <w:jc w:val="right"/>
            </w:pPr>
            <w:r>
              <w:rPr>
                <w:color w:val="000000"/>
                <w:sz w:val="24"/>
                <w:szCs w:val="24"/>
              </w:rPr>
              <w:t>11,466,363.00</w:t>
            </w:r>
          </w:p>
        </w:tc>
        <w:tc>
          <w:tcPr>
            <w:tcW w:w="1237" w:type="dxa"/>
            <w:vAlign w:val="center"/>
          </w:tcPr>
          <w:p w:rsidR="00584600" w:rsidRDefault="007450A6">
            <w:pPr>
              <w:jc w:val="right"/>
            </w:pPr>
            <w:r>
              <w:rPr>
                <w:color w:val="000000"/>
                <w:sz w:val="24"/>
                <w:szCs w:val="24"/>
              </w:rPr>
              <w:t>5.10</w:t>
            </w:r>
          </w:p>
        </w:tc>
      </w:tr>
      <w:tr w:rsidR="00584600">
        <w:trPr>
          <w:jc w:val="center"/>
        </w:trPr>
        <w:tc>
          <w:tcPr>
            <w:tcW w:w="850" w:type="dxa"/>
            <w:vAlign w:val="center"/>
          </w:tcPr>
          <w:p w:rsidR="00584600" w:rsidRDefault="007450A6">
            <w:pPr>
              <w:jc w:val="center"/>
            </w:pPr>
            <w:r>
              <w:rPr>
                <w:color w:val="000000"/>
                <w:sz w:val="24"/>
                <w:szCs w:val="24"/>
              </w:rPr>
              <w:t>3</w:t>
            </w:r>
          </w:p>
        </w:tc>
        <w:tc>
          <w:tcPr>
            <w:tcW w:w="1475" w:type="dxa"/>
            <w:vAlign w:val="center"/>
          </w:tcPr>
          <w:p w:rsidR="00584600" w:rsidRDefault="007450A6">
            <w:pPr>
              <w:jc w:val="center"/>
            </w:pPr>
            <w:r>
              <w:rPr>
                <w:color w:val="000000"/>
                <w:sz w:val="24"/>
                <w:szCs w:val="24"/>
              </w:rPr>
              <w:t>113001</w:t>
            </w:r>
          </w:p>
        </w:tc>
        <w:tc>
          <w:tcPr>
            <w:tcW w:w="1769" w:type="dxa"/>
            <w:vAlign w:val="center"/>
          </w:tcPr>
          <w:p w:rsidR="00584600" w:rsidRDefault="007450A6">
            <w:pPr>
              <w:jc w:val="center"/>
            </w:pPr>
            <w:r>
              <w:rPr>
                <w:color w:val="000000"/>
                <w:sz w:val="24"/>
                <w:szCs w:val="24"/>
              </w:rPr>
              <w:t>中行转债</w:t>
            </w:r>
          </w:p>
        </w:tc>
        <w:tc>
          <w:tcPr>
            <w:tcW w:w="1387" w:type="dxa"/>
            <w:vAlign w:val="center"/>
          </w:tcPr>
          <w:p w:rsidR="00584600" w:rsidRDefault="007450A6">
            <w:pPr>
              <w:jc w:val="right"/>
            </w:pPr>
            <w:r>
              <w:rPr>
                <w:color w:val="000000"/>
                <w:sz w:val="24"/>
                <w:szCs w:val="24"/>
              </w:rPr>
              <w:t>71,930</w:t>
            </w:r>
          </w:p>
        </w:tc>
        <w:tc>
          <w:tcPr>
            <w:tcW w:w="2150" w:type="dxa"/>
            <w:vAlign w:val="center"/>
          </w:tcPr>
          <w:p w:rsidR="00584600" w:rsidRDefault="007450A6">
            <w:pPr>
              <w:jc w:val="right"/>
            </w:pPr>
            <w:r>
              <w:rPr>
                <w:color w:val="000000"/>
                <w:sz w:val="24"/>
                <w:szCs w:val="24"/>
              </w:rPr>
              <w:t>11,263,518.70</w:t>
            </w:r>
          </w:p>
        </w:tc>
        <w:tc>
          <w:tcPr>
            <w:tcW w:w="1237" w:type="dxa"/>
            <w:vAlign w:val="center"/>
          </w:tcPr>
          <w:p w:rsidR="00584600" w:rsidRDefault="007450A6">
            <w:pPr>
              <w:jc w:val="right"/>
            </w:pPr>
            <w:r>
              <w:rPr>
                <w:color w:val="000000"/>
                <w:sz w:val="24"/>
                <w:szCs w:val="24"/>
              </w:rPr>
              <w:t>5.01</w:t>
            </w:r>
          </w:p>
        </w:tc>
      </w:tr>
      <w:tr w:rsidR="00584600">
        <w:trPr>
          <w:jc w:val="center"/>
        </w:trPr>
        <w:tc>
          <w:tcPr>
            <w:tcW w:w="850" w:type="dxa"/>
            <w:vAlign w:val="center"/>
          </w:tcPr>
          <w:p w:rsidR="00584600" w:rsidRDefault="007450A6">
            <w:pPr>
              <w:jc w:val="center"/>
            </w:pPr>
            <w:r>
              <w:rPr>
                <w:color w:val="000000"/>
                <w:sz w:val="24"/>
                <w:szCs w:val="24"/>
              </w:rPr>
              <w:t>4</w:t>
            </w:r>
          </w:p>
        </w:tc>
        <w:tc>
          <w:tcPr>
            <w:tcW w:w="1475" w:type="dxa"/>
            <w:vAlign w:val="center"/>
          </w:tcPr>
          <w:p w:rsidR="00584600" w:rsidRDefault="007450A6">
            <w:pPr>
              <w:jc w:val="center"/>
            </w:pPr>
            <w:r>
              <w:rPr>
                <w:color w:val="000000"/>
                <w:sz w:val="24"/>
                <w:szCs w:val="24"/>
              </w:rPr>
              <w:t>140213</w:t>
            </w:r>
          </w:p>
        </w:tc>
        <w:tc>
          <w:tcPr>
            <w:tcW w:w="1769" w:type="dxa"/>
            <w:vAlign w:val="center"/>
          </w:tcPr>
          <w:p w:rsidR="00584600" w:rsidRDefault="007450A6">
            <w:pPr>
              <w:jc w:val="center"/>
            </w:pPr>
            <w:r>
              <w:rPr>
                <w:color w:val="000000"/>
                <w:sz w:val="24"/>
                <w:szCs w:val="24"/>
              </w:rPr>
              <w:t>14</w:t>
            </w:r>
            <w:r>
              <w:rPr>
                <w:color w:val="000000"/>
                <w:sz w:val="24"/>
                <w:szCs w:val="24"/>
              </w:rPr>
              <w:t>国开</w:t>
            </w:r>
            <w:r>
              <w:rPr>
                <w:color w:val="000000"/>
                <w:sz w:val="24"/>
                <w:szCs w:val="24"/>
              </w:rPr>
              <w:t>13</w:t>
            </w:r>
          </w:p>
        </w:tc>
        <w:tc>
          <w:tcPr>
            <w:tcW w:w="1387" w:type="dxa"/>
            <w:vAlign w:val="center"/>
          </w:tcPr>
          <w:p w:rsidR="00584600" w:rsidRDefault="007450A6">
            <w:pPr>
              <w:jc w:val="right"/>
            </w:pPr>
            <w:r>
              <w:rPr>
                <w:color w:val="000000"/>
                <w:sz w:val="24"/>
                <w:szCs w:val="24"/>
              </w:rPr>
              <w:t>100,000</w:t>
            </w:r>
          </w:p>
        </w:tc>
        <w:tc>
          <w:tcPr>
            <w:tcW w:w="2150" w:type="dxa"/>
            <w:vAlign w:val="center"/>
          </w:tcPr>
          <w:p w:rsidR="00584600" w:rsidRDefault="007450A6">
            <w:pPr>
              <w:jc w:val="right"/>
            </w:pPr>
            <w:r>
              <w:rPr>
                <w:color w:val="000000"/>
                <w:sz w:val="24"/>
                <w:szCs w:val="24"/>
              </w:rPr>
              <w:t>10,000,000.00</w:t>
            </w:r>
          </w:p>
        </w:tc>
        <w:tc>
          <w:tcPr>
            <w:tcW w:w="1237" w:type="dxa"/>
            <w:vAlign w:val="center"/>
          </w:tcPr>
          <w:p w:rsidR="00584600" w:rsidRDefault="007450A6">
            <w:pPr>
              <w:jc w:val="right"/>
            </w:pPr>
            <w:r>
              <w:rPr>
                <w:color w:val="000000"/>
                <w:sz w:val="24"/>
                <w:szCs w:val="24"/>
              </w:rPr>
              <w:t>4.45</w:t>
            </w:r>
          </w:p>
        </w:tc>
      </w:tr>
      <w:tr w:rsidR="00584600">
        <w:trPr>
          <w:jc w:val="center"/>
        </w:trPr>
        <w:tc>
          <w:tcPr>
            <w:tcW w:w="850" w:type="dxa"/>
            <w:vAlign w:val="center"/>
          </w:tcPr>
          <w:p w:rsidR="00584600" w:rsidRDefault="007450A6">
            <w:pPr>
              <w:jc w:val="center"/>
            </w:pPr>
            <w:r>
              <w:rPr>
                <w:color w:val="000000"/>
                <w:sz w:val="24"/>
                <w:szCs w:val="24"/>
              </w:rPr>
              <w:t>5</w:t>
            </w:r>
          </w:p>
        </w:tc>
        <w:tc>
          <w:tcPr>
            <w:tcW w:w="1475" w:type="dxa"/>
            <w:vAlign w:val="center"/>
          </w:tcPr>
          <w:p w:rsidR="00584600" w:rsidRDefault="007450A6">
            <w:pPr>
              <w:jc w:val="center"/>
            </w:pPr>
            <w:r>
              <w:rPr>
                <w:color w:val="000000"/>
                <w:sz w:val="24"/>
                <w:szCs w:val="24"/>
              </w:rPr>
              <w:t>110023</w:t>
            </w:r>
          </w:p>
        </w:tc>
        <w:tc>
          <w:tcPr>
            <w:tcW w:w="1769" w:type="dxa"/>
            <w:vAlign w:val="center"/>
          </w:tcPr>
          <w:p w:rsidR="00584600" w:rsidRDefault="007450A6">
            <w:pPr>
              <w:jc w:val="center"/>
            </w:pPr>
            <w:r>
              <w:rPr>
                <w:color w:val="000000"/>
                <w:sz w:val="24"/>
                <w:szCs w:val="24"/>
              </w:rPr>
              <w:t>民生转债</w:t>
            </w:r>
          </w:p>
        </w:tc>
        <w:tc>
          <w:tcPr>
            <w:tcW w:w="1387" w:type="dxa"/>
            <w:vAlign w:val="center"/>
          </w:tcPr>
          <w:p w:rsidR="00584600" w:rsidRDefault="007450A6">
            <w:pPr>
              <w:jc w:val="right"/>
            </w:pPr>
            <w:r>
              <w:rPr>
                <w:color w:val="000000"/>
                <w:sz w:val="24"/>
                <w:szCs w:val="24"/>
              </w:rPr>
              <w:t>38,890</w:t>
            </w:r>
          </w:p>
        </w:tc>
        <w:tc>
          <w:tcPr>
            <w:tcW w:w="2150" w:type="dxa"/>
            <w:vAlign w:val="center"/>
          </w:tcPr>
          <w:p w:rsidR="00584600" w:rsidRDefault="007450A6">
            <w:pPr>
              <w:jc w:val="right"/>
            </w:pPr>
            <w:r>
              <w:rPr>
                <w:color w:val="000000"/>
                <w:sz w:val="24"/>
                <w:szCs w:val="24"/>
              </w:rPr>
              <w:t>5,377,320.30</w:t>
            </w:r>
          </w:p>
        </w:tc>
        <w:tc>
          <w:tcPr>
            <w:tcW w:w="1237" w:type="dxa"/>
            <w:vAlign w:val="center"/>
          </w:tcPr>
          <w:p w:rsidR="00584600" w:rsidRDefault="007450A6">
            <w:pPr>
              <w:jc w:val="right"/>
            </w:pPr>
            <w:r>
              <w:rPr>
                <w:color w:val="000000"/>
                <w:sz w:val="24"/>
                <w:szCs w:val="24"/>
              </w:rPr>
              <w:t>2.39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133,411.94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5,402,982.30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411,603.04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971,146.53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6,919,143.81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84600">
        <w:trPr>
          <w:jc w:val="center"/>
        </w:trPr>
        <w:tc>
          <w:tcPr>
            <w:tcW w:w="1883" w:type="dxa"/>
            <w:vAlign w:val="center"/>
          </w:tcPr>
          <w:p w:rsidR="00584600" w:rsidRDefault="007450A6">
            <w:pPr>
              <w:jc w:val="center"/>
            </w:pPr>
            <w:r>
              <w:rPr>
                <w:color w:val="000000"/>
                <w:sz w:val="24"/>
                <w:szCs w:val="24"/>
              </w:rPr>
              <w:t>1</w:t>
            </w:r>
          </w:p>
        </w:tc>
        <w:tc>
          <w:tcPr>
            <w:tcW w:w="1801" w:type="dxa"/>
            <w:vAlign w:val="center"/>
          </w:tcPr>
          <w:p w:rsidR="00584600" w:rsidRDefault="007450A6">
            <w:pPr>
              <w:jc w:val="center"/>
            </w:pPr>
            <w:r>
              <w:rPr>
                <w:color w:val="000000"/>
                <w:sz w:val="24"/>
                <w:szCs w:val="24"/>
              </w:rPr>
              <w:t>110020</w:t>
            </w:r>
          </w:p>
        </w:tc>
        <w:tc>
          <w:tcPr>
            <w:tcW w:w="1727" w:type="dxa"/>
            <w:vAlign w:val="center"/>
          </w:tcPr>
          <w:p w:rsidR="00584600" w:rsidRDefault="007450A6">
            <w:pPr>
              <w:jc w:val="center"/>
            </w:pPr>
            <w:r>
              <w:rPr>
                <w:color w:val="000000"/>
                <w:sz w:val="24"/>
                <w:szCs w:val="24"/>
              </w:rPr>
              <w:t>南山转债</w:t>
            </w:r>
          </w:p>
        </w:tc>
        <w:tc>
          <w:tcPr>
            <w:tcW w:w="1768" w:type="dxa"/>
            <w:vAlign w:val="center"/>
          </w:tcPr>
          <w:p w:rsidR="00584600" w:rsidRDefault="007450A6">
            <w:pPr>
              <w:jc w:val="right"/>
            </w:pPr>
            <w:r>
              <w:rPr>
                <w:color w:val="000000"/>
                <w:sz w:val="24"/>
                <w:szCs w:val="24"/>
              </w:rPr>
              <w:t>16,055,150.00</w:t>
            </w:r>
          </w:p>
        </w:tc>
        <w:tc>
          <w:tcPr>
            <w:tcW w:w="1689" w:type="dxa"/>
            <w:vAlign w:val="center"/>
          </w:tcPr>
          <w:p w:rsidR="00584600" w:rsidRDefault="007450A6">
            <w:pPr>
              <w:jc w:val="right"/>
            </w:pPr>
            <w:r>
              <w:rPr>
                <w:color w:val="000000"/>
                <w:sz w:val="24"/>
                <w:szCs w:val="24"/>
              </w:rPr>
              <w:t>7.15</w:t>
            </w:r>
          </w:p>
        </w:tc>
      </w:tr>
      <w:tr w:rsidR="00584600">
        <w:trPr>
          <w:jc w:val="center"/>
        </w:trPr>
        <w:tc>
          <w:tcPr>
            <w:tcW w:w="1883" w:type="dxa"/>
            <w:vAlign w:val="center"/>
          </w:tcPr>
          <w:p w:rsidR="00584600" w:rsidRDefault="007450A6">
            <w:pPr>
              <w:jc w:val="center"/>
            </w:pPr>
            <w:r>
              <w:rPr>
                <w:color w:val="000000"/>
                <w:sz w:val="24"/>
                <w:szCs w:val="24"/>
              </w:rPr>
              <w:t>2</w:t>
            </w:r>
          </w:p>
        </w:tc>
        <w:tc>
          <w:tcPr>
            <w:tcW w:w="1801" w:type="dxa"/>
            <w:vAlign w:val="center"/>
          </w:tcPr>
          <w:p w:rsidR="00584600" w:rsidRDefault="007450A6">
            <w:pPr>
              <w:jc w:val="center"/>
            </w:pPr>
            <w:r>
              <w:rPr>
                <w:color w:val="000000"/>
                <w:sz w:val="24"/>
                <w:szCs w:val="24"/>
              </w:rPr>
              <w:t>113001</w:t>
            </w:r>
          </w:p>
        </w:tc>
        <w:tc>
          <w:tcPr>
            <w:tcW w:w="1727" w:type="dxa"/>
            <w:vAlign w:val="center"/>
          </w:tcPr>
          <w:p w:rsidR="00584600" w:rsidRDefault="007450A6">
            <w:pPr>
              <w:jc w:val="center"/>
            </w:pPr>
            <w:r>
              <w:rPr>
                <w:color w:val="000000"/>
                <w:sz w:val="24"/>
                <w:szCs w:val="24"/>
              </w:rPr>
              <w:t>中行转债</w:t>
            </w:r>
          </w:p>
        </w:tc>
        <w:tc>
          <w:tcPr>
            <w:tcW w:w="1768" w:type="dxa"/>
            <w:vAlign w:val="center"/>
          </w:tcPr>
          <w:p w:rsidR="00584600" w:rsidRDefault="007450A6">
            <w:pPr>
              <w:jc w:val="right"/>
            </w:pPr>
            <w:r>
              <w:rPr>
                <w:color w:val="000000"/>
                <w:sz w:val="24"/>
                <w:szCs w:val="24"/>
              </w:rPr>
              <w:t>11,263,518.70</w:t>
            </w:r>
          </w:p>
        </w:tc>
        <w:tc>
          <w:tcPr>
            <w:tcW w:w="1689" w:type="dxa"/>
            <w:vAlign w:val="center"/>
          </w:tcPr>
          <w:p w:rsidR="00584600" w:rsidRDefault="007450A6">
            <w:pPr>
              <w:jc w:val="right"/>
            </w:pPr>
            <w:r>
              <w:rPr>
                <w:color w:val="000000"/>
                <w:sz w:val="24"/>
                <w:szCs w:val="24"/>
              </w:rPr>
              <w:t>5.01</w:t>
            </w:r>
          </w:p>
        </w:tc>
      </w:tr>
      <w:tr w:rsidR="00584600">
        <w:trPr>
          <w:jc w:val="center"/>
        </w:trPr>
        <w:tc>
          <w:tcPr>
            <w:tcW w:w="1883" w:type="dxa"/>
            <w:vAlign w:val="center"/>
          </w:tcPr>
          <w:p w:rsidR="00584600" w:rsidRDefault="007450A6">
            <w:pPr>
              <w:jc w:val="center"/>
            </w:pPr>
            <w:r>
              <w:rPr>
                <w:color w:val="000000"/>
                <w:sz w:val="24"/>
                <w:szCs w:val="24"/>
              </w:rPr>
              <w:t>3</w:t>
            </w:r>
          </w:p>
        </w:tc>
        <w:tc>
          <w:tcPr>
            <w:tcW w:w="1801" w:type="dxa"/>
            <w:vAlign w:val="center"/>
          </w:tcPr>
          <w:p w:rsidR="00584600" w:rsidRDefault="007450A6">
            <w:pPr>
              <w:jc w:val="center"/>
            </w:pPr>
            <w:r>
              <w:rPr>
                <w:color w:val="000000"/>
                <w:sz w:val="24"/>
                <w:szCs w:val="24"/>
              </w:rPr>
              <w:t>110023</w:t>
            </w:r>
          </w:p>
        </w:tc>
        <w:tc>
          <w:tcPr>
            <w:tcW w:w="1727" w:type="dxa"/>
            <w:vAlign w:val="center"/>
          </w:tcPr>
          <w:p w:rsidR="00584600" w:rsidRDefault="007450A6">
            <w:pPr>
              <w:jc w:val="center"/>
            </w:pPr>
            <w:r>
              <w:rPr>
                <w:color w:val="000000"/>
                <w:sz w:val="24"/>
                <w:szCs w:val="24"/>
              </w:rPr>
              <w:t>民生转债</w:t>
            </w:r>
          </w:p>
        </w:tc>
        <w:tc>
          <w:tcPr>
            <w:tcW w:w="1768" w:type="dxa"/>
            <w:vAlign w:val="center"/>
          </w:tcPr>
          <w:p w:rsidR="00584600" w:rsidRDefault="007450A6">
            <w:pPr>
              <w:jc w:val="right"/>
            </w:pPr>
            <w:r>
              <w:rPr>
                <w:color w:val="000000"/>
                <w:sz w:val="24"/>
                <w:szCs w:val="24"/>
              </w:rPr>
              <w:t>5,377,320.30</w:t>
            </w:r>
          </w:p>
        </w:tc>
        <w:tc>
          <w:tcPr>
            <w:tcW w:w="1689" w:type="dxa"/>
            <w:vAlign w:val="center"/>
          </w:tcPr>
          <w:p w:rsidR="00584600" w:rsidRDefault="007450A6">
            <w:pPr>
              <w:jc w:val="right"/>
            </w:pPr>
            <w:r>
              <w:rPr>
                <w:color w:val="000000"/>
                <w:sz w:val="24"/>
                <w:szCs w:val="24"/>
              </w:rPr>
              <w:t>2.39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186,545,621.65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64,320,274.35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77,783,801.03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173,082,094.97</w:t>
            </w:r>
          </w:p>
        </w:tc>
      </w:tr>
    </w:tbl>
    <w:p w:rsidR="00584600" w:rsidRDefault="007450A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E4CE8">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3E4CE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）基金行业股票估值指数的通知》的指导意见，经与基金托管人协商一致，本基金对其所持有的中航飞机（证券代码：</w:t>
      </w:r>
      <w:r w:rsidRPr="00414345">
        <w:rPr>
          <w:color w:val="000000"/>
          <w:sz w:val="24"/>
          <w:szCs w:val="24"/>
        </w:rPr>
        <w:t>000768</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17</w:t>
      </w:r>
      <w:r w:rsidRPr="00414345">
        <w:rPr>
          <w:color w:val="000000"/>
          <w:sz w:val="24"/>
          <w:szCs w:val="24"/>
        </w:rPr>
        <w:t>日起恢复按市场价格进行估值；本基金对其所持有的泰格医药（证券代码：</w:t>
      </w:r>
      <w:r w:rsidRPr="00414345">
        <w:rPr>
          <w:color w:val="000000"/>
          <w:sz w:val="24"/>
          <w:szCs w:val="24"/>
        </w:rPr>
        <w:t>300347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3E4CE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84600" w:rsidRDefault="007450A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84600" w:rsidRDefault="007450A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84600" w:rsidRDefault="007450A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03" w:rsidRDefault="004B2303" w:rsidP="00876D65">
      <w:r>
        <w:separator/>
      </w:r>
    </w:p>
  </w:endnote>
  <w:endnote w:type="continuationSeparator" w:id="0">
    <w:p w:rsidR="004B2303" w:rsidRDefault="004B230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584600">
      <w:rPr>
        <w:kern w:val="0"/>
        <w:szCs w:val="21"/>
      </w:rPr>
      <w:fldChar w:fldCharType="begin"/>
    </w:r>
    <w:r>
      <w:rPr>
        <w:kern w:val="0"/>
        <w:szCs w:val="21"/>
      </w:rPr>
      <w:instrText xml:space="preserve"> PAGE </w:instrText>
    </w:r>
    <w:r w:rsidR="00584600">
      <w:rPr>
        <w:kern w:val="0"/>
        <w:szCs w:val="21"/>
      </w:rPr>
      <w:fldChar w:fldCharType="separate"/>
    </w:r>
    <w:r w:rsidR="00D379AF">
      <w:rPr>
        <w:noProof/>
        <w:kern w:val="0"/>
        <w:szCs w:val="21"/>
      </w:rPr>
      <w:t>1</w:t>
    </w:r>
    <w:r w:rsidR="00584600">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584600">
      <w:rPr>
        <w:kern w:val="0"/>
        <w:szCs w:val="21"/>
      </w:rPr>
      <w:fldChar w:fldCharType="begin"/>
    </w:r>
    <w:r>
      <w:rPr>
        <w:kern w:val="0"/>
        <w:szCs w:val="21"/>
      </w:rPr>
      <w:instrText xml:space="preserve"> NUMPAGES </w:instrText>
    </w:r>
    <w:r w:rsidR="00584600">
      <w:rPr>
        <w:kern w:val="0"/>
        <w:szCs w:val="21"/>
      </w:rPr>
      <w:fldChar w:fldCharType="separate"/>
    </w:r>
    <w:r w:rsidR="00D379AF">
      <w:rPr>
        <w:noProof/>
        <w:kern w:val="0"/>
        <w:szCs w:val="21"/>
      </w:rPr>
      <w:t>13</w:t>
    </w:r>
    <w:r w:rsidR="00584600">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03" w:rsidRDefault="004B2303" w:rsidP="00876D65">
      <w:r>
        <w:separator/>
      </w:r>
    </w:p>
  </w:footnote>
  <w:footnote w:type="continuationSeparator" w:id="0">
    <w:p w:rsidR="004B2303" w:rsidRDefault="004B230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4CE8"/>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B2303"/>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4600"/>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450A6"/>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5AC7"/>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379AF"/>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F1DB01-78B4-4E20-BADA-E25B06B7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379A-B504-4E36-B351-8DEB07FD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13</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560</cp:revision>
  <dcterms:created xsi:type="dcterms:W3CDTF">2012-10-16T06:07:00Z</dcterms:created>
  <dcterms:modified xsi:type="dcterms:W3CDTF">2015-01-20T03:46:00Z</dcterms:modified>
</cp:coreProperties>
</file>