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二〇一五年一月二十二日</w:t>
      </w:r>
    </w:p>
    <w:p w:rsidR="009238DB" w:rsidRPr="007F52FA" w:rsidRDefault="009238DB" w:rsidP="007D47A5">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D47A5">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83,607,156.64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AA27A1">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42,538,714.51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41,068,442.13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D47A5">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2,667,640.80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1,123,696.31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3,286,873.65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607,054.69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0.0857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0.0348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50,507,200.01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48,440,011.72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1.179</w:t>
            </w:r>
          </w:p>
        </w:tc>
      </w:tr>
    </w:tbl>
    <w:p w:rsidR="00711ADD" w:rsidRDefault="00C443F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11ADD">
        <w:trPr>
          <w:jc w:val="center"/>
        </w:trPr>
        <w:tc>
          <w:tcPr>
            <w:tcW w:w="1266" w:type="dxa"/>
            <w:vAlign w:val="center"/>
          </w:tcPr>
          <w:p w:rsidR="00711ADD" w:rsidRDefault="00C443F7">
            <w:pPr>
              <w:jc w:val="left"/>
            </w:pPr>
            <w:r>
              <w:rPr>
                <w:color w:val="000000"/>
                <w:sz w:val="24"/>
              </w:rPr>
              <w:t>过去三个月</w:t>
            </w:r>
          </w:p>
        </w:tc>
        <w:tc>
          <w:tcPr>
            <w:tcW w:w="1267" w:type="dxa"/>
            <w:vAlign w:val="center"/>
          </w:tcPr>
          <w:p w:rsidR="00711ADD" w:rsidRDefault="00C443F7">
            <w:pPr>
              <w:jc w:val="center"/>
            </w:pPr>
            <w:r>
              <w:rPr>
                <w:color w:val="000000"/>
                <w:sz w:val="24"/>
              </w:rPr>
              <w:t>7.81%</w:t>
            </w:r>
          </w:p>
        </w:tc>
        <w:tc>
          <w:tcPr>
            <w:tcW w:w="1267" w:type="dxa"/>
            <w:vAlign w:val="center"/>
          </w:tcPr>
          <w:p w:rsidR="00711ADD" w:rsidRDefault="00C443F7">
            <w:pPr>
              <w:jc w:val="center"/>
            </w:pPr>
            <w:r>
              <w:rPr>
                <w:color w:val="000000"/>
                <w:sz w:val="24"/>
              </w:rPr>
              <w:t>0.58%</w:t>
            </w:r>
          </w:p>
        </w:tc>
        <w:tc>
          <w:tcPr>
            <w:tcW w:w="1267" w:type="dxa"/>
            <w:vAlign w:val="center"/>
          </w:tcPr>
          <w:p w:rsidR="00711ADD" w:rsidRDefault="00C443F7">
            <w:pPr>
              <w:jc w:val="center"/>
            </w:pPr>
            <w:r>
              <w:rPr>
                <w:color w:val="000000"/>
                <w:sz w:val="24"/>
              </w:rPr>
              <w:t>5.37%</w:t>
            </w:r>
          </w:p>
        </w:tc>
        <w:tc>
          <w:tcPr>
            <w:tcW w:w="1267" w:type="dxa"/>
            <w:vAlign w:val="center"/>
          </w:tcPr>
          <w:p w:rsidR="00711ADD" w:rsidRDefault="00C443F7">
            <w:pPr>
              <w:jc w:val="center"/>
            </w:pPr>
            <w:r>
              <w:rPr>
                <w:color w:val="000000"/>
                <w:sz w:val="24"/>
              </w:rPr>
              <w:t>0.23%</w:t>
            </w:r>
          </w:p>
        </w:tc>
        <w:tc>
          <w:tcPr>
            <w:tcW w:w="1267" w:type="dxa"/>
            <w:vAlign w:val="center"/>
          </w:tcPr>
          <w:p w:rsidR="00711ADD" w:rsidRDefault="00C443F7">
            <w:pPr>
              <w:jc w:val="center"/>
            </w:pPr>
            <w:r>
              <w:rPr>
                <w:color w:val="000000"/>
                <w:sz w:val="24"/>
              </w:rPr>
              <w:t>2.44%</w:t>
            </w:r>
          </w:p>
        </w:tc>
        <w:tc>
          <w:tcPr>
            <w:tcW w:w="1267" w:type="dxa"/>
            <w:vAlign w:val="center"/>
          </w:tcPr>
          <w:p w:rsidR="00711ADD" w:rsidRDefault="00C443F7">
            <w:pPr>
              <w:jc w:val="center"/>
            </w:pPr>
            <w:r>
              <w:rPr>
                <w:color w:val="000000"/>
                <w:sz w:val="24"/>
              </w:rPr>
              <w:t>0.35%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11ADD">
        <w:trPr>
          <w:jc w:val="center"/>
        </w:trPr>
        <w:tc>
          <w:tcPr>
            <w:tcW w:w="1266" w:type="dxa"/>
            <w:vAlign w:val="center"/>
          </w:tcPr>
          <w:p w:rsidR="00711ADD" w:rsidRDefault="00C443F7">
            <w:pPr>
              <w:jc w:val="left"/>
            </w:pPr>
            <w:r>
              <w:rPr>
                <w:color w:val="000000"/>
                <w:sz w:val="24"/>
              </w:rPr>
              <w:t>过去三个月</w:t>
            </w:r>
          </w:p>
        </w:tc>
        <w:tc>
          <w:tcPr>
            <w:tcW w:w="1267" w:type="dxa"/>
            <w:vAlign w:val="center"/>
          </w:tcPr>
          <w:p w:rsidR="00711ADD" w:rsidRDefault="00C443F7">
            <w:pPr>
              <w:jc w:val="center"/>
            </w:pPr>
            <w:r>
              <w:rPr>
                <w:color w:val="000000"/>
                <w:sz w:val="24"/>
              </w:rPr>
              <w:t>7.67%</w:t>
            </w:r>
          </w:p>
        </w:tc>
        <w:tc>
          <w:tcPr>
            <w:tcW w:w="1267" w:type="dxa"/>
            <w:vAlign w:val="center"/>
          </w:tcPr>
          <w:p w:rsidR="00711ADD" w:rsidRDefault="00C443F7">
            <w:pPr>
              <w:jc w:val="center"/>
            </w:pPr>
            <w:r>
              <w:rPr>
                <w:color w:val="000000"/>
                <w:sz w:val="24"/>
              </w:rPr>
              <w:t>0.58%</w:t>
            </w:r>
          </w:p>
        </w:tc>
        <w:tc>
          <w:tcPr>
            <w:tcW w:w="1267" w:type="dxa"/>
            <w:vAlign w:val="center"/>
          </w:tcPr>
          <w:p w:rsidR="00711ADD" w:rsidRDefault="00C443F7">
            <w:pPr>
              <w:jc w:val="center"/>
            </w:pPr>
            <w:r>
              <w:rPr>
                <w:color w:val="000000"/>
                <w:sz w:val="24"/>
              </w:rPr>
              <w:t>5.37%</w:t>
            </w:r>
          </w:p>
        </w:tc>
        <w:tc>
          <w:tcPr>
            <w:tcW w:w="1267" w:type="dxa"/>
            <w:vAlign w:val="center"/>
          </w:tcPr>
          <w:p w:rsidR="00711ADD" w:rsidRDefault="00C443F7">
            <w:pPr>
              <w:jc w:val="center"/>
            </w:pPr>
            <w:r>
              <w:rPr>
                <w:color w:val="000000"/>
                <w:sz w:val="24"/>
              </w:rPr>
              <w:t>0.23%</w:t>
            </w:r>
          </w:p>
        </w:tc>
        <w:tc>
          <w:tcPr>
            <w:tcW w:w="1267" w:type="dxa"/>
            <w:vAlign w:val="center"/>
          </w:tcPr>
          <w:p w:rsidR="00711ADD" w:rsidRDefault="00C443F7">
            <w:pPr>
              <w:jc w:val="center"/>
            </w:pPr>
            <w:r>
              <w:rPr>
                <w:color w:val="000000"/>
                <w:sz w:val="24"/>
              </w:rPr>
              <w:t>2.30%</w:t>
            </w:r>
          </w:p>
        </w:tc>
        <w:tc>
          <w:tcPr>
            <w:tcW w:w="1267" w:type="dxa"/>
            <w:vAlign w:val="center"/>
          </w:tcPr>
          <w:p w:rsidR="00711ADD" w:rsidRDefault="00C443F7">
            <w:pPr>
              <w:jc w:val="center"/>
            </w:pPr>
            <w:r>
              <w:rPr>
                <w:color w:val="000000"/>
                <w:sz w:val="24"/>
              </w:rPr>
              <w:t>0.35%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0834F5" w:rsidRDefault="000834F5" w:rsidP="007C14DF">
      <w:pPr>
        <w:pStyle w:val="20"/>
        <w:spacing w:before="29" w:line="288" w:lineRule="auto"/>
        <w:ind w:firstLineChars="0" w:firstLine="0"/>
        <w:rPr>
          <w:rFonts w:ascii="Times New Roman" w:hAnsi="Times New Roman"/>
          <w:color w:val="000000"/>
        </w:rPr>
      </w:pPr>
      <w:r>
        <w:rPr>
          <w:rFonts w:ascii="Times New Roman" w:hAnsi="Times New Roman" w:hint="eastAsia"/>
          <w:color w:val="000000"/>
        </w:rPr>
        <w:t>注</w:t>
      </w:r>
      <w:r>
        <w:rPr>
          <w:rFonts w:ascii="Times New Roman" w:hAnsi="Times New Roman"/>
          <w:color w:val="000000"/>
        </w:rPr>
        <w:t>：</w:t>
      </w:r>
      <w:r w:rsidRPr="000834F5">
        <w:rPr>
          <w:rFonts w:ascii="Times New Roman" w:hAnsi="Times New Roman" w:hint="eastAsia"/>
          <w:color w:val="000000"/>
        </w:rPr>
        <w:t>本基金基金合同生效日为</w:t>
      </w:r>
      <w:r w:rsidRPr="000834F5">
        <w:rPr>
          <w:rFonts w:ascii="Times New Roman" w:hAnsi="Times New Roman" w:hint="eastAsia"/>
          <w:color w:val="000000"/>
        </w:rPr>
        <w:t>2013</w:t>
      </w:r>
      <w:r w:rsidRPr="000834F5">
        <w:rPr>
          <w:rFonts w:ascii="Times New Roman" w:hAnsi="Times New Roman" w:hint="eastAsia"/>
          <w:color w:val="000000"/>
        </w:rPr>
        <w:t>年</w:t>
      </w:r>
      <w:r w:rsidRPr="000834F5">
        <w:rPr>
          <w:rFonts w:ascii="Times New Roman" w:hAnsi="Times New Roman" w:hint="eastAsia"/>
          <w:color w:val="000000"/>
        </w:rPr>
        <w:t>8</w:t>
      </w:r>
      <w:r w:rsidRPr="000834F5">
        <w:rPr>
          <w:rFonts w:ascii="Times New Roman" w:hAnsi="Times New Roman" w:hint="eastAsia"/>
          <w:color w:val="000000"/>
        </w:rPr>
        <w:t>月</w:t>
      </w:r>
      <w:r w:rsidRPr="000834F5">
        <w:rPr>
          <w:rFonts w:ascii="Times New Roman" w:hAnsi="Times New Roman" w:hint="eastAsia"/>
          <w:color w:val="000000"/>
        </w:rPr>
        <w:t>13</w:t>
      </w:r>
      <w:r w:rsidRPr="000834F5">
        <w:rPr>
          <w:rFonts w:ascii="Times New Roman" w:hAnsi="Times New Roman" w:hint="eastAsia"/>
          <w:color w:val="000000"/>
        </w:rPr>
        <w:t>日，截至报告期期末，本基金已完成建仓但报告期期末距建仓结束未满一年。本基金建仓期为自基金合同生效日起的</w:t>
      </w:r>
      <w:r w:rsidRPr="000834F5">
        <w:rPr>
          <w:rFonts w:ascii="Times New Roman" w:hAnsi="Times New Roman" w:hint="eastAsia"/>
          <w:color w:val="000000"/>
        </w:rPr>
        <w:t>6</w:t>
      </w:r>
      <w:r w:rsidRPr="000834F5">
        <w:rPr>
          <w:rFonts w:ascii="Times New Roman" w:hAnsi="Times New Roman" w:hint="eastAsia"/>
          <w:color w:val="000000"/>
        </w:rPr>
        <w:t>个月。截至建仓期结束，本基金各项资产配置比例符合基金合同及招募说明书有关投资比例的约定。</w:t>
      </w:r>
    </w:p>
    <w:p w:rsidR="0042785F" w:rsidRPr="000834F5"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0834F5" w:rsidRDefault="000834F5" w:rsidP="000834F5">
      <w:pPr>
        <w:pStyle w:val="20"/>
        <w:spacing w:before="29" w:line="288" w:lineRule="auto"/>
        <w:ind w:firstLineChars="0" w:firstLine="0"/>
        <w:rPr>
          <w:rFonts w:ascii="Times New Roman" w:hAnsi="Times New Roman"/>
          <w:color w:val="000000"/>
        </w:rPr>
      </w:pPr>
      <w:r>
        <w:rPr>
          <w:rFonts w:ascii="Times New Roman" w:hAnsi="Times New Roman" w:hint="eastAsia"/>
          <w:color w:val="000000"/>
        </w:rPr>
        <w:t>注</w:t>
      </w:r>
      <w:r>
        <w:rPr>
          <w:rFonts w:ascii="Times New Roman" w:hAnsi="Times New Roman"/>
          <w:color w:val="000000"/>
        </w:rPr>
        <w:t>：</w:t>
      </w:r>
      <w:r w:rsidRPr="000834F5">
        <w:rPr>
          <w:rFonts w:ascii="Times New Roman" w:hAnsi="Times New Roman" w:hint="eastAsia"/>
          <w:color w:val="000000"/>
        </w:rPr>
        <w:t>本基金基金合同生效日为</w:t>
      </w:r>
      <w:r w:rsidRPr="000834F5">
        <w:rPr>
          <w:rFonts w:ascii="Times New Roman" w:hAnsi="Times New Roman" w:hint="eastAsia"/>
          <w:color w:val="000000"/>
        </w:rPr>
        <w:t>2013</w:t>
      </w:r>
      <w:r w:rsidRPr="000834F5">
        <w:rPr>
          <w:rFonts w:ascii="Times New Roman" w:hAnsi="Times New Roman" w:hint="eastAsia"/>
          <w:color w:val="000000"/>
        </w:rPr>
        <w:t>年</w:t>
      </w:r>
      <w:r w:rsidRPr="000834F5">
        <w:rPr>
          <w:rFonts w:ascii="Times New Roman" w:hAnsi="Times New Roman" w:hint="eastAsia"/>
          <w:color w:val="000000"/>
        </w:rPr>
        <w:t>8</w:t>
      </w:r>
      <w:r w:rsidRPr="000834F5">
        <w:rPr>
          <w:rFonts w:ascii="Times New Roman" w:hAnsi="Times New Roman" w:hint="eastAsia"/>
          <w:color w:val="000000"/>
        </w:rPr>
        <w:t>月</w:t>
      </w:r>
      <w:r w:rsidRPr="000834F5">
        <w:rPr>
          <w:rFonts w:ascii="Times New Roman" w:hAnsi="Times New Roman" w:hint="eastAsia"/>
          <w:color w:val="000000"/>
        </w:rPr>
        <w:t>13</w:t>
      </w:r>
      <w:r w:rsidRPr="000834F5">
        <w:rPr>
          <w:rFonts w:ascii="Times New Roman" w:hAnsi="Times New Roman" w:hint="eastAsia"/>
          <w:color w:val="000000"/>
        </w:rPr>
        <w:t>日，截至报告期期末，本基金已完成建仓但报告期期末距建仓结束未满一年。本基金建仓期为自基金合同生效日起的</w:t>
      </w:r>
      <w:r w:rsidRPr="000834F5">
        <w:rPr>
          <w:rFonts w:ascii="Times New Roman" w:hAnsi="Times New Roman" w:hint="eastAsia"/>
          <w:color w:val="000000"/>
        </w:rPr>
        <w:t>6</w:t>
      </w:r>
      <w:r w:rsidRPr="000834F5">
        <w:rPr>
          <w:rFonts w:ascii="Times New Roman" w:hAnsi="Times New Roman" w:hint="eastAsia"/>
          <w:color w:val="000000"/>
        </w:rPr>
        <w:t>个月。截至建仓期结束，本基金各项资产配置比例符合基金合同及招募说明书有关投资比例的约定。</w:t>
      </w:r>
    </w:p>
    <w:p w:rsidR="00757FD7" w:rsidRPr="007F52FA" w:rsidRDefault="00757FD7" w:rsidP="00AF6884">
      <w:pPr>
        <w:spacing w:before="29" w:line="288" w:lineRule="auto"/>
        <w:rPr>
          <w:color w:val="000000"/>
          <w:sz w:val="24"/>
        </w:rPr>
      </w:pPr>
    </w:p>
    <w:p w:rsidR="009238DB" w:rsidRPr="007F52FA" w:rsidRDefault="009238DB" w:rsidP="007D47A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11ADD">
        <w:trPr>
          <w:jc w:val="center"/>
        </w:trPr>
        <w:tc>
          <w:tcPr>
            <w:tcW w:w="946" w:type="dxa"/>
            <w:vAlign w:val="center"/>
          </w:tcPr>
          <w:p w:rsidR="00711ADD" w:rsidRDefault="00C443F7">
            <w:pPr>
              <w:jc w:val="center"/>
            </w:pPr>
            <w:r>
              <w:rPr>
                <w:color w:val="000000"/>
                <w:sz w:val="24"/>
              </w:rPr>
              <w:t>赵凌琦</w:t>
            </w:r>
          </w:p>
        </w:tc>
        <w:tc>
          <w:tcPr>
            <w:tcW w:w="924" w:type="dxa"/>
            <w:vAlign w:val="center"/>
          </w:tcPr>
          <w:p w:rsidR="00711ADD" w:rsidRDefault="00C443F7">
            <w:pPr>
              <w:jc w:val="center"/>
            </w:pPr>
            <w:r>
              <w:rPr>
                <w:color w:val="000000"/>
                <w:sz w:val="24"/>
              </w:rPr>
              <w:t>本基金、交银理财</w:t>
            </w:r>
            <w:r>
              <w:rPr>
                <w:color w:val="000000"/>
                <w:sz w:val="24"/>
              </w:rPr>
              <w:t>60</w:t>
            </w:r>
            <w:r>
              <w:rPr>
                <w:color w:val="000000"/>
                <w:sz w:val="24"/>
              </w:rPr>
              <w:t>天债券、交银双轮动债券、交银强化回报债券、交银丰盈收益债券的基金经理，公司固定收益部副总经理</w:t>
            </w:r>
          </w:p>
        </w:tc>
        <w:tc>
          <w:tcPr>
            <w:tcW w:w="1202" w:type="dxa"/>
            <w:vAlign w:val="center"/>
          </w:tcPr>
          <w:p w:rsidR="00711ADD" w:rsidRDefault="00C443F7">
            <w:pPr>
              <w:jc w:val="center"/>
            </w:pPr>
            <w:r>
              <w:rPr>
                <w:color w:val="000000"/>
                <w:sz w:val="24"/>
              </w:rPr>
              <w:t>2013-09-03</w:t>
            </w:r>
          </w:p>
        </w:tc>
        <w:tc>
          <w:tcPr>
            <w:tcW w:w="1300" w:type="dxa"/>
            <w:vAlign w:val="center"/>
          </w:tcPr>
          <w:p w:rsidR="00711ADD" w:rsidRDefault="00C443F7">
            <w:pPr>
              <w:jc w:val="center"/>
            </w:pPr>
            <w:r>
              <w:rPr>
                <w:color w:val="000000"/>
                <w:sz w:val="24"/>
              </w:rPr>
              <w:t>-</w:t>
            </w:r>
          </w:p>
        </w:tc>
        <w:tc>
          <w:tcPr>
            <w:tcW w:w="1245" w:type="dxa"/>
            <w:vAlign w:val="center"/>
          </w:tcPr>
          <w:p w:rsidR="00711ADD" w:rsidRDefault="00C443F7">
            <w:pPr>
              <w:jc w:val="center"/>
            </w:pPr>
            <w:r>
              <w:rPr>
                <w:color w:val="000000"/>
                <w:sz w:val="24"/>
              </w:rPr>
              <w:t>1</w:t>
            </w:r>
            <w:r>
              <w:rPr>
                <w:color w:val="000000"/>
                <w:sz w:val="24"/>
              </w:rPr>
              <w:t>年</w:t>
            </w:r>
          </w:p>
        </w:tc>
        <w:tc>
          <w:tcPr>
            <w:tcW w:w="3251" w:type="dxa"/>
            <w:vAlign w:val="center"/>
          </w:tcPr>
          <w:p w:rsidR="00711ADD" w:rsidRDefault="00C443F7">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711ADD">
        <w:trPr>
          <w:jc w:val="center"/>
        </w:trPr>
        <w:tc>
          <w:tcPr>
            <w:tcW w:w="946" w:type="dxa"/>
            <w:vAlign w:val="center"/>
          </w:tcPr>
          <w:p w:rsidR="00711ADD" w:rsidRDefault="00C443F7">
            <w:pPr>
              <w:jc w:val="center"/>
            </w:pPr>
            <w:r>
              <w:rPr>
                <w:color w:val="000000"/>
                <w:sz w:val="24"/>
              </w:rPr>
              <w:t>孙超</w:t>
            </w:r>
          </w:p>
        </w:tc>
        <w:tc>
          <w:tcPr>
            <w:tcW w:w="924" w:type="dxa"/>
            <w:vAlign w:val="center"/>
          </w:tcPr>
          <w:p w:rsidR="00711ADD" w:rsidRDefault="00C443F7">
            <w:pPr>
              <w:jc w:val="center"/>
            </w:pPr>
            <w:r>
              <w:rPr>
                <w:color w:val="000000"/>
                <w:sz w:val="24"/>
              </w:rPr>
              <w:t>本基金、交银理财</w:t>
            </w:r>
            <w:r>
              <w:rPr>
                <w:color w:val="000000"/>
                <w:sz w:val="24"/>
              </w:rPr>
              <w:t>60</w:t>
            </w:r>
            <w:r>
              <w:rPr>
                <w:color w:val="000000"/>
                <w:sz w:val="24"/>
              </w:rPr>
              <w:t>天债券、交银双轮动债券、交银强化回报债券、交银丰润收益债券的基金经理</w:t>
            </w:r>
          </w:p>
        </w:tc>
        <w:tc>
          <w:tcPr>
            <w:tcW w:w="1202" w:type="dxa"/>
            <w:vAlign w:val="center"/>
          </w:tcPr>
          <w:p w:rsidR="00711ADD" w:rsidRDefault="00C443F7">
            <w:pPr>
              <w:jc w:val="center"/>
            </w:pPr>
            <w:r>
              <w:rPr>
                <w:color w:val="000000"/>
                <w:sz w:val="24"/>
              </w:rPr>
              <w:t>2014-08-26</w:t>
            </w:r>
          </w:p>
        </w:tc>
        <w:tc>
          <w:tcPr>
            <w:tcW w:w="1300" w:type="dxa"/>
            <w:vAlign w:val="center"/>
          </w:tcPr>
          <w:p w:rsidR="00711ADD" w:rsidRDefault="00C443F7">
            <w:pPr>
              <w:jc w:val="center"/>
            </w:pPr>
            <w:r>
              <w:rPr>
                <w:color w:val="000000"/>
                <w:sz w:val="24"/>
              </w:rPr>
              <w:t>-</w:t>
            </w:r>
          </w:p>
        </w:tc>
        <w:tc>
          <w:tcPr>
            <w:tcW w:w="1245" w:type="dxa"/>
            <w:vAlign w:val="center"/>
          </w:tcPr>
          <w:p w:rsidR="00711ADD" w:rsidRDefault="00C443F7">
            <w:pPr>
              <w:jc w:val="center"/>
            </w:pPr>
            <w:r>
              <w:rPr>
                <w:color w:val="000000"/>
                <w:sz w:val="24"/>
              </w:rPr>
              <w:t>3</w:t>
            </w:r>
            <w:r>
              <w:rPr>
                <w:color w:val="000000"/>
                <w:sz w:val="24"/>
              </w:rPr>
              <w:t>年</w:t>
            </w:r>
          </w:p>
        </w:tc>
        <w:tc>
          <w:tcPr>
            <w:tcW w:w="3251" w:type="dxa"/>
            <w:vAlign w:val="center"/>
          </w:tcPr>
          <w:p w:rsidR="00711ADD" w:rsidRDefault="00C443F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11ADD" w:rsidRDefault="00C443F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11ADD" w:rsidRDefault="00C443F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11ADD" w:rsidRDefault="00C443F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711ADD" w:rsidRDefault="00C443F7">
      <w:pPr>
        <w:spacing w:before="29" w:line="288" w:lineRule="auto"/>
        <w:ind w:firstLineChars="200" w:firstLine="480"/>
        <w:rPr>
          <w:color w:val="000000"/>
          <w:sz w:val="24"/>
        </w:rPr>
      </w:pPr>
      <w:r>
        <w:rPr>
          <w:color w:val="000000"/>
          <w:sz w:val="24"/>
        </w:rPr>
        <w:t>2014</w:t>
      </w:r>
      <w:r>
        <w:rPr>
          <w:color w:val="000000"/>
          <w:sz w:val="24"/>
        </w:rPr>
        <w:t>年四季度政策面继续为经济保驾护航，在实体经济继续疲弱的局面下，市场迎来预期已久的全面降息，释放出明确的稳增长信号意义。</w:t>
      </w:r>
    </w:p>
    <w:p w:rsidR="00711ADD" w:rsidRDefault="00C443F7">
      <w:pPr>
        <w:spacing w:before="29" w:line="288" w:lineRule="auto"/>
        <w:ind w:firstLineChars="200" w:firstLine="480"/>
        <w:rPr>
          <w:color w:val="000000"/>
          <w:sz w:val="24"/>
        </w:rPr>
      </w:pPr>
      <w:r>
        <w:rPr>
          <w:color w:val="000000"/>
          <w:sz w:val="24"/>
        </w:rPr>
        <w:t>全面降息的利好带动债券市场牛市情绪进一步发酵，</w:t>
      </w:r>
      <w:r>
        <w:rPr>
          <w:color w:val="000000"/>
          <w:sz w:val="24"/>
        </w:rPr>
        <w:t>12</w:t>
      </w:r>
      <w:r>
        <w:rPr>
          <w:color w:val="000000"/>
          <w:sz w:val="24"/>
        </w:rPr>
        <w:t>月初中证登发布的《关于加强企业债券回购风险管理相关措施的通知》则引发大量企业债（尤其是城投债）的价值重估。中债总全价（总值）指数在</w:t>
      </w:r>
      <w:r>
        <w:rPr>
          <w:color w:val="000000"/>
          <w:sz w:val="24"/>
        </w:rPr>
        <w:t>10</w:t>
      </w:r>
      <w:r>
        <w:rPr>
          <w:color w:val="000000"/>
          <w:sz w:val="24"/>
        </w:rPr>
        <w:t>月上涨</w:t>
      </w:r>
      <w:r>
        <w:rPr>
          <w:color w:val="000000"/>
          <w:sz w:val="24"/>
        </w:rPr>
        <w:t>1.74%</w:t>
      </w:r>
      <w:r>
        <w:rPr>
          <w:color w:val="000000"/>
          <w:sz w:val="24"/>
        </w:rPr>
        <w:t>，</w:t>
      </w:r>
      <w:r>
        <w:rPr>
          <w:color w:val="000000"/>
          <w:sz w:val="24"/>
        </w:rPr>
        <w:t>11</w:t>
      </w:r>
      <w:r>
        <w:rPr>
          <w:color w:val="000000"/>
          <w:sz w:val="24"/>
        </w:rPr>
        <w:t>月上涨</w:t>
      </w:r>
      <w:r>
        <w:rPr>
          <w:color w:val="000000"/>
          <w:sz w:val="24"/>
        </w:rPr>
        <w:t>1.34%</w:t>
      </w:r>
      <w:r>
        <w:rPr>
          <w:color w:val="000000"/>
          <w:sz w:val="24"/>
        </w:rPr>
        <w:t>，</w:t>
      </w:r>
      <w:r>
        <w:rPr>
          <w:color w:val="000000"/>
          <w:sz w:val="24"/>
        </w:rPr>
        <w:t>12</w:t>
      </w:r>
      <w:r>
        <w:rPr>
          <w:color w:val="000000"/>
          <w:sz w:val="24"/>
        </w:rPr>
        <w:t>月下跌</w:t>
      </w:r>
      <w:r>
        <w:rPr>
          <w:color w:val="000000"/>
          <w:sz w:val="24"/>
        </w:rPr>
        <w:t>0.64%</w:t>
      </w:r>
      <w:r>
        <w:rPr>
          <w:color w:val="000000"/>
          <w:sz w:val="24"/>
        </w:rPr>
        <w:t>。本基金在本报告期内适当参与了权益类投资，分享了</w:t>
      </w:r>
      <w:r>
        <w:rPr>
          <w:color w:val="000000"/>
          <w:sz w:val="24"/>
        </w:rPr>
        <w:t>A</w:t>
      </w:r>
      <w:r>
        <w:rPr>
          <w:color w:val="000000"/>
          <w:sz w:val="24"/>
        </w:rPr>
        <w:t>股牛市的收益；</w:t>
      </w:r>
      <w:r>
        <w:rPr>
          <w:color w:val="000000"/>
          <w:sz w:val="24"/>
        </w:rPr>
        <w:t>12</w:t>
      </w:r>
      <w:r>
        <w:rPr>
          <w:color w:val="000000"/>
          <w:sz w:val="24"/>
        </w:rPr>
        <w:t>月初以来受中证登事件影响，净值有一定程度的回撤。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2015</w:t>
      </w:r>
      <w:r w:rsidRPr="007F52FA">
        <w:rPr>
          <w:color w:val="000000"/>
          <w:sz w:val="24"/>
        </w:rPr>
        <w:t>年一季度，在全面放松的政策并未带来实体经济如期反弹的现实压力下，政策进退两难的困境凸显。降低融资成本的重任或许会从债券市场转移到权益市场，这也会带来债券投资的新逻辑。信贷和地产销售回暖带来的不确定性可能会是未来债市承压最大的阻力，后续应密切关注信贷和地产数据作为进一步判断的依据。在投资上相机抉择，随时保持回调的警惕性应该成为下一步投资的首要任务。警惕收益率曲线由牛平向熊陡转化的可能性。本基金一季度将转向短久期防御策略，力求获取稳定票息收入，并继续关注转债表现。</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日，交银月月丰债券</w:t>
      </w:r>
      <w:r w:rsidRPr="007F52FA">
        <w:rPr>
          <w:color w:val="000000"/>
          <w:sz w:val="24"/>
        </w:rPr>
        <w:t>A</w:t>
      </w:r>
      <w:r w:rsidRPr="007F52FA">
        <w:rPr>
          <w:color w:val="000000"/>
          <w:sz w:val="24"/>
        </w:rPr>
        <w:t>类份额净值为</w:t>
      </w:r>
      <w:r w:rsidRPr="007F52FA">
        <w:rPr>
          <w:color w:val="000000"/>
          <w:sz w:val="24"/>
        </w:rPr>
        <w:t>1.187</w:t>
      </w:r>
      <w:r w:rsidRPr="007F52FA">
        <w:rPr>
          <w:color w:val="000000"/>
          <w:sz w:val="24"/>
        </w:rPr>
        <w:t>元，本报告期份额净值增长率为</w:t>
      </w:r>
      <w:r w:rsidRPr="007F52FA">
        <w:rPr>
          <w:color w:val="000000"/>
          <w:sz w:val="24"/>
        </w:rPr>
        <w:t>7.81%</w:t>
      </w:r>
      <w:r w:rsidRPr="007F52FA">
        <w:rPr>
          <w:color w:val="000000"/>
          <w:sz w:val="24"/>
        </w:rPr>
        <w:t>，同期业绩比较基准增长率为</w:t>
      </w:r>
      <w:r w:rsidRPr="007F52FA">
        <w:rPr>
          <w:color w:val="000000"/>
          <w:sz w:val="24"/>
        </w:rPr>
        <w:t>5.37%</w:t>
      </w:r>
      <w:r w:rsidRPr="007F52FA">
        <w:rPr>
          <w:color w:val="000000"/>
          <w:sz w:val="24"/>
        </w:rPr>
        <w:t>；交银月月丰债券</w:t>
      </w:r>
      <w:r w:rsidRPr="007F52FA">
        <w:rPr>
          <w:color w:val="000000"/>
          <w:sz w:val="24"/>
        </w:rPr>
        <w:t>C</w:t>
      </w:r>
      <w:r w:rsidRPr="007F52FA">
        <w:rPr>
          <w:color w:val="000000"/>
          <w:sz w:val="24"/>
        </w:rPr>
        <w:t>类份额净值为</w:t>
      </w:r>
      <w:r w:rsidRPr="007F52FA">
        <w:rPr>
          <w:color w:val="000000"/>
          <w:sz w:val="24"/>
        </w:rPr>
        <w:t>1.179</w:t>
      </w:r>
      <w:r w:rsidRPr="007F52FA">
        <w:rPr>
          <w:color w:val="000000"/>
          <w:sz w:val="24"/>
        </w:rPr>
        <w:t>元，本报告期份额净值增长率为</w:t>
      </w:r>
      <w:r w:rsidRPr="007F52FA">
        <w:rPr>
          <w:color w:val="000000"/>
          <w:sz w:val="24"/>
        </w:rPr>
        <w:t>7.67%</w:t>
      </w:r>
      <w:r w:rsidRPr="007F52FA">
        <w:rPr>
          <w:color w:val="000000"/>
          <w:sz w:val="24"/>
        </w:rPr>
        <w:t>，同期业绩比较基准增长率为</w:t>
      </w:r>
      <w:r w:rsidRPr="007F52FA">
        <w:rPr>
          <w:color w:val="000000"/>
          <w:sz w:val="24"/>
        </w:rPr>
        <w:t>5.37%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7D47A5">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D47A5">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7,032,100.00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7,032,100.00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91,122,811.86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91,122,811.86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24,983,005.61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3,288,651.37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126,426,568.84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210,500.00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878,000.00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906,000.00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251,100.00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2,241,300.00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2,145,600.00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399,600.00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7,032,100.00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11ADD">
        <w:trPr>
          <w:jc w:val="center"/>
        </w:trPr>
        <w:tc>
          <w:tcPr>
            <w:tcW w:w="850" w:type="dxa"/>
            <w:vAlign w:val="center"/>
          </w:tcPr>
          <w:p w:rsidR="00711ADD" w:rsidRDefault="00C443F7">
            <w:pPr>
              <w:jc w:val="center"/>
            </w:pPr>
            <w:r>
              <w:rPr>
                <w:color w:val="000000"/>
                <w:sz w:val="24"/>
              </w:rPr>
              <w:t>1</w:t>
            </w:r>
          </w:p>
        </w:tc>
        <w:tc>
          <w:tcPr>
            <w:tcW w:w="1327" w:type="dxa"/>
            <w:vAlign w:val="center"/>
          </w:tcPr>
          <w:p w:rsidR="00711ADD" w:rsidRDefault="00C443F7">
            <w:pPr>
              <w:jc w:val="center"/>
            </w:pPr>
            <w:r>
              <w:rPr>
                <w:color w:val="000000"/>
                <w:sz w:val="24"/>
              </w:rPr>
              <w:t>601318</w:t>
            </w:r>
          </w:p>
        </w:tc>
        <w:tc>
          <w:tcPr>
            <w:tcW w:w="1769" w:type="dxa"/>
            <w:vAlign w:val="center"/>
          </w:tcPr>
          <w:p w:rsidR="00711ADD" w:rsidRDefault="00C443F7">
            <w:pPr>
              <w:jc w:val="center"/>
            </w:pPr>
            <w:r>
              <w:rPr>
                <w:color w:val="000000"/>
                <w:sz w:val="24"/>
              </w:rPr>
              <w:t>中国平安</w:t>
            </w:r>
          </w:p>
        </w:tc>
        <w:tc>
          <w:tcPr>
            <w:tcW w:w="1327" w:type="dxa"/>
            <w:vAlign w:val="center"/>
          </w:tcPr>
          <w:p w:rsidR="00711ADD" w:rsidRDefault="00C443F7">
            <w:pPr>
              <w:jc w:val="right"/>
            </w:pPr>
            <w:r>
              <w:rPr>
                <w:color w:val="000000"/>
                <w:sz w:val="24"/>
              </w:rPr>
              <w:t>30,000</w:t>
            </w:r>
          </w:p>
        </w:tc>
        <w:tc>
          <w:tcPr>
            <w:tcW w:w="1915" w:type="dxa"/>
            <w:vAlign w:val="center"/>
          </w:tcPr>
          <w:p w:rsidR="00711ADD" w:rsidRDefault="00C443F7">
            <w:pPr>
              <w:jc w:val="right"/>
            </w:pPr>
            <w:r>
              <w:rPr>
                <w:color w:val="000000"/>
                <w:sz w:val="24"/>
              </w:rPr>
              <w:t>2,241,300.00</w:t>
            </w:r>
          </w:p>
        </w:tc>
        <w:tc>
          <w:tcPr>
            <w:tcW w:w="1680" w:type="dxa"/>
            <w:vAlign w:val="center"/>
          </w:tcPr>
          <w:p w:rsidR="00711ADD" w:rsidRDefault="00C443F7">
            <w:pPr>
              <w:jc w:val="right"/>
            </w:pPr>
            <w:r>
              <w:rPr>
                <w:color w:val="000000"/>
                <w:sz w:val="24"/>
              </w:rPr>
              <w:t>2.27</w:t>
            </w:r>
          </w:p>
        </w:tc>
      </w:tr>
      <w:tr w:rsidR="00711ADD">
        <w:trPr>
          <w:jc w:val="center"/>
        </w:trPr>
        <w:tc>
          <w:tcPr>
            <w:tcW w:w="850" w:type="dxa"/>
            <w:vAlign w:val="center"/>
          </w:tcPr>
          <w:p w:rsidR="00711ADD" w:rsidRDefault="00C443F7">
            <w:pPr>
              <w:jc w:val="center"/>
            </w:pPr>
            <w:r>
              <w:rPr>
                <w:color w:val="000000"/>
                <w:sz w:val="24"/>
              </w:rPr>
              <w:t>2</w:t>
            </w:r>
          </w:p>
        </w:tc>
        <w:tc>
          <w:tcPr>
            <w:tcW w:w="1327" w:type="dxa"/>
            <w:vAlign w:val="center"/>
          </w:tcPr>
          <w:p w:rsidR="00711ADD" w:rsidRDefault="00C443F7">
            <w:pPr>
              <w:jc w:val="center"/>
            </w:pPr>
            <w:r>
              <w:rPr>
                <w:color w:val="000000"/>
                <w:sz w:val="24"/>
              </w:rPr>
              <w:t>600340</w:t>
            </w:r>
          </w:p>
        </w:tc>
        <w:tc>
          <w:tcPr>
            <w:tcW w:w="1769" w:type="dxa"/>
            <w:vAlign w:val="center"/>
          </w:tcPr>
          <w:p w:rsidR="00711ADD" w:rsidRDefault="00C443F7">
            <w:pPr>
              <w:jc w:val="center"/>
            </w:pPr>
            <w:r>
              <w:rPr>
                <w:color w:val="000000"/>
                <w:sz w:val="24"/>
              </w:rPr>
              <w:t>华夏幸福</w:t>
            </w:r>
          </w:p>
        </w:tc>
        <w:tc>
          <w:tcPr>
            <w:tcW w:w="1327" w:type="dxa"/>
            <w:vAlign w:val="center"/>
          </w:tcPr>
          <w:p w:rsidR="00711ADD" w:rsidRDefault="00C443F7">
            <w:pPr>
              <w:jc w:val="right"/>
            </w:pPr>
            <w:r>
              <w:rPr>
                <w:color w:val="000000"/>
                <w:sz w:val="24"/>
              </w:rPr>
              <w:t>25,000</w:t>
            </w:r>
          </w:p>
        </w:tc>
        <w:tc>
          <w:tcPr>
            <w:tcW w:w="1915" w:type="dxa"/>
            <w:vAlign w:val="center"/>
          </w:tcPr>
          <w:p w:rsidR="00711ADD" w:rsidRDefault="00C443F7">
            <w:pPr>
              <w:jc w:val="right"/>
            </w:pPr>
            <w:r>
              <w:rPr>
                <w:color w:val="000000"/>
                <w:sz w:val="24"/>
              </w:rPr>
              <w:t>1,090,000.00</w:t>
            </w:r>
          </w:p>
        </w:tc>
        <w:tc>
          <w:tcPr>
            <w:tcW w:w="1680" w:type="dxa"/>
            <w:vAlign w:val="center"/>
          </w:tcPr>
          <w:p w:rsidR="00711ADD" w:rsidRDefault="00C443F7">
            <w:pPr>
              <w:jc w:val="right"/>
            </w:pPr>
            <w:r>
              <w:rPr>
                <w:color w:val="000000"/>
                <w:sz w:val="24"/>
              </w:rPr>
              <w:t>1.10</w:t>
            </w:r>
          </w:p>
        </w:tc>
      </w:tr>
      <w:tr w:rsidR="00711ADD">
        <w:trPr>
          <w:jc w:val="center"/>
        </w:trPr>
        <w:tc>
          <w:tcPr>
            <w:tcW w:w="850" w:type="dxa"/>
            <w:vAlign w:val="center"/>
          </w:tcPr>
          <w:p w:rsidR="00711ADD" w:rsidRDefault="00C443F7">
            <w:pPr>
              <w:jc w:val="center"/>
            </w:pPr>
            <w:r>
              <w:rPr>
                <w:color w:val="000000"/>
                <w:sz w:val="24"/>
              </w:rPr>
              <w:t>3</w:t>
            </w:r>
          </w:p>
        </w:tc>
        <w:tc>
          <w:tcPr>
            <w:tcW w:w="1327" w:type="dxa"/>
            <w:vAlign w:val="center"/>
          </w:tcPr>
          <w:p w:rsidR="00711ADD" w:rsidRDefault="00C443F7">
            <w:pPr>
              <w:jc w:val="center"/>
            </w:pPr>
            <w:r>
              <w:rPr>
                <w:color w:val="000000"/>
                <w:sz w:val="24"/>
              </w:rPr>
              <w:t>000024</w:t>
            </w:r>
          </w:p>
        </w:tc>
        <w:tc>
          <w:tcPr>
            <w:tcW w:w="1769" w:type="dxa"/>
            <w:vAlign w:val="center"/>
          </w:tcPr>
          <w:p w:rsidR="00711ADD" w:rsidRDefault="00C443F7">
            <w:pPr>
              <w:jc w:val="center"/>
            </w:pPr>
            <w:r>
              <w:rPr>
                <w:color w:val="000000"/>
                <w:sz w:val="24"/>
              </w:rPr>
              <w:t>招商地产</w:t>
            </w:r>
          </w:p>
        </w:tc>
        <w:tc>
          <w:tcPr>
            <w:tcW w:w="1327" w:type="dxa"/>
            <w:vAlign w:val="center"/>
          </w:tcPr>
          <w:p w:rsidR="00711ADD" w:rsidRDefault="00C443F7">
            <w:pPr>
              <w:jc w:val="right"/>
            </w:pPr>
            <w:r>
              <w:rPr>
                <w:color w:val="000000"/>
                <w:sz w:val="24"/>
              </w:rPr>
              <w:t>40,000</w:t>
            </w:r>
          </w:p>
        </w:tc>
        <w:tc>
          <w:tcPr>
            <w:tcW w:w="1915" w:type="dxa"/>
            <w:vAlign w:val="center"/>
          </w:tcPr>
          <w:p w:rsidR="00711ADD" w:rsidRDefault="00C443F7">
            <w:pPr>
              <w:jc w:val="right"/>
            </w:pPr>
            <w:r>
              <w:rPr>
                <w:color w:val="000000"/>
                <w:sz w:val="24"/>
              </w:rPr>
              <w:t>1,055,600.00</w:t>
            </w:r>
          </w:p>
        </w:tc>
        <w:tc>
          <w:tcPr>
            <w:tcW w:w="1680" w:type="dxa"/>
            <w:vAlign w:val="center"/>
          </w:tcPr>
          <w:p w:rsidR="00711ADD" w:rsidRDefault="00C443F7">
            <w:pPr>
              <w:jc w:val="right"/>
            </w:pPr>
            <w:r>
              <w:rPr>
                <w:color w:val="000000"/>
                <w:sz w:val="24"/>
              </w:rPr>
              <w:t>1.07</w:t>
            </w:r>
          </w:p>
        </w:tc>
      </w:tr>
      <w:tr w:rsidR="00711ADD">
        <w:trPr>
          <w:jc w:val="center"/>
        </w:trPr>
        <w:tc>
          <w:tcPr>
            <w:tcW w:w="850" w:type="dxa"/>
            <w:vAlign w:val="center"/>
          </w:tcPr>
          <w:p w:rsidR="00711ADD" w:rsidRDefault="00C443F7">
            <w:pPr>
              <w:jc w:val="center"/>
            </w:pPr>
            <w:r>
              <w:rPr>
                <w:color w:val="000000"/>
                <w:sz w:val="24"/>
              </w:rPr>
              <w:t>4</w:t>
            </w:r>
          </w:p>
        </w:tc>
        <w:tc>
          <w:tcPr>
            <w:tcW w:w="1327" w:type="dxa"/>
            <w:vAlign w:val="center"/>
          </w:tcPr>
          <w:p w:rsidR="00711ADD" w:rsidRDefault="00C443F7">
            <w:pPr>
              <w:jc w:val="center"/>
            </w:pPr>
            <w:r>
              <w:rPr>
                <w:color w:val="000000"/>
                <w:sz w:val="24"/>
              </w:rPr>
              <w:t>601018</w:t>
            </w:r>
          </w:p>
        </w:tc>
        <w:tc>
          <w:tcPr>
            <w:tcW w:w="1769" w:type="dxa"/>
            <w:vAlign w:val="center"/>
          </w:tcPr>
          <w:p w:rsidR="00711ADD" w:rsidRDefault="00C443F7">
            <w:pPr>
              <w:jc w:val="center"/>
            </w:pPr>
            <w:r>
              <w:rPr>
                <w:color w:val="000000"/>
                <w:sz w:val="24"/>
              </w:rPr>
              <w:t>宁波港</w:t>
            </w:r>
          </w:p>
        </w:tc>
        <w:tc>
          <w:tcPr>
            <w:tcW w:w="1327" w:type="dxa"/>
            <w:vAlign w:val="center"/>
          </w:tcPr>
          <w:p w:rsidR="00711ADD" w:rsidRDefault="00C443F7">
            <w:pPr>
              <w:jc w:val="right"/>
            </w:pPr>
            <w:r>
              <w:rPr>
                <w:color w:val="000000"/>
                <w:sz w:val="24"/>
              </w:rPr>
              <w:t>110,000</w:t>
            </w:r>
          </w:p>
        </w:tc>
        <w:tc>
          <w:tcPr>
            <w:tcW w:w="1915" w:type="dxa"/>
            <w:vAlign w:val="center"/>
          </w:tcPr>
          <w:p w:rsidR="00711ADD" w:rsidRDefault="00C443F7">
            <w:pPr>
              <w:jc w:val="right"/>
            </w:pPr>
            <w:r>
              <w:rPr>
                <w:color w:val="000000"/>
                <w:sz w:val="24"/>
              </w:rPr>
              <w:t>506,000.00</w:t>
            </w:r>
          </w:p>
        </w:tc>
        <w:tc>
          <w:tcPr>
            <w:tcW w:w="1680" w:type="dxa"/>
            <w:vAlign w:val="center"/>
          </w:tcPr>
          <w:p w:rsidR="00711ADD" w:rsidRDefault="00C443F7">
            <w:pPr>
              <w:jc w:val="right"/>
            </w:pPr>
            <w:r>
              <w:rPr>
                <w:color w:val="000000"/>
                <w:sz w:val="24"/>
              </w:rPr>
              <w:t>0.51</w:t>
            </w:r>
          </w:p>
        </w:tc>
      </w:tr>
      <w:tr w:rsidR="00711ADD">
        <w:trPr>
          <w:jc w:val="center"/>
        </w:trPr>
        <w:tc>
          <w:tcPr>
            <w:tcW w:w="850" w:type="dxa"/>
            <w:vAlign w:val="center"/>
          </w:tcPr>
          <w:p w:rsidR="00711ADD" w:rsidRDefault="00C443F7">
            <w:pPr>
              <w:jc w:val="center"/>
            </w:pPr>
            <w:r>
              <w:rPr>
                <w:color w:val="000000"/>
                <w:sz w:val="24"/>
              </w:rPr>
              <w:t>5</w:t>
            </w:r>
          </w:p>
        </w:tc>
        <w:tc>
          <w:tcPr>
            <w:tcW w:w="1327" w:type="dxa"/>
            <w:vAlign w:val="center"/>
          </w:tcPr>
          <w:p w:rsidR="00711ADD" w:rsidRDefault="00C443F7">
            <w:pPr>
              <w:jc w:val="center"/>
            </w:pPr>
            <w:r>
              <w:rPr>
                <w:color w:val="000000"/>
                <w:sz w:val="24"/>
              </w:rPr>
              <w:t>601390</w:t>
            </w:r>
          </w:p>
        </w:tc>
        <w:tc>
          <w:tcPr>
            <w:tcW w:w="1769" w:type="dxa"/>
            <w:vAlign w:val="center"/>
          </w:tcPr>
          <w:p w:rsidR="00711ADD" w:rsidRDefault="00C443F7">
            <w:pPr>
              <w:jc w:val="center"/>
            </w:pPr>
            <w:r>
              <w:rPr>
                <w:color w:val="000000"/>
                <w:sz w:val="24"/>
              </w:rPr>
              <w:t>中国中铁</w:t>
            </w:r>
          </w:p>
        </w:tc>
        <w:tc>
          <w:tcPr>
            <w:tcW w:w="1327" w:type="dxa"/>
            <w:vAlign w:val="center"/>
          </w:tcPr>
          <w:p w:rsidR="00711ADD" w:rsidRDefault="00C443F7">
            <w:pPr>
              <w:jc w:val="right"/>
            </w:pPr>
            <w:r>
              <w:rPr>
                <w:color w:val="000000"/>
                <w:sz w:val="24"/>
              </w:rPr>
              <w:t>50,000</w:t>
            </w:r>
          </w:p>
        </w:tc>
        <w:tc>
          <w:tcPr>
            <w:tcW w:w="1915" w:type="dxa"/>
            <w:vAlign w:val="center"/>
          </w:tcPr>
          <w:p w:rsidR="00711ADD" w:rsidRDefault="00C443F7">
            <w:pPr>
              <w:jc w:val="right"/>
            </w:pPr>
            <w:r>
              <w:rPr>
                <w:color w:val="000000"/>
                <w:sz w:val="24"/>
              </w:rPr>
              <w:t>465,000.00</w:t>
            </w:r>
          </w:p>
        </w:tc>
        <w:tc>
          <w:tcPr>
            <w:tcW w:w="1680" w:type="dxa"/>
            <w:vAlign w:val="center"/>
          </w:tcPr>
          <w:p w:rsidR="00711ADD" w:rsidRDefault="00C443F7">
            <w:pPr>
              <w:jc w:val="right"/>
            </w:pPr>
            <w:r>
              <w:rPr>
                <w:color w:val="000000"/>
                <w:sz w:val="24"/>
              </w:rPr>
              <w:t>0.47</w:t>
            </w:r>
          </w:p>
        </w:tc>
      </w:tr>
      <w:tr w:rsidR="00711ADD">
        <w:trPr>
          <w:jc w:val="center"/>
        </w:trPr>
        <w:tc>
          <w:tcPr>
            <w:tcW w:w="850" w:type="dxa"/>
            <w:vAlign w:val="center"/>
          </w:tcPr>
          <w:p w:rsidR="00711ADD" w:rsidRDefault="00C443F7">
            <w:pPr>
              <w:jc w:val="center"/>
            </w:pPr>
            <w:r>
              <w:rPr>
                <w:color w:val="000000"/>
                <w:sz w:val="24"/>
              </w:rPr>
              <w:t>6</w:t>
            </w:r>
          </w:p>
        </w:tc>
        <w:tc>
          <w:tcPr>
            <w:tcW w:w="1327" w:type="dxa"/>
            <w:vAlign w:val="center"/>
          </w:tcPr>
          <w:p w:rsidR="00711ADD" w:rsidRDefault="00C443F7">
            <w:pPr>
              <w:jc w:val="center"/>
            </w:pPr>
            <w:r>
              <w:rPr>
                <w:color w:val="000000"/>
                <w:sz w:val="24"/>
              </w:rPr>
              <w:t>600820</w:t>
            </w:r>
          </w:p>
        </w:tc>
        <w:tc>
          <w:tcPr>
            <w:tcW w:w="1769" w:type="dxa"/>
            <w:vAlign w:val="center"/>
          </w:tcPr>
          <w:p w:rsidR="00711ADD" w:rsidRDefault="00C443F7">
            <w:pPr>
              <w:jc w:val="center"/>
            </w:pPr>
            <w:r>
              <w:rPr>
                <w:color w:val="000000"/>
                <w:sz w:val="24"/>
              </w:rPr>
              <w:t>隧道股份</w:t>
            </w:r>
          </w:p>
        </w:tc>
        <w:tc>
          <w:tcPr>
            <w:tcW w:w="1327" w:type="dxa"/>
            <w:vAlign w:val="center"/>
          </w:tcPr>
          <w:p w:rsidR="00711ADD" w:rsidRDefault="00C443F7">
            <w:pPr>
              <w:jc w:val="right"/>
            </w:pPr>
            <w:r>
              <w:rPr>
                <w:color w:val="000000"/>
                <w:sz w:val="24"/>
              </w:rPr>
              <w:t>50,000</w:t>
            </w:r>
          </w:p>
        </w:tc>
        <w:tc>
          <w:tcPr>
            <w:tcW w:w="1915" w:type="dxa"/>
            <w:vAlign w:val="center"/>
          </w:tcPr>
          <w:p w:rsidR="00711ADD" w:rsidRDefault="00C443F7">
            <w:pPr>
              <w:jc w:val="right"/>
            </w:pPr>
            <w:r>
              <w:rPr>
                <w:color w:val="000000"/>
                <w:sz w:val="24"/>
              </w:rPr>
              <w:t>413,000.00</w:t>
            </w:r>
          </w:p>
        </w:tc>
        <w:tc>
          <w:tcPr>
            <w:tcW w:w="1680" w:type="dxa"/>
            <w:vAlign w:val="center"/>
          </w:tcPr>
          <w:p w:rsidR="00711ADD" w:rsidRDefault="00C443F7">
            <w:pPr>
              <w:jc w:val="right"/>
            </w:pPr>
            <w:r>
              <w:rPr>
                <w:color w:val="000000"/>
                <w:sz w:val="24"/>
              </w:rPr>
              <w:t>0.42</w:t>
            </w:r>
          </w:p>
        </w:tc>
      </w:tr>
      <w:tr w:rsidR="00711ADD">
        <w:trPr>
          <w:jc w:val="center"/>
        </w:trPr>
        <w:tc>
          <w:tcPr>
            <w:tcW w:w="850" w:type="dxa"/>
            <w:vAlign w:val="center"/>
          </w:tcPr>
          <w:p w:rsidR="00711ADD" w:rsidRDefault="00C443F7">
            <w:pPr>
              <w:jc w:val="center"/>
            </w:pPr>
            <w:r>
              <w:rPr>
                <w:color w:val="000000"/>
                <w:sz w:val="24"/>
              </w:rPr>
              <w:t>7</w:t>
            </w:r>
          </w:p>
        </w:tc>
        <w:tc>
          <w:tcPr>
            <w:tcW w:w="1327" w:type="dxa"/>
            <w:vAlign w:val="center"/>
          </w:tcPr>
          <w:p w:rsidR="00711ADD" w:rsidRDefault="00C443F7">
            <w:pPr>
              <w:jc w:val="center"/>
            </w:pPr>
            <w:r>
              <w:rPr>
                <w:color w:val="000000"/>
                <w:sz w:val="24"/>
              </w:rPr>
              <w:t>600428</w:t>
            </w:r>
          </w:p>
        </w:tc>
        <w:tc>
          <w:tcPr>
            <w:tcW w:w="1769" w:type="dxa"/>
            <w:vAlign w:val="center"/>
          </w:tcPr>
          <w:p w:rsidR="00711ADD" w:rsidRDefault="00C443F7">
            <w:pPr>
              <w:jc w:val="center"/>
            </w:pPr>
            <w:r>
              <w:rPr>
                <w:color w:val="000000"/>
                <w:sz w:val="24"/>
              </w:rPr>
              <w:t>中远航运</w:t>
            </w:r>
          </w:p>
        </w:tc>
        <w:tc>
          <w:tcPr>
            <w:tcW w:w="1327" w:type="dxa"/>
            <w:vAlign w:val="center"/>
          </w:tcPr>
          <w:p w:rsidR="00711ADD" w:rsidRDefault="00C443F7">
            <w:pPr>
              <w:jc w:val="right"/>
            </w:pPr>
            <w:r>
              <w:rPr>
                <w:color w:val="000000"/>
                <w:sz w:val="24"/>
              </w:rPr>
              <w:t>50,000</w:t>
            </w:r>
          </w:p>
        </w:tc>
        <w:tc>
          <w:tcPr>
            <w:tcW w:w="1915" w:type="dxa"/>
            <w:vAlign w:val="center"/>
          </w:tcPr>
          <w:p w:rsidR="00711ADD" w:rsidRDefault="00C443F7">
            <w:pPr>
              <w:jc w:val="right"/>
            </w:pPr>
            <w:r>
              <w:rPr>
                <w:color w:val="000000"/>
                <w:sz w:val="24"/>
              </w:rPr>
              <w:t>400,000.00</w:t>
            </w:r>
          </w:p>
        </w:tc>
        <w:tc>
          <w:tcPr>
            <w:tcW w:w="1680" w:type="dxa"/>
            <w:vAlign w:val="center"/>
          </w:tcPr>
          <w:p w:rsidR="00711ADD" w:rsidRDefault="00C443F7">
            <w:pPr>
              <w:jc w:val="right"/>
            </w:pPr>
            <w:r>
              <w:rPr>
                <w:color w:val="000000"/>
                <w:sz w:val="24"/>
              </w:rPr>
              <w:t>0.40</w:t>
            </w:r>
          </w:p>
        </w:tc>
      </w:tr>
      <w:tr w:rsidR="00711ADD">
        <w:trPr>
          <w:jc w:val="center"/>
        </w:trPr>
        <w:tc>
          <w:tcPr>
            <w:tcW w:w="850" w:type="dxa"/>
            <w:vAlign w:val="center"/>
          </w:tcPr>
          <w:p w:rsidR="00711ADD" w:rsidRDefault="00C443F7">
            <w:pPr>
              <w:jc w:val="center"/>
            </w:pPr>
            <w:r>
              <w:rPr>
                <w:color w:val="000000"/>
                <w:sz w:val="24"/>
              </w:rPr>
              <w:t>8</w:t>
            </w:r>
          </w:p>
        </w:tc>
        <w:tc>
          <w:tcPr>
            <w:tcW w:w="1327" w:type="dxa"/>
            <w:vAlign w:val="center"/>
          </w:tcPr>
          <w:p w:rsidR="00711ADD" w:rsidRDefault="00C443F7">
            <w:pPr>
              <w:jc w:val="center"/>
            </w:pPr>
            <w:r>
              <w:rPr>
                <w:color w:val="000000"/>
                <w:sz w:val="24"/>
              </w:rPr>
              <w:t>600895</w:t>
            </w:r>
          </w:p>
        </w:tc>
        <w:tc>
          <w:tcPr>
            <w:tcW w:w="1769" w:type="dxa"/>
            <w:vAlign w:val="center"/>
          </w:tcPr>
          <w:p w:rsidR="00711ADD" w:rsidRDefault="00C443F7">
            <w:pPr>
              <w:jc w:val="center"/>
            </w:pPr>
            <w:r>
              <w:rPr>
                <w:color w:val="000000"/>
                <w:sz w:val="24"/>
              </w:rPr>
              <w:t>张江高科</w:t>
            </w:r>
          </w:p>
        </w:tc>
        <w:tc>
          <w:tcPr>
            <w:tcW w:w="1327" w:type="dxa"/>
            <w:vAlign w:val="center"/>
          </w:tcPr>
          <w:p w:rsidR="00711ADD" w:rsidRDefault="00C443F7">
            <w:pPr>
              <w:jc w:val="right"/>
            </w:pPr>
            <w:r>
              <w:rPr>
                <w:color w:val="000000"/>
                <w:sz w:val="24"/>
              </w:rPr>
              <w:t>30,000</w:t>
            </w:r>
          </w:p>
        </w:tc>
        <w:tc>
          <w:tcPr>
            <w:tcW w:w="1915" w:type="dxa"/>
            <w:vAlign w:val="center"/>
          </w:tcPr>
          <w:p w:rsidR="00711ADD" w:rsidRDefault="00C443F7">
            <w:pPr>
              <w:jc w:val="right"/>
            </w:pPr>
            <w:r>
              <w:rPr>
                <w:color w:val="000000"/>
                <w:sz w:val="24"/>
              </w:rPr>
              <w:t>399,600.00</w:t>
            </w:r>
          </w:p>
        </w:tc>
        <w:tc>
          <w:tcPr>
            <w:tcW w:w="1680" w:type="dxa"/>
            <w:vAlign w:val="center"/>
          </w:tcPr>
          <w:p w:rsidR="00711ADD" w:rsidRDefault="00C443F7">
            <w:pPr>
              <w:jc w:val="right"/>
            </w:pPr>
            <w:r>
              <w:rPr>
                <w:color w:val="000000"/>
                <w:sz w:val="24"/>
              </w:rPr>
              <w:t>0.40</w:t>
            </w:r>
          </w:p>
        </w:tc>
      </w:tr>
      <w:tr w:rsidR="00711ADD">
        <w:trPr>
          <w:jc w:val="center"/>
        </w:trPr>
        <w:tc>
          <w:tcPr>
            <w:tcW w:w="850" w:type="dxa"/>
            <w:vAlign w:val="center"/>
          </w:tcPr>
          <w:p w:rsidR="00711ADD" w:rsidRDefault="00C443F7">
            <w:pPr>
              <w:jc w:val="center"/>
            </w:pPr>
            <w:r>
              <w:rPr>
                <w:color w:val="000000"/>
                <w:sz w:val="24"/>
              </w:rPr>
              <w:t>9</w:t>
            </w:r>
          </w:p>
        </w:tc>
        <w:tc>
          <w:tcPr>
            <w:tcW w:w="1327" w:type="dxa"/>
            <w:vAlign w:val="center"/>
          </w:tcPr>
          <w:p w:rsidR="00711ADD" w:rsidRDefault="00C443F7">
            <w:pPr>
              <w:jc w:val="center"/>
            </w:pPr>
            <w:r>
              <w:rPr>
                <w:color w:val="000000"/>
                <w:sz w:val="24"/>
              </w:rPr>
              <w:t>600754</w:t>
            </w:r>
          </w:p>
        </w:tc>
        <w:tc>
          <w:tcPr>
            <w:tcW w:w="1769" w:type="dxa"/>
            <w:vAlign w:val="center"/>
          </w:tcPr>
          <w:p w:rsidR="00711ADD" w:rsidRDefault="00C443F7">
            <w:pPr>
              <w:jc w:val="center"/>
            </w:pPr>
            <w:r>
              <w:rPr>
                <w:color w:val="000000"/>
                <w:sz w:val="24"/>
              </w:rPr>
              <w:t>锦江股份</w:t>
            </w:r>
          </w:p>
        </w:tc>
        <w:tc>
          <w:tcPr>
            <w:tcW w:w="1327" w:type="dxa"/>
            <w:vAlign w:val="center"/>
          </w:tcPr>
          <w:p w:rsidR="00711ADD" w:rsidRDefault="00C443F7">
            <w:pPr>
              <w:jc w:val="right"/>
            </w:pPr>
            <w:r>
              <w:rPr>
                <w:color w:val="000000"/>
                <w:sz w:val="24"/>
              </w:rPr>
              <w:t>10,000</w:t>
            </w:r>
          </w:p>
        </w:tc>
        <w:tc>
          <w:tcPr>
            <w:tcW w:w="1915" w:type="dxa"/>
            <w:vAlign w:val="center"/>
          </w:tcPr>
          <w:p w:rsidR="00711ADD" w:rsidRDefault="00C443F7">
            <w:pPr>
              <w:jc w:val="right"/>
            </w:pPr>
            <w:r>
              <w:rPr>
                <w:color w:val="000000"/>
                <w:sz w:val="24"/>
              </w:rPr>
              <w:t>251,100.00</w:t>
            </w:r>
          </w:p>
        </w:tc>
        <w:tc>
          <w:tcPr>
            <w:tcW w:w="1680" w:type="dxa"/>
            <w:vAlign w:val="center"/>
          </w:tcPr>
          <w:p w:rsidR="00711ADD" w:rsidRDefault="00C443F7">
            <w:pPr>
              <w:jc w:val="right"/>
            </w:pPr>
            <w:r>
              <w:rPr>
                <w:color w:val="000000"/>
                <w:sz w:val="24"/>
              </w:rPr>
              <w:t>0.25</w:t>
            </w:r>
          </w:p>
        </w:tc>
      </w:tr>
      <w:tr w:rsidR="00711ADD">
        <w:trPr>
          <w:jc w:val="center"/>
        </w:trPr>
        <w:tc>
          <w:tcPr>
            <w:tcW w:w="850" w:type="dxa"/>
            <w:vAlign w:val="center"/>
          </w:tcPr>
          <w:p w:rsidR="00711ADD" w:rsidRDefault="00C443F7">
            <w:pPr>
              <w:jc w:val="center"/>
            </w:pPr>
            <w:r>
              <w:rPr>
                <w:color w:val="000000"/>
                <w:sz w:val="24"/>
              </w:rPr>
              <w:t>10</w:t>
            </w:r>
          </w:p>
        </w:tc>
        <w:tc>
          <w:tcPr>
            <w:tcW w:w="1327" w:type="dxa"/>
            <w:vAlign w:val="center"/>
          </w:tcPr>
          <w:p w:rsidR="00711ADD" w:rsidRDefault="00C443F7">
            <w:pPr>
              <w:jc w:val="center"/>
            </w:pPr>
            <w:r>
              <w:rPr>
                <w:color w:val="000000"/>
                <w:sz w:val="24"/>
              </w:rPr>
              <w:t>603005</w:t>
            </w:r>
          </w:p>
        </w:tc>
        <w:tc>
          <w:tcPr>
            <w:tcW w:w="1769" w:type="dxa"/>
            <w:vAlign w:val="center"/>
          </w:tcPr>
          <w:p w:rsidR="00711ADD" w:rsidRDefault="00C443F7">
            <w:pPr>
              <w:jc w:val="center"/>
            </w:pPr>
            <w:r>
              <w:rPr>
                <w:color w:val="000000"/>
                <w:sz w:val="24"/>
              </w:rPr>
              <w:t>晶方科技</w:t>
            </w:r>
          </w:p>
        </w:tc>
        <w:tc>
          <w:tcPr>
            <w:tcW w:w="1327" w:type="dxa"/>
            <w:vAlign w:val="center"/>
          </w:tcPr>
          <w:p w:rsidR="00711ADD" w:rsidRDefault="00C443F7">
            <w:pPr>
              <w:jc w:val="right"/>
            </w:pPr>
            <w:r>
              <w:rPr>
                <w:color w:val="000000"/>
                <w:sz w:val="24"/>
              </w:rPr>
              <w:t>5,000</w:t>
            </w:r>
          </w:p>
        </w:tc>
        <w:tc>
          <w:tcPr>
            <w:tcW w:w="1915" w:type="dxa"/>
            <w:vAlign w:val="center"/>
          </w:tcPr>
          <w:p w:rsidR="00711ADD" w:rsidRDefault="00C443F7">
            <w:pPr>
              <w:jc w:val="right"/>
            </w:pPr>
            <w:r>
              <w:rPr>
                <w:color w:val="000000"/>
                <w:sz w:val="24"/>
              </w:rPr>
              <w:t>210,500.00</w:t>
            </w:r>
          </w:p>
        </w:tc>
        <w:tc>
          <w:tcPr>
            <w:tcW w:w="1680" w:type="dxa"/>
            <w:vAlign w:val="center"/>
          </w:tcPr>
          <w:p w:rsidR="00711ADD" w:rsidRDefault="00C443F7">
            <w:pPr>
              <w:jc w:val="right"/>
            </w:pPr>
            <w:r>
              <w:rPr>
                <w:color w:val="000000"/>
                <w:sz w:val="24"/>
              </w:rPr>
              <w:t>0.21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41,323,299.04</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32,371,200.00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32.72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6,969,200.00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5,458,112.82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91,122,811.86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11ADD">
        <w:trPr>
          <w:jc w:val="center"/>
        </w:trPr>
        <w:tc>
          <w:tcPr>
            <w:tcW w:w="1075" w:type="dxa"/>
            <w:vAlign w:val="center"/>
          </w:tcPr>
          <w:p w:rsidR="00711ADD" w:rsidRDefault="00C443F7">
            <w:pPr>
              <w:jc w:val="center"/>
            </w:pPr>
            <w:r>
              <w:rPr>
                <w:color w:val="000000"/>
                <w:sz w:val="24"/>
              </w:rPr>
              <w:t>1</w:t>
            </w:r>
          </w:p>
        </w:tc>
        <w:tc>
          <w:tcPr>
            <w:tcW w:w="1533" w:type="dxa"/>
            <w:vAlign w:val="center"/>
          </w:tcPr>
          <w:p w:rsidR="00711ADD" w:rsidRDefault="00C443F7">
            <w:pPr>
              <w:jc w:val="center"/>
            </w:pPr>
            <w:r>
              <w:rPr>
                <w:color w:val="000000"/>
                <w:sz w:val="24"/>
              </w:rPr>
              <w:t>1180187</w:t>
            </w:r>
          </w:p>
        </w:tc>
        <w:tc>
          <w:tcPr>
            <w:tcW w:w="1533" w:type="dxa"/>
            <w:vAlign w:val="center"/>
          </w:tcPr>
          <w:p w:rsidR="00711ADD" w:rsidRDefault="00C443F7">
            <w:pPr>
              <w:jc w:val="center"/>
            </w:pPr>
            <w:r>
              <w:rPr>
                <w:color w:val="000000"/>
                <w:sz w:val="24"/>
              </w:rPr>
              <w:t>11</w:t>
            </w:r>
            <w:r>
              <w:rPr>
                <w:color w:val="000000"/>
                <w:sz w:val="24"/>
              </w:rPr>
              <w:t>京谷财债</w:t>
            </w:r>
          </w:p>
        </w:tc>
        <w:tc>
          <w:tcPr>
            <w:tcW w:w="1394" w:type="dxa"/>
            <w:vAlign w:val="center"/>
          </w:tcPr>
          <w:p w:rsidR="00711ADD" w:rsidRDefault="00C443F7">
            <w:pPr>
              <w:jc w:val="right"/>
            </w:pPr>
            <w:r>
              <w:rPr>
                <w:color w:val="000000"/>
                <w:sz w:val="24"/>
              </w:rPr>
              <w:t>100,000</w:t>
            </w:r>
          </w:p>
        </w:tc>
        <w:tc>
          <w:tcPr>
            <w:tcW w:w="1944" w:type="dxa"/>
            <w:vAlign w:val="center"/>
          </w:tcPr>
          <w:p w:rsidR="00711ADD" w:rsidRDefault="00C443F7">
            <w:pPr>
              <w:jc w:val="right"/>
            </w:pPr>
            <w:r>
              <w:rPr>
                <w:color w:val="000000"/>
                <w:sz w:val="24"/>
              </w:rPr>
              <w:t>10,651,000.00</w:t>
            </w:r>
          </w:p>
        </w:tc>
        <w:tc>
          <w:tcPr>
            <w:tcW w:w="1389" w:type="dxa"/>
            <w:vAlign w:val="center"/>
          </w:tcPr>
          <w:p w:rsidR="00711ADD" w:rsidRDefault="00C443F7">
            <w:pPr>
              <w:jc w:val="right"/>
            </w:pPr>
            <w:r>
              <w:rPr>
                <w:color w:val="000000"/>
                <w:sz w:val="24"/>
              </w:rPr>
              <w:t>10.76</w:t>
            </w:r>
          </w:p>
        </w:tc>
      </w:tr>
      <w:tr w:rsidR="00711ADD">
        <w:trPr>
          <w:jc w:val="center"/>
        </w:trPr>
        <w:tc>
          <w:tcPr>
            <w:tcW w:w="1075" w:type="dxa"/>
            <w:vAlign w:val="center"/>
          </w:tcPr>
          <w:p w:rsidR="00711ADD" w:rsidRDefault="00C443F7">
            <w:pPr>
              <w:jc w:val="center"/>
            </w:pPr>
            <w:r>
              <w:rPr>
                <w:color w:val="000000"/>
                <w:sz w:val="24"/>
              </w:rPr>
              <w:t>2</w:t>
            </w:r>
          </w:p>
        </w:tc>
        <w:tc>
          <w:tcPr>
            <w:tcW w:w="1533" w:type="dxa"/>
            <w:vAlign w:val="center"/>
          </w:tcPr>
          <w:p w:rsidR="00711ADD" w:rsidRDefault="00C443F7">
            <w:pPr>
              <w:jc w:val="center"/>
            </w:pPr>
            <w:r>
              <w:rPr>
                <w:color w:val="000000"/>
                <w:sz w:val="24"/>
              </w:rPr>
              <w:t>112198</w:t>
            </w:r>
          </w:p>
        </w:tc>
        <w:tc>
          <w:tcPr>
            <w:tcW w:w="1533" w:type="dxa"/>
            <w:vAlign w:val="center"/>
          </w:tcPr>
          <w:p w:rsidR="00711ADD" w:rsidRDefault="00C443F7">
            <w:pPr>
              <w:jc w:val="center"/>
            </w:pPr>
            <w:r>
              <w:rPr>
                <w:color w:val="000000"/>
                <w:sz w:val="24"/>
              </w:rPr>
              <w:t>14</w:t>
            </w:r>
            <w:r>
              <w:rPr>
                <w:color w:val="000000"/>
                <w:sz w:val="24"/>
              </w:rPr>
              <w:t>欧菲债</w:t>
            </w:r>
          </w:p>
        </w:tc>
        <w:tc>
          <w:tcPr>
            <w:tcW w:w="1394" w:type="dxa"/>
            <w:vAlign w:val="center"/>
          </w:tcPr>
          <w:p w:rsidR="00711ADD" w:rsidRDefault="00C443F7">
            <w:pPr>
              <w:jc w:val="right"/>
            </w:pPr>
            <w:r>
              <w:rPr>
                <w:color w:val="000000"/>
                <w:sz w:val="24"/>
              </w:rPr>
              <w:t>90,160</w:t>
            </w:r>
          </w:p>
        </w:tc>
        <w:tc>
          <w:tcPr>
            <w:tcW w:w="1944" w:type="dxa"/>
            <w:vAlign w:val="center"/>
          </w:tcPr>
          <w:p w:rsidR="00711ADD" w:rsidRDefault="00C443F7">
            <w:pPr>
              <w:jc w:val="right"/>
            </w:pPr>
            <w:r>
              <w:rPr>
                <w:color w:val="000000"/>
                <w:sz w:val="24"/>
              </w:rPr>
              <w:t>9,421,629.84</w:t>
            </w:r>
          </w:p>
        </w:tc>
        <w:tc>
          <w:tcPr>
            <w:tcW w:w="1389" w:type="dxa"/>
            <w:vAlign w:val="center"/>
          </w:tcPr>
          <w:p w:rsidR="00711ADD" w:rsidRDefault="00C443F7">
            <w:pPr>
              <w:jc w:val="right"/>
            </w:pPr>
            <w:r>
              <w:rPr>
                <w:color w:val="000000"/>
                <w:sz w:val="24"/>
              </w:rPr>
              <w:t>9.52</w:t>
            </w:r>
          </w:p>
        </w:tc>
      </w:tr>
      <w:tr w:rsidR="00711ADD">
        <w:trPr>
          <w:jc w:val="center"/>
        </w:trPr>
        <w:tc>
          <w:tcPr>
            <w:tcW w:w="1075" w:type="dxa"/>
            <w:vAlign w:val="center"/>
          </w:tcPr>
          <w:p w:rsidR="00711ADD" w:rsidRDefault="00C443F7">
            <w:pPr>
              <w:jc w:val="center"/>
            </w:pPr>
            <w:r>
              <w:rPr>
                <w:color w:val="000000"/>
                <w:sz w:val="24"/>
              </w:rPr>
              <w:t>3</w:t>
            </w:r>
          </w:p>
        </w:tc>
        <w:tc>
          <w:tcPr>
            <w:tcW w:w="1533" w:type="dxa"/>
            <w:vAlign w:val="center"/>
          </w:tcPr>
          <w:p w:rsidR="00711ADD" w:rsidRDefault="00C443F7">
            <w:pPr>
              <w:jc w:val="center"/>
            </w:pPr>
            <w:r>
              <w:rPr>
                <w:color w:val="000000"/>
                <w:sz w:val="24"/>
              </w:rPr>
              <w:t>122607</w:t>
            </w:r>
          </w:p>
        </w:tc>
        <w:tc>
          <w:tcPr>
            <w:tcW w:w="1533" w:type="dxa"/>
            <w:vAlign w:val="center"/>
          </w:tcPr>
          <w:p w:rsidR="00711ADD" w:rsidRDefault="00C443F7">
            <w:pPr>
              <w:jc w:val="center"/>
            </w:pPr>
            <w:r>
              <w:rPr>
                <w:color w:val="000000"/>
                <w:sz w:val="24"/>
              </w:rPr>
              <w:t>12</w:t>
            </w:r>
            <w:r>
              <w:rPr>
                <w:color w:val="000000"/>
                <w:sz w:val="24"/>
              </w:rPr>
              <w:t>渝地产</w:t>
            </w:r>
          </w:p>
        </w:tc>
        <w:tc>
          <w:tcPr>
            <w:tcW w:w="1394" w:type="dxa"/>
            <w:vAlign w:val="center"/>
          </w:tcPr>
          <w:p w:rsidR="00711ADD" w:rsidRDefault="00C443F7">
            <w:pPr>
              <w:jc w:val="right"/>
            </w:pPr>
            <w:r>
              <w:rPr>
                <w:color w:val="000000"/>
                <w:sz w:val="24"/>
              </w:rPr>
              <w:t>85,470</w:t>
            </w:r>
          </w:p>
        </w:tc>
        <w:tc>
          <w:tcPr>
            <w:tcW w:w="1944" w:type="dxa"/>
            <w:vAlign w:val="center"/>
          </w:tcPr>
          <w:p w:rsidR="00711ADD" w:rsidRDefault="00C443F7">
            <w:pPr>
              <w:jc w:val="right"/>
            </w:pPr>
            <w:r>
              <w:rPr>
                <w:color w:val="000000"/>
                <w:sz w:val="24"/>
              </w:rPr>
              <w:t>8,972,640.60</w:t>
            </w:r>
          </w:p>
        </w:tc>
        <w:tc>
          <w:tcPr>
            <w:tcW w:w="1389" w:type="dxa"/>
            <w:vAlign w:val="center"/>
          </w:tcPr>
          <w:p w:rsidR="00711ADD" w:rsidRDefault="00C443F7">
            <w:pPr>
              <w:jc w:val="right"/>
            </w:pPr>
            <w:r>
              <w:rPr>
                <w:color w:val="000000"/>
                <w:sz w:val="24"/>
              </w:rPr>
              <w:t>9.07</w:t>
            </w:r>
          </w:p>
        </w:tc>
      </w:tr>
      <w:tr w:rsidR="00711ADD">
        <w:trPr>
          <w:jc w:val="center"/>
        </w:trPr>
        <w:tc>
          <w:tcPr>
            <w:tcW w:w="1075" w:type="dxa"/>
            <w:vAlign w:val="center"/>
          </w:tcPr>
          <w:p w:rsidR="00711ADD" w:rsidRDefault="00C443F7">
            <w:pPr>
              <w:jc w:val="center"/>
            </w:pPr>
            <w:r>
              <w:rPr>
                <w:color w:val="000000"/>
                <w:sz w:val="24"/>
              </w:rPr>
              <w:t>4</w:t>
            </w:r>
          </w:p>
        </w:tc>
        <w:tc>
          <w:tcPr>
            <w:tcW w:w="1533" w:type="dxa"/>
            <w:vAlign w:val="center"/>
          </w:tcPr>
          <w:p w:rsidR="00711ADD" w:rsidRDefault="00C443F7">
            <w:pPr>
              <w:jc w:val="center"/>
            </w:pPr>
            <w:r>
              <w:rPr>
                <w:color w:val="000000"/>
                <w:sz w:val="24"/>
              </w:rPr>
              <w:t>041455002</w:t>
            </w:r>
          </w:p>
        </w:tc>
        <w:tc>
          <w:tcPr>
            <w:tcW w:w="1533" w:type="dxa"/>
            <w:vAlign w:val="center"/>
          </w:tcPr>
          <w:p w:rsidR="00711ADD" w:rsidRDefault="00C443F7">
            <w:pPr>
              <w:jc w:val="center"/>
            </w:pPr>
            <w:r>
              <w:rPr>
                <w:color w:val="000000"/>
                <w:sz w:val="24"/>
              </w:rPr>
              <w:t>14</w:t>
            </w:r>
            <w:r>
              <w:rPr>
                <w:color w:val="000000"/>
                <w:sz w:val="24"/>
              </w:rPr>
              <w:t>绵阳科发</w:t>
            </w:r>
            <w:r>
              <w:rPr>
                <w:color w:val="000000"/>
                <w:sz w:val="24"/>
              </w:rPr>
              <w:t>CP001</w:t>
            </w:r>
          </w:p>
        </w:tc>
        <w:tc>
          <w:tcPr>
            <w:tcW w:w="1394" w:type="dxa"/>
            <w:vAlign w:val="center"/>
          </w:tcPr>
          <w:p w:rsidR="00711ADD" w:rsidRDefault="00C443F7">
            <w:pPr>
              <w:jc w:val="right"/>
            </w:pPr>
            <w:r>
              <w:rPr>
                <w:color w:val="000000"/>
                <w:sz w:val="24"/>
              </w:rPr>
              <w:t>80,000</w:t>
            </w:r>
          </w:p>
        </w:tc>
        <w:tc>
          <w:tcPr>
            <w:tcW w:w="1944" w:type="dxa"/>
            <w:vAlign w:val="center"/>
          </w:tcPr>
          <w:p w:rsidR="00711ADD" w:rsidRDefault="00C443F7">
            <w:pPr>
              <w:jc w:val="right"/>
            </w:pPr>
            <w:r>
              <w:rPr>
                <w:color w:val="000000"/>
                <w:sz w:val="24"/>
              </w:rPr>
              <w:t>8,108,000.00</w:t>
            </w:r>
          </w:p>
        </w:tc>
        <w:tc>
          <w:tcPr>
            <w:tcW w:w="1389" w:type="dxa"/>
            <w:vAlign w:val="center"/>
          </w:tcPr>
          <w:p w:rsidR="00711ADD" w:rsidRDefault="00C443F7">
            <w:pPr>
              <w:jc w:val="right"/>
            </w:pPr>
            <w:r>
              <w:rPr>
                <w:color w:val="000000"/>
                <w:sz w:val="24"/>
              </w:rPr>
              <w:t>8.19</w:t>
            </w:r>
          </w:p>
        </w:tc>
      </w:tr>
      <w:tr w:rsidR="00711ADD">
        <w:trPr>
          <w:jc w:val="center"/>
        </w:trPr>
        <w:tc>
          <w:tcPr>
            <w:tcW w:w="1075" w:type="dxa"/>
            <w:vAlign w:val="center"/>
          </w:tcPr>
          <w:p w:rsidR="00711ADD" w:rsidRDefault="00C443F7">
            <w:pPr>
              <w:jc w:val="center"/>
            </w:pPr>
            <w:r>
              <w:rPr>
                <w:color w:val="000000"/>
                <w:sz w:val="24"/>
              </w:rPr>
              <w:t>5</w:t>
            </w:r>
          </w:p>
        </w:tc>
        <w:tc>
          <w:tcPr>
            <w:tcW w:w="1533" w:type="dxa"/>
            <w:vAlign w:val="center"/>
          </w:tcPr>
          <w:p w:rsidR="00711ADD" w:rsidRDefault="00C443F7">
            <w:pPr>
              <w:jc w:val="center"/>
            </w:pPr>
            <w:r>
              <w:rPr>
                <w:color w:val="000000"/>
                <w:sz w:val="24"/>
              </w:rPr>
              <w:t>041456001</w:t>
            </w:r>
          </w:p>
        </w:tc>
        <w:tc>
          <w:tcPr>
            <w:tcW w:w="1533" w:type="dxa"/>
            <w:vAlign w:val="center"/>
          </w:tcPr>
          <w:p w:rsidR="00711ADD" w:rsidRDefault="00C443F7">
            <w:pPr>
              <w:jc w:val="center"/>
            </w:pPr>
            <w:r>
              <w:rPr>
                <w:color w:val="000000"/>
                <w:sz w:val="24"/>
              </w:rPr>
              <w:t>14</w:t>
            </w:r>
            <w:r>
              <w:rPr>
                <w:color w:val="000000"/>
                <w:sz w:val="24"/>
              </w:rPr>
              <w:t>漳电</w:t>
            </w:r>
            <w:r>
              <w:rPr>
                <w:color w:val="000000"/>
                <w:sz w:val="24"/>
              </w:rPr>
              <w:t>CP001</w:t>
            </w:r>
          </w:p>
        </w:tc>
        <w:tc>
          <w:tcPr>
            <w:tcW w:w="1394" w:type="dxa"/>
            <w:vAlign w:val="center"/>
          </w:tcPr>
          <w:p w:rsidR="00711ADD" w:rsidRDefault="00C443F7">
            <w:pPr>
              <w:jc w:val="right"/>
            </w:pPr>
            <w:r>
              <w:rPr>
                <w:color w:val="000000"/>
                <w:sz w:val="24"/>
              </w:rPr>
              <w:t>80,000</w:t>
            </w:r>
          </w:p>
        </w:tc>
        <w:tc>
          <w:tcPr>
            <w:tcW w:w="1944" w:type="dxa"/>
            <w:vAlign w:val="center"/>
          </w:tcPr>
          <w:p w:rsidR="00711ADD" w:rsidRDefault="00C443F7">
            <w:pPr>
              <w:jc w:val="right"/>
            </w:pPr>
            <w:r>
              <w:rPr>
                <w:color w:val="000000"/>
                <w:sz w:val="24"/>
              </w:rPr>
              <w:t>8,104,800.00</w:t>
            </w:r>
          </w:p>
        </w:tc>
        <w:tc>
          <w:tcPr>
            <w:tcW w:w="1389" w:type="dxa"/>
            <w:vAlign w:val="center"/>
          </w:tcPr>
          <w:p w:rsidR="00711ADD" w:rsidRDefault="00C443F7">
            <w:pPr>
              <w:jc w:val="right"/>
            </w:pPr>
            <w:r>
              <w:rPr>
                <w:color w:val="000000"/>
                <w:sz w:val="24"/>
              </w:rPr>
              <w:t>8.19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443F7">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28,440.46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3,257,730.88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2,480.03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3,288,651.37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711ADD">
        <w:trPr>
          <w:jc w:val="center"/>
        </w:trPr>
        <w:tc>
          <w:tcPr>
            <w:tcW w:w="0" w:type="auto"/>
            <w:vAlign w:val="center"/>
          </w:tcPr>
          <w:p w:rsidR="00711ADD" w:rsidRDefault="00C443F7">
            <w:pPr>
              <w:jc w:val="center"/>
            </w:pPr>
            <w:r>
              <w:rPr>
                <w:rFonts w:eastAsiaTheme="minorEastAsia"/>
                <w:color w:val="000000"/>
                <w:sz w:val="24"/>
              </w:rPr>
              <w:t>1</w:t>
            </w:r>
          </w:p>
        </w:tc>
        <w:tc>
          <w:tcPr>
            <w:tcW w:w="0" w:type="auto"/>
            <w:vAlign w:val="center"/>
          </w:tcPr>
          <w:p w:rsidR="00711ADD" w:rsidRDefault="00C443F7">
            <w:pPr>
              <w:jc w:val="center"/>
            </w:pPr>
            <w:r>
              <w:rPr>
                <w:rFonts w:eastAsiaTheme="minorEastAsia"/>
                <w:color w:val="000000"/>
                <w:sz w:val="24"/>
              </w:rPr>
              <w:t>110023</w:t>
            </w:r>
          </w:p>
        </w:tc>
        <w:tc>
          <w:tcPr>
            <w:tcW w:w="0" w:type="auto"/>
            <w:vAlign w:val="center"/>
          </w:tcPr>
          <w:p w:rsidR="00711ADD" w:rsidRDefault="00C443F7">
            <w:pPr>
              <w:jc w:val="center"/>
            </w:pPr>
            <w:r>
              <w:rPr>
                <w:rFonts w:eastAsiaTheme="minorEastAsia"/>
                <w:color w:val="000000"/>
                <w:sz w:val="24"/>
              </w:rPr>
              <w:t>民生转债</w:t>
            </w:r>
          </w:p>
        </w:tc>
        <w:tc>
          <w:tcPr>
            <w:tcW w:w="0" w:type="auto"/>
            <w:vAlign w:val="center"/>
          </w:tcPr>
          <w:p w:rsidR="00711ADD" w:rsidRDefault="00C443F7">
            <w:pPr>
              <w:jc w:val="right"/>
            </w:pPr>
            <w:r>
              <w:rPr>
                <w:rFonts w:eastAsiaTheme="minorEastAsia"/>
                <w:color w:val="000000"/>
                <w:sz w:val="24"/>
              </w:rPr>
              <w:t>967,890.00</w:t>
            </w:r>
          </w:p>
        </w:tc>
        <w:tc>
          <w:tcPr>
            <w:tcW w:w="0" w:type="auto"/>
            <w:vAlign w:val="center"/>
          </w:tcPr>
          <w:p w:rsidR="00711ADD" w:rsidRDefault="00C443F7">
            <w:pPr>
              <w:jc w:val="right"/>
            </w:pPr>
            <w:r>
              <w:rPr>
                <w:rFonts w:eastAsiaTheme="minorEastAsia"/>
                <w:color w:val="000000"/>
                <w:sz w:val="24"/>
              </w:rPr>
              <w:t>0.98</w:t>
            </w:r>
          </w:p>
        </w:tc>
      </w:tr>
      <w:tr w:rsidR="00711ADD">
        <w:trPr>
          <w:jc w:val="center"/>
        </w:trPr>
        <w:tc>
          <w:tcPr>
            <w:tcW w:w="0" w:type="auto"/>
            <w:vAlign w:val="center"/>
          </w:tcPr>
          <w:p w:rsidR="00711ADD" w:rsidRDefault="00C443F7">
            <w:pPr>
              <w:jc w:val="center"/>
            </w:pPr>
            <w:r>
              <w:rPr>
                <w:rFonts w:eastAsiaTheme="minorEastAsia"/>
                <w:color w:val="000000"/>
                <w:sz w:val="24"/>
              </w:rPr>
              <w:t>2</w:t>
            </w:r>
          </w:p>
        </w:tc>
        <w:tc>
          <w:tcPr>
            <w:tcW w:w="0" w:type="auto"/>
            <w:vAlign w:val="center"/>
          </w:tcPr>
          <w:p w:rsidR="00711ADD" w:rsidRDefault="00C443F7">
            <w:pPr>
              <w:jc w:val="center"/>
            </w:pPr>
            <w:r>
              <w:rPr>
                <w:rFonts w:eastAsiaTheme="minorEastAsia"/>
                <w:color w:val="000000"/>
                <w:sz w:val="24"/>
              </w:rPr>
              <w:t>113002</w:t>
            </w:r>
          </w:p>
        </w:tc>
        <w:tc>
          <w:tcPr>
            <w:tcW w:w="0" w:type="auto"/>
            <w:vAlign w:val="center"/>
          </w:tcPr>
          <w:p w:rsidR="00711ADD" w:rsidRDefault="00C443F7">
            <w:pPr>
              <w:jc w:val="center"/>
            </w:pPr>
            <w:r>
              <w:rPr>
                <w:rFonts w:eastAsiaTheme="minorEastAsia"/>
                <w:color w:val="000000"/>
                <w:sz w:val="24"/>
              </w:rPr>
              <w:t>工行转债</w:t>
            </w:r>
          </w:p>
        </w:tc>
        <w:tc>
          <w:tcPr>
            <w:tcW w:w="0" w:type="auto"/>
            <w:vAlign w:val="center"/>
          </w:tcPr>
          <w:p w:rsidR="00711ADD" w:rsidRDefault="00C443F7">
            <w:pPr>
              <w:jc w:val="right"/>
            </w:pPr>
            <w:r>
              <w:rPr>
                <w:rFonts w:eastAsiaTheme="minorEastAsia"/>
                <w:color w:val="000000"/>
                <w:sz w:val="24"/>
              </w:rPr>
              <w:t>895,140.00</w:t>
            </w:r>
          </w:p>
        </w:tc>
        <w:tc>
          <w:tcPr>
            <w:tcW w:w="0" w:type="auto"/>
            <w:vAlign w:val="center"/>
          </w:tcPr>
          <w:p w:rsidR="00711ADD" w:rsidRDefault="00C443F7">
            <w:pPr>
              <w:jc w:val="right"/>
            </w:pPr>
            <w:r>
              <w:rPr>
                <w:rFonts w:eastAsiaTheme="minorEastAsia"/>
                <w:color w:val="000000"/>
                <w:sz w:val="24"/>
              </w:rPr>
              <w:t>0.90</w:t>
            </w:r>
          </w:p>
        </w:tc>
      </w:tr>
      <w:tr w:rsidR="00711ADD">
        <w:trPr>
          <w:jc w:val="center"/>
        </w:trPr>
        <w:tc>
          <w:tcPr>
            <w:tcW w:w="0" w:type="auto"/>
            <w:vAlign w:val="center"/>
          </w:tcPr>
          <w:p w:rsidR="00711ADD" w:rsidRDefault="00C443F7">
            <w:pPr>
              <w:jc w:val="center"/>
            </w:pPr>
            <w:r>
              <w:rPr>
                <w:rFonts w:eastAsiaTheme="minorEastAsia"/>
                <w:color w:val="000000"/>
                <w:sz w:val="24"/>
              </w:rPr>
              <w:t>3</w:t>
            </w:r>
          </w:p>
        </w:tc>
        <w:tc>
          <w:tcPr>
            <w:tcW w:w="0" w:type="auto"/>
            <w:vAlign w:val="center"/>
          </w:tcPr>
          <w:p w:rsidR="00711ADD" w:rsidRDefault="00C443F7">
            <w:pPr>
              <w:jc w:val="center"/>
            </w:pPr>
            <w:r>
              <w:rPr>
                <w:rFonts w:eastAsiaTheme="minorEastAsia"/>
                <w:color w:val="000000"/>
                <w:sz w:val="24"/>
              </w:rPr>
              <w:t>127002</w:t>
            </w:r>
          </w:p>
        </w:tc>
        <w:tc>
          <w:tcPr>
            <w:tcW w:w="0" w:type="auto"/>
            <w:vAlign w:val="center"/>
          </w:tcPr>
          <w:p w:rsidR="00711ADD" w:rsidRDefault="00C443F7">
            <w:pPr>
              <w:jc w:val="center"/>
            </w:pPr>
            <w:r>
              <w:rPr>
                <w:rFonts w:eastAsiaTheme="minorEastAsia"/>
                <w:color w:val="000000"/>
                <w:sz w:val="24"/>
              </w:rPr>
              <w:t>徐工转债</w:t>
            </w:r>
          </w:p>
        </w:tc>
        <w:tc>
          <w:tcPr>
            <w:tcW w:w="0" w:type="auto"/>
            <w:vAlign w:val="center"/>
          </w:tcPr>
          <w:p w:rsidR="00711ADD" w:rsidRDefault="00C443F7">
            <w:pPr>
              <w:jc w:val="right"/>
            </w:pPr>
            <w:r>
              <w:rPr>
                <w:rFonts w:eastAsiaTheme="minorEastAsia"/>
                <w:color w:val="000000"/>
                <w:sz w:val="24"/>
              </w:rPr>
              <w:t>541,782.18</w:t>
            </w:r>
          </w:p>
        </w:tc>
        <w:tc>
          <w:tcPr>
            <w:tcW w:w="0" w:type="auto"/>
            <w:vAlign w:val="center"/>
          </w:tcPr>
          <w:p w:rsidR="00711ADD" w:rsidRDefault="00C443F7">
            <w:pPr>
              <w:jc w:val="right"/>
            </w:pPr>
            <w:r>
              <w:rPr>
                <w:rFonts w:eastAsiaTheme="minorEastAsia"/>
                <w:color w:val="000000"/>
                <w:sz w:val="24"/>
              </w:rPr>
              <w:t>0.55</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711ADD">
        <w:trPr>
          <w:jc w:val="center"/>
        </w:trPr>
        <w:tc>
          <w:tcPr>
            <w:tcW w:w="1129" w:type="dxa"/>
            <w:vAlign w:val="center"/>
          </w:tcPr>
          <w:p w:rsidR="00711ADD" w:rsidRDefault="00C443F7">
            <w:pPr>
              <w:jc w:val="center"/>
            </w:pPr>
            <w:r>
              <w:rPr>
                <w:rFonts w:eastAsiaTheme="minorEastAsia"/>
                <w:color w:val="000000"/>
                <w:sz w:val="24"/>
              </w:rPr>
              <w:t>1</w:t>
            </w:r>
          </w:p>
        </w:tc>
        <w:tc>
          <w:tcPr>
            <w:tcW w:w="1356" w:type="dxa"/>
            <w:vAlign w:val="center"/>
          </w:tcPr>
          <w:p w:rsidR="00711ADD" w:rsidRDefault="00C443F7">
            <w:pPr>
              <w:jc w:val="center"/>
            </w:pPr>
            <w:r>
              <w:rPr>
                <w:rFonts w:eastAsiaTheme="minorEastAsia"/>
                <w:color w:val="000000"/>
                <w:sz w:val="24"/>
              </w:rPr>
              <w:t>600428</w:t>
            </w:r>
          </w:p>
        </w:tc>
        <w:tc>
          <w:tcPr>
            <w:tcW w:w="1355" w:type="dxa"/>
            <w:vAlign w:val="center"/>
          </w:tcPr>
          <w:p w:rsidR="00711ADD" w:rsidRDefault="00C443F7">
            <w:pPr>
              <w:jc w:val="center"/>
            </w:pPr>
            <w:r>
              <w:rPr>
                <w:rFonts w:eastAsiaTheme="minorEastAsia"/>
                <w:color w:val="000000"/>
                <w:sz w:val="24"/>
              </w:rPr>
              <w:t>中远航运</w:t>
            </w:r>
          </w:p>
        </w:tc>
        <w:tc>
          <w:tcPr>
            <w:tcW w:w="1880" w:type="dxa"/>
            <w:vAlign w:val="center"/>
          </w:tcPr>
          <w:p w:rsidR="00711ADD" w:rsidRDefault="00C443F7">
            <w:pPr>
              <w:jc w:val="right"/>
            </w:pPr>
            <w:r>
              <w:rPr>
                <w:rFonts w:eastAsiaTheme="minorEastAsia"/>
                <w:color w:val="000000"/>
                <w:sz w:val="24"/>
              </w:rPr>
              <w:t>400,000.00</w:t>
            </w:r>
          </w:p>
        </w:tc>
        <w:tc>
          <w:tcPr>
            <w:tcW w:w="1724" w:type="dxa"/>
            <w:vAlign w:val="center"/>
          </w:tcPr>
          <w:p w:rsidR="00711ADD" w:rsidRDefault="00C443F7">
            <w:pPr>
              <w:jc w:val="right"/>
            </w:pPr>
            <w:r>
              <w:rPr>
                <w:rFonts w:eastAsiaTheme="minorEastAsia"/>
                <w:color w:val="000000"/>
                <w:sz w:val="24"/>
              </w:rPr>
              <w:t>0.40</w:t>
            </w:r>
          </w:p>
        </w:tc>
        <w:tc>
          <w:tcPr>
            <w:tcW w:w="1424" w:type="dxa"/>
            <w:vAlign w:val="center"/>
          </w:tcPr>
          <w:p w:rsidR="00711ADD" w:rsidRDefault="00C443F7">
            <w:pPr>
              <w:jc w:val="right"/>
            </w:pPr>
            <w:r>
              <w:rPr>
                <w:rFonts w:eastAsiaTheme="minorEastAsia"/>
                <w:color w:val="000000"/>
                <w:sz w:val="24"/>
              </w:rPr>
              <w:t>重大事项</w:t>
            </w:r>
          </w:p>
        </w:tc>
      </w:tr>
      <w:tr w:rsidR="00711ADD">
        <w:trPr>
          <w:jc w:val="center"/>
        </w:trPr>
        <w:tc>
          <w:tcPr>
            <w:tcW w:w="1129" w:type="dxa"/>
            <w:vAlign w:val="center"/>
          </w:tcPr>
          <w:p w:rsidR="00711ADD" w:rsidRDefault="00C443F7">
            <w:pPr>
              <w:jc w:val="center"/>
            </w:pPr>
            <w:r>
              <w:rPr>
                <w:rFonts w:eastAsiaTheme="minorEastAsia"/>
                <w:color w:val="000000"/>
                <w:sz w:val="24"/>
              </w:rPr>
              <w:t>2</w:t>
            </w:r>
          </w:p>
        </w:tc>
        <w:tc>
          <w:tcPr>
            <w:tcW w:w="1356" w:type="dxa"/>
            <w:vAlign w:val="center"/>
          </w:tcPr>
          <w:p w:rsidR="00711ADD" w:rsidRDefault="00C443F7">
            <w:pPr>
              <w:jc w:val="center"/>
            </w:pPr>
            <w:r>
              <w:rPr>
                <w:rFonts w:eastAsiaTheme="minorEastAsia"/>
                <w:color w:val="000000"/>
                <w:sz w:val="24"/>
              </w:rPr>
              <w:t>600754</w:t>
            </w:r>
          </w:p>
        </w:tc>
        <w:tc>
          <w:tcPr>
            <w:tcW w:w="1355" w:type="dxa"/>
            <w:vAlign w:val="center"/>
          </w:tcPr>
          <w:p w:rsidR="00711ADD" w:rsidRDefault="00C443F7">
            <w:pPr>
              <w:jc w:val="center"/>
            </w:pPr>
            <w:r>
              <w:rPr>
                <w:rFonts w:eastAsiaTheme="minorEastAsia"/>
                <w:color w:val="000000"/>
                <w:sz w:val="24"/>
              </w:rPr>
              <w:t>锦江股份</w:t>
            </w:r>
          </w:p>
        </w:tc>
        <w:tc>
          <w:tcPr>
            <w:tcW w:w="1880" w:type="dxa"/>
            <w:vAlign w:val="center"/>
          </w:tcPr>
          <w:p w:rsidR="00711ADD" w:rsidRDefault="00C443F7">
            <w:pPr>
              <w:jc w:val="right"/>
            </w:pPr>
            <w:r>
              <w:rPr>
                <w:rFonts w:eastAsiaTheme="minorEastAsia"/>
                <w:color w:val="000000"/>
                <w:sz w:val="24"/>
              </w:rPr>
              <w:t>251,100.00</w:t>
            </w:r>
          </w:p>
        </w:tc>
        <w:tc>
          <w:tcPr>
            <w:tcW w:w="1724" w:type="dxa"/>
            <w:vAlign w:val="center"/>
          </w:tcPr>
          <w:p w:rsidR="00711ADD" w:rsidRDefault="00C443F7">
            <w:pPr>
              <w:jc w:val="right"/>
            </w:pPr>
            <w:r>
              <w:rPr>
                <w:rFonts w:eastAsiaTheme="minorEastAsia"/>
                <w:color w:val="000000"/>
                <w:sz w:val="24"/>
              </w:rPr>
              <w:t>0.25</w:t>
            </w:r>
          </w:p>
        </w:tc>
        <w:tc>
          <w:tcPr>
            <w:tcW w:w="1424" w:type="dxa"/>
            <w:vAlign w:val="center"/>
          </w:tcPr>
          <w:p w:rsidR="00711ADD" w:rsidRDefault="00C443F7">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D47A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49,983,961.48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7,059,825.26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26,505,657.08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49,768,059.64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33,950,904.05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15,759,442.77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42,538,714.51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41,068,442.13</w:t>
            </w:r>
          </w:p>
        </w:tc>
      </w:tr>
    </w:tbl>
    <w:p w:rsidR="00711ADD" w:rsidRDefault="00C443F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D47A5">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7D47A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Default="00105AD5" w:rsidP="00AF6884">
      <w:pPr>
        <w:spacing w:before="29" w:line="288" w:lineRule="auto"/>
        <w:rPr>
          <w:rFonts w:eastAsiaTheme="minorEastAsia"/>
          <w:color w:val="000000"/>
          <w:sz w:val="24"/>
        </w:rPr>
      </w:pPr>
      <w:r>
        <w:rPr>
          <w:rFonts w:eastAsiaTheme="minorEastAsia" w:hint="eastAsia"/>
          <w:color w:val="000000"/>
          <w:sz w:val="24"/>
        </w:rPr>
        <w:t>1</w:t>
      </w:r>
      <w:r>
        <w:rPr>
          <w:rFonts w:eastAsiaTheme="minorEastAsia" w:hint="eastAsia"/>
          <w:color w:val="000000"/>
          <w:sz w:val="24"/>
        </w:rPr>
        <w:t>、</w:t>
      </w:r>
      <w:r w:rsidR="00FB3C94" w:rsidRPr="007F52FA">
        <w:rPr>
          <w:rFonts w:eastAsiaTheme="minorEastAsia"/>
          <w:color w:val="000000"/>
          <w:sz w:val="24"/>
        </w:rPr>
        <w:t>依据中国证监会《关于进一步规范证券投资基金估值业务的指导意见》（证监会公告</w:t>
      </w:r>
      <w:r w:rsidR="00FB3C94" w:rsidRPr="007F52FA">
        <w:rPr>
          <w:rFonts w:eastAsiaTheme="minorEastAsia"/>
          <w:color w:val="000000"/>
          <w:sz w:val="24"/>
        </w:rPr>
        <w:t>[2008]38</w:t>
      </w:r>
      <w:r w:rsidR="00FB3C94" w:rsidRPr="007F52FA">
        <w:rPr>
          <w:rFonts w:eastAsiaTheme="minorEastAsia"/>
          <w:color w:val="000000"/>
          <w:sz w:val="24"/>
        </w:rPr>
        <w:t>号）的有关规定和《关于发布中基协（</w:t>
      </w:r>
      <w:r w:rsidR="00FB3C94" w:rsidRPr="007F52FA">
        <w:rPr>
          <w:rFonts w:eastAsiaTheme="minorEastAsia"/>
          <w:color w:val="000000"/>
          <w:sz w:val="24"/>
        </w:rPr>
        <w:t>AMAC</w:t>
      </w:r>
      <w:r w:rsidR="00FB3C94" w:rsidRPr="007F52FA">
        <w:rPr>
          <w:rFonts w:eastAsiaTheme="minorEastAsia"/>
          <w:color w:val="000000"/>
          <w:sz w:val="24"/>
        </w:rPr>
        <w:t>）基金行业股票估值指数的通知》的指导意见，经与基金托管人协商一致，本基金对其所持有的中航飞机（证券代码：</w:t>
      </w:r>
      <w:r w:rsidR="00FB3C94" w:rsidRPr="007F52FA">
        <w:rPr>
          <w:rFonts w:eastAsiaTheme="minorEastAsia"/>
          <w:color w:val="000000"/>
          <w:sz w:val="24"/>
        </w:rPr>
        <w:t>000768</w:t>
      </w:r>
      <w:r w:rsidR="00FB3C94" w:rsidRPr="007F52FA">
        <w:rPr>
          <w:rFonts w:eastAsiaTheme="minorEastAsia"/>
          <w:color w:val="000000"/>
          <w:sz w:val="24"/>
        </w:rPr>
        <w:t>）股票自</w:t>
      </w:r>
      <w:r w:rsidR="00FB3C94" w:rsidRPr="007F52FA">
        <w:rPr>
          <w:rFonts w:eastAsiaTheme="minorEastAsia"/>
          <w:color w:val="000000"/>
          <w:sz w:val="24"/>
        </w:rPr>
        <w:t>2014</w:t>
      </w:r>
      <w:r w:rsidR="00FB3C94" w:rsidRPr="007F52FA">
        <w:rPr>
          <w:rFonts w:eastAsiaTheme="minorEastAsia"/>
          <w:color w:val="000000"/>
          <w:sz w:val="24"/>
        </w:rPr>
        <w:t>年</w:t>
      </w:r>
      <w:r w:rsidR="00FB3C94" w:rsidRPr="007F52FA">
        <w:rPr>
          <w:rFonts w:eastAsiaTheme="minorEastAsia"/>
          <w:color w:val="000000"/>
          <w:sz w:val="24"/>
        </w:rPr>
        <w:t>10</w:t>
      </w:r>
      <w:r w:rsidR="00FB3C94" w:rsidRPr="007F52FA">
        <w:rPr>
          <w:rFonts w:eastAsiaTheme="minorEastAsia"/>
          <w:color w:val="000000"/>
          <w:sz w:val="24"/>
        </w:rPr>
        <w:t>月</w:t>
      </w:r>
      <w:r w:rsidR="00FB3C94" w:rsidRPr="007F52FA">
        <w:rPr>
          <w:rFonts w:eastAsiaTheme="minorEastAsia"/>
          <w:color w:val="000000"/>
          <w:sz w:val="24"/>
        </w:rPr>
        <w:t>8</w:t>
      </w:r>
      <w:r w:rsidR="00FB3C94" w:rsidRPr="007F52FA">
        <w:rPr>
          <w:rFonts w:eastAsiaTheme="minorEastAsia"/>
          <w:color w:val="000000"/>
          <w:sz w:val="24"/>
        </w:rPr>
        <w:t>日起按照指数收益法进行估值，并已于</w:t>
      </w:r>
      <w:r w:rsidR="00FB3C94" w:rsidRPr="007F52FA">
        <w:rPr>
          <w:rFonts w:eastAsiaTheme="minorEastAsia"/>
          <w:color w:val="000000"/>
          <w:sz w:val="24"/>
        </w:rPr>
        <w:t>2014</w:t>
      </w:r>
      <w:r w:rsidR="00FB3C94" w:rsidRPr="007F52FA">
        <w:rPr>
          <w:rFonts w:eastAsiaTheme="minorEastAsia"/>
          <w:color w:val="000000"/>
          <w:sz w:val="24"/>
        </w:rPr>
        <w:t>年</w:t>
      </w:r>
      <w:r w:rsidR="00FB3C94" w:rsidRPr="007F52FA">
        <w:rPr>
          <w:rFonts w:eastAsiaTheme="minorEastAsia"/>
          <w:color w:val="000000"/>
          <w:sz w:val="24"/>
        </w:rPr>
        <w:t>10</w:t>
      </w:r>
      <w:r w:rsidR="00FB3C94" w:rsidRPr="007F52FA">
        <w:rPr>
          <w:rFonts w:eastAsiaTheme="minorEastAsia"/>
          <w:color w:val="000000"/>
          <w:sz w:val="24"/>
        </w:rPr>
        <w:t>月</w:t>
      </w:r>
      <w:r w:rsidR="00FB3C94" w:rsidRPr="007F52FA">
        <w:rPr>
          <w:rFonts w:eastAsiaTheme="minorEastAsia"/>
          <w:color w:val="000000"/>
          <w:sz w:val="24"/>
        </w:rPr>
        <w:t>17</w:t>
      </w:r>
      <w:r w:rsidR="00FB3C94" w:rsidRPr="007F52FA">
        <w:rPr>
          <w:rFonts w:eastAsiaTheme="minorEastAsia"/>
          <w:color w:val="000000"/>
          <w:sz w:val="24"/>
        </w:rPr>
        <w:t>日起恢复按市场价格进行估值。</w:t>
      </w:r>
    </w:p>
    <w:p w:rsidR="00105AD5" w:rsidRPr="00105AD5" w:rsidRDefault="00105AD5" w:rsidP="00AF6884">
      <w:pPr>
        <w:spacing w:before="29" w:line="288" w:lineRule="auto"/>
        <w:rPr>
          <w:rFonts w:eastAsiaTheme="minorEastAsia"/>
          <w:color w:val="000000"/>
          <w:sz w:val="24"/>
        </w:rPr>
      </w:pPr>
      <w:r>
        <w:rPr>
          <w:rFonts w:eastAsiaTheme="minorEastAsia" w:hint="eastAsia"/>
          <w:color w:val="000000"/>
          <w:sz w:val="24"/>
        </w:rPr>
        <w:t>2</w:t>
      </w:r>
      <w:r>
        <w:rPr>
          <w:rFonts w:eastAsiaTheme="minorEastAsia" w:hint="eastAsia"/>
          <w:color w:val="000000"/>
          <w:sz w:val="24"/>
        </w:rPr>
        <w:t>、</w:t>
      </w:r>
      <w:r w:rsidRPr="00105AD5">
        <w:rPr>
          <w:rFonts w:eastAsiaTheme="minorEastAsia" w:hint="eastAsia"/>
          <w:color w:val="000000"/>
          <w:sz w:val="24"/>
        </w:rPr>
        <w:t>本基金托管人</w:t>
      </w:r>
      <w:r w:rsidRPr="00105AD5">
        <w:rPr>
          <w:rFonts w:eastAsiaTheme="minorEastAsia" w:hint="eastAsia"/>
          <w:color w:val="000000"/>
          <w:sz w:val="24"/>
        </w:rPr>
        <w:t>2014</w:t>
      </w:r>
      <w:r w:rsidRPr="00105AD5">
        <w:rPr>
          <w:rFonts w:eastAsiaTheme="minorEastAsia" w:hint="eastAsia"/>
          <w:color w:val="000000"/>
          <w:sz w:val="24"/>
        </w:rPr>
        <w:t>年</w:t>
      </w:r>
      <w:r w:rsidR="00E621BC">
        <w:rPr>
          <w:rFonts w:eastAsiaTheme="minorEastAsia"/>
          <w:color w:val="000000"/>
          <w:sz w:val="24"/>
        </w:rPr>
        <w:t>11</w:t>
      </w:r>
      <w:r w:rsidRPr="00105AD5">
        <w:rPr>
          <w:rFonts w:eastAsiaTheme="minorEastAsia" w:hint="eastAsia"/>
          <w:color w:val="000000"/>
          <w:sz w:val="24"/>
        </w:rPr>
        <w:t>月</w:t>
      </w:r>
      <w:r w:rsidR="00E621BC">
        <w:rPr>
          <w:rFonts w:eastAsiaTheme="minorEastAsia"/>
          <w:color w:val="000000"/>
          <w:sz w:val="24"/>
        </w:rPr>
        <w:t>3</w:t>
      </w:r>
      <w:bookmarkStart w:id="0" w:name="_GoBack"/>
      <w:bookmarkEnd w:id="0"/>
      <w:r w:rsidRPr="00105AD5">
        <w:rPr>
          <w:rFonts w:eastAsiaTheme="minorEastAsia" w:hint="eastAsia"/>
          <w:color w:val="000000"/>
          <w:sz w:val="24"/>
        </w:rPr>
        <w:t>日发布公告，聘任赵观甫为中国建设银行投资托管业务部总经理。</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7D47A5">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711ADD" w:rsidRDefault="00C443F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A9" w:rsidRDefault="00FE31A9">
      <w:r>
        <w:separator/>
      </w:r>
    </w:p>
  </w:endnote>
  <w:endnote w:type="continuationSeparator" w:id="0">
    <w:p w:rsidR="00FE31A9" w:rsidRDefault="00FE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2E20CE">
      <w:rPr>
        <w:kern w:val="0"/>
        <w:szCs w:val="21"/>
      </w:rPr>
      <w:fldChar w:fldCharType="begin"/>
    </w:r>
    <w:r>
      <w:rPr>
        <w:kern w:val="0"/>
        <w:szCs w:val="21"/>
      </w:rPr>
      <w:instrText xml:space="preserve"> PAGE </w:instrText>
    </w:r>
    <w:r w:rsidR="002E20CE">
      <w:rPr>
        <w:kern w:val="0"/>
        <w:szCs w:val="21"/>
      </w:rPr>
      <w:fldChar w:fldCharType="separate"/>
    </w:r>
    <w:r w:rsidR="00E621BC">
      <w:rPr>
        <w:noProof/>
        <w:kern w:val="0"/>
        <w:szCs w:val="21"/>
      </w:rPr>
      <w:t>13</w:t>
    </w:r>
    <w:r w:rsidR="002E20CE">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2E20CE">
      <w:rPr>
        <w:kern w:val="0"/>
        <w:szCs w:val="21"/>
      </w:rPr>
      <w:fldChar w:fldCharType="begin"/>
    </w:r>
    <w:r>
      <w:rPr>
        <w:kern w:val="0"/>
        <w:szCs w:val="21"/>
      </w:rPr>
      <w:instrText xml:space="preserve"> NUMPAGES </w:instrText>
    </w:r>
    <w:r w:rsidR="002E20CE">
      <w:rPr>
        <w:kern w:val="0"/>
        <w:szCs w:val="21"/>
      </w:rPr>
      <w:fldChar w:fldCharType="separate"/>
    </w:r>
    <w:r w:rsidR="00E621BC">
      <w:rPr>
        <w:noProof/>
        <w:kern w:val="0"/>
        <w:szCs w:val="21"/>
      </w:rPr>
      <w:t>14</w:t>
    </w:r>
    <w:r w:rsidR="002E20CE">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2E20CE">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A9" w:rsidRDefault="00FE31A9">
      <w:r>
        <w:separator/>
      </w:r>
    </w:p>
  </w:footnote>
  <w:footnote w:type="continuationSeparator" w:id="0">
    <w:p w:rsidR="00FE31A9" w:rsidRDefault="00FE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E621B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34F5"/>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05AD5"/>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0CE"/>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BED"/>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1ADD"/>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47A5"/>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51F0"/>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27A1"/>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884"/>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3F7"/>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1BC"/>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31A9"/>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589A77D2-516C-4423-A9AF-73AC5804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1DD7-3679-41BE-AB93-0F6E6E43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163</TotalTime>
  <Pages>14</Pages>
  <Words>1207</Words>
  <Characters>6882</Characters>
  <Application>Microsoft Office Word</Application>
  <DocSecurity>0</DocSecurity>
  <Lines>57</Lines>
  <Paragraphs>16</Paragraphs>
  <ScaleCrop>false</ScaleCrop>
  <Company>TRT. Ltd. Co.</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361</cp:revision>
  <cp:lastPrinted>2007-07-19T00:46:00Z</cp:lastPrinted>
  <dcterms:created xsi:type="dcterms:W3CDTF">2014-01-17T06:19:00Z</dcterms:created>
  <dcterms:modified xsi:type="dcterms:W3CDTF">2015-01-20T06:50:00Z</dcterms:modified>
</cp:coreProperties>
</file>