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股票型证券投资基金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4D4DE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017A6" w:rsidRDefault="007E52F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D4DE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191,354,658.73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中信标普</w:t>
            </w:r>
            <w:r w:rsidRPr="00414345">
              <w:rPr>
                <w:color w:val="000000"/>
                <w:kern w:val="0"/>
                <w:sz w:val="24"/>
                <w:szCs w:val="24"/>
              </w:rPr>
              <w:lastRenderedPageBreak/>
              <w:t>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本基金是一只股票型基金，以成长型股票为主要投资对象，风险与预期收益高于混合基金、债券基金和货币市场基金。属于承担较高风险、预期收益较高的证券投资基金品种。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D4DE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D4DEA" w:rsidRPr="00414345" w:rsidTr="004D4DE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D4DEA" w:rsidRPr="00414345" w:rsidTr="004D4D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6,020,756.99</w:t>
            </w:r>
          </w:p>
        </w:tc>
      </w:tr>
      <w:tr w:rsidR="004D4DEA" w:rsidRPr="00414345" w:rsidTr="004D4D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15,108,472.67</w:t>
            </w:r>
          </w:p>
        </w:tc>
      </w:tr>
      <w:tr w:rsidR="004D4DEA" w:rsidRPr="00414345" w:rsidTr="004D4D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0.0429</w:t>
            </w:r>
          </w:p>
        </w:tc>
      </w:tr>
      <w:tr w:rsidR="004D4DEA" w:rsidRPr="00414345" w:rsidTr="004D4D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218,335,034.41</w:t>
            </w:r>
          </w:p>
        </w:tc>
      </w:tr>
      <w:tr w:rsidR="004D4DEA" w:rsidRPr="00414345" w:rsidTr="004D4DE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1.141</w:t>
            </w:r>
          </w:p>
        </w:tc>
      </w:tr>
    </w:tbl>
    <w:p w:rsidR="00C017A6" w:rsidRDefault="007E52F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017A6">
        <w:trPr>
          <w:jc w:val="center"/>
        </w:trPr>
        <w:tc>
          <w:tcPr>
            <w:tcW w:w="1701" w:type="dxa"/>
            <w:vAlign w:val="center"/>
          </w:tcPr>
          <w:p w:rsidR="00C017A6" w:rsidRDefault="007E52F6">
            <w:pPr>
              <w:jc w:val="left"/>
            </w:pPr>
            <w:r>
              <w:rPr>
                <w:color w:val="000000"/>
                <w:sz w:val="24"/>
                <w:szCs w:val="24"/>
              </w:rPr>
              <w:t>过去三个月</w:t>
            </w:r>
          </w:p>
        </w:tc>
        <w:tc>
          <w:tcPr>
            <w:tcW w:w="1045" w:type="dxa"/>
            <w:vAlign w:val="center"/>
          </w:tcPr>
          <w:p w:rsidR="00C017A6" w:rsidRDefault="007E52F6">
            <w:pPr>
              <w:jc w:val="center"/>
            </w:pPr>
            <w:r>
              <w:rPr>
                <w:color w:val="000000"/>
                <w:sz w:val="24"/>
                <w:szCs w:val="24"/>
              </w:rPr>
              <w:t>4.30%</w:t>
            </w:r>
          </w:p>
        </w:tc>
        <w:tc>
          <w:tcPr>
            <w:tcW w:w="1344" w:type="dxa"/>
            <w:vAlign w:val="center"/>
          </w:tcPr>
          <w:p w:rsidR="00C017A6" w:rsidRDefault="007E52F6">
            <w:pPr>
              <w:jc w:val="center"/>
            </w:pPr>
            <w:r>
              <w:rPr>
                <w:color w:val="000000"/>
                <w:sz w:val="24"/>
                <w:szCs w:val="24"/>
              </w:rPr>
              <w:t>1.12%</w:t>
            </w:r>
          </w:p>
        </w:tc>
        <w:tc>
          <w:tcPr>
            <w:tcW w:w="1194" w:type="dxa"/>
            <w:vAlign w:val="center"/>
          </w:tcPr>
          <w:p w:rsidR="00C017A6" w:rsidRDefault="007E52F6">
            <w:pPr>
              <w:jc w:val="center"/>
            </w:pPr>
            <w:r>
              <w:rPr>
                <w:color w:val="000000"/>
                <w:sz w:val="24"/>
                <w:szCs w:val="24"/>
              </w:rPr>
              <w:t>14.07%</w:t>
            </w:r>
          </w:p>
        </w:tc>
        <w:tc>
          <w:tcPr>
            <w:tcW w:w="1492" w:type="dxa"/>
            <w:vAlign w:val="center"/>
          </w:tcPr>
          <w:p w:rsidR="00C017A6" w:rsidRDefault="007E52F6">
            <w:pPr>
              <w:jc w:val="center"/>
            </w:pPr>
            <w:r>
              <w:rPr>
                <w:color w:val="000000"/>
                <w:sz w:val="24"/>
                <w:szCs w:val="24"/>
              </w:rPr>
              <w:t>1.01%</w:t>
            </w:r>
          </w:p>
        </w:tc>
        <w:tc>
          <w:tcPr>
            <w:tcW w:w="1194" w:type="dxa"/>
            <w:vAlign w:val="center"/>
          </w:tcPr>
          <w:p w:rsidR="00C017A6" w:rsidRDefault="007E52F6">
            <w:pPr>
              <w:jc w:val="center"/>
            </w:pPr>
            <w:r>
              <w:rPr>
                <w:color w:val="000000"/>
                <w:sz w:val="24"/>
                <w:szCs w:val="24"/>
              </w:rPr>
              <w:t>-9.77%</w:t>
            </w:r>
          </w:p>
        </w:tc>
        <w:tc>
          <w:tcPr>
            <w:tcW w:w="898" w:type="dxa"/>
            <w:vAlign w:val="center"/>
          </w:tcPr>
          <w:p w:rsidR="00C017A6" w:rsidRDefault="007E52F6">
            <w:pPr>
              <w:jc w:val="center"/>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交银施罗德成长</w:t>
      </w:r>
      <w:r w:rsidRPr="00414345">
        <w:rPr>
          <w:color w:val="000000"/>
          <w:sz w:val="24"/>
          <w:szCs w:val="24"/>
        </w:rPr>
        <w:t>30</w:t>
      </w:r>
      <w:r w:rsidRPr="00414345">
        <w:rPr>
          <w:color w:val="000000"/>
          <w:sz w:val="24"/>
          <w:szCs w:val="24"/>
        </w:rPr>
        <w:t>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D4DE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017A6">
        <w:trPr>
          <w:jc w:val="center"/>
        </w:trPr>
        <w:tc>
          <w:tcPr>
            <w:tcW w:w="846" w:type="dxa"/>
            <w:vAlign w:val="center"/>
          </w:tcPr>
          <w:p w:rsidR="00C017A6" w:rsidRDefault="007E52F6">
            <w:pPr>
              <w:jc w:val="center"/>
            </w:pPr>
            <w:r>
              <w:rPr>
                <w:color w:val="000000"/>
                <w:sz w:val="24"/>
                <w:szCs w:val="24"/>
              </w:rPr>
              <w:t>管华雨</w:t>
            </w:r>
          </w:p>
        </w:tc>
        <w:tc>
          <w:tcPr>
            <w:tcW w:w="845" w:type="dxa"/>
            <w:vAlign w:val="center"/>
          </w:tcPr>
          <w:p w:rsidR="00C017A6" w:rsidRDefault="007E52F6">
            <w:pPr>
              <w:jc w:val="center"/>
            </w:pPr>
            <w:r>
              <w:rPr>
                <w:color w:val="000000"/>
                <w:sz w:val="24"/>
                <w:szCs w:val="24"/>
              </w:rPr>
              <w:t>本基金、交银成长股票、交银趋势股票、交银新成长股票的基金经理，公司权益投资总监</w:t>
            </w:r>
          </w:p>
        </w:tc>
        <w:tc>
          <w:tcPr>
            <w:tcW w:w="1549" w:type="dxa"/>
            <w:vAlign w:val="center"/>
          </w:tcPr>
          <w:p w:rsidR="00C017A6" w:rsidRDefault="007E52F6">
            <w:pPr>
              <w:jc w:val="center"/>
            </w:pPr>
            <w:r>
              <w:rPr>
                <w:color w:val="000000"/>
                <w:sz w:val="24"/>
                <w:szCs w:val="24"/>
              </w:rPr>
              <w:t>2013-06-05</w:t>
            </w:r>
          </w:p>
        </w:tc>
        <w:tc>
          <w:tcPr>
            <w:tcW w:w="1548" w:type="dxa"/>
            <w:vAlign w:val="center"/>
          </w:tcPr>
          <w:p w:rsidR="00C017A6" w:rsidRDefault="007E52F6">
            <w:pPr>
              <w:jc w:val="center"/>
            </w:pPr>
            <w:r>
              <w:rPr>
                <w:color w:val="000000"/>
                <w:sz w:val="24"/>
                <w:szCs w:val="24"/>
              </w:rPr>
              <w:t>2014-10-22</w:t>
            </w:r>
          </w:p>
        </w:tc>
        <w:tc>
          <w:tcPr>
            <w:tcW w:w="1407" w:type="dxa"/>
            <w:vAlign w:val="center"/>
          </w:tcPr>
          <w:p w:rsidR="00C017A6" w:rsidRDefault="007E52F6">
            <w:pPr>
              <w:jc w:val="center"/>
            </w:pPr>
            <w:r>
              <w:rPr>
                <w:color w:val="000000"/>
                <w:sz w:val="24"/>
                <w:szCs w:val="24"/>
              </w:rPr>
              <w:t>12</w:t>
            </w:r>
            <w:r>
              <w:rPr>
                <w:color w:val="000000"/>
                <w:sz w:val="24"/>
                <w:szCs w:val="24"/>
              </w:rPr>
              <w:t>年</w:t>
            </w:r>
          </w:p>
        </w:tc>
        <w:tc>
          <w:tcPr>
            <w:tcW w:w="2673" w:type="dxa"/>
            <w:vAlign w:val="center"/>
          </w:tcPr>
          <w:p w:rsidR="00C017A6" w:rsidRDefault="007E52F6">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5</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日担任交银施罗德成长</w:t>
            </w:r>
            <w:r>
              <w:rPr>
                <w:color w:val="000000"/>
                <w:sz w:val="24"/>
                <w:szCs w:val="24"/>
              </w:rPr>
              <w:t>30</w:t>
            </w:r>
            <w:r>
              <w:rPr>
                <w:color w:val="000000"/>
                <w:sz w:val="24"/>
                <w:szCs w:val="24"/>
              </w:rPr>
              <w:t>股票型证券投资基金基金经理，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日担任交银施罗德趋势优先股票证券投资基金基金经理。</w:t>
            </w:r>
          </w:p>
        </w:tc>
      </w:tr>
      <w:tr w:rsidR="00C017A6">
        <w:trPr>
          <w:jc w:val="center"/>
        </w:trPr>
        <w:tc>
          <w:tcPr>
            <w:tcW w:w="846" w:type="dxa"/>
            <w:vAlign w:val="center"/>
          </w:tcPr>
          <w:p w:rsidR="00C017A6" w:rsidRDefault="007E52F6">
            <w:pPr>
              <w:jc w:val="center"/>
            </w:pPr>
            <w:r>
              <w:rPr>
                <w:color w:val="000000"/>
                <w:sz w:val="24"/>
                <w:szCs w:val="24"/>
              </w:rPr>
              <w:t>王少成</w:t>
            </w:r>
          </w:p>
        </w:tc>
        <w:tc>
          <w:tcPr>
            <w:tcW w:w="845" w:type="dxa"/>
            <w:vAlign w:val="center"/>
          </w:tcPr>
          <w:p w:rsidR="00C017A6" w:rsidRDefault="007E52F6">
            <w:pPr>
              <w:jc w:val="center"/>
            </w:pPr>
            <w:r>
              <w:rPr>
                <w:color w:val="000000"/>
                <w:sz w:val="24"/>
                <w:szCs w:val="24"/>
              </w:rPr>
              <w:t>本基金、交银先锋股票、交银先进制造股票的基金经理，公司权益部副总经理</w:t>
            </w:r>
          </w:p>
        </w:tc>
        <w:tc>
          <w:tcPr>
            <w:tcW w:w="1549" w:type="dxa"/>
            <w:vAlign w:val="center"/>
          </w:tcPr>
          <w:p w:rsidR="00C017A6" w:rsidRDefault="007E52F6">
            <w:pPr>
              <w:jc w:val="center"/>
            </w:pPr>
            <w:r>
              <w:rPr>
                <w:color w:val="000000"/>
                <w:sz w:val="24"/>
                <w:szCs w:val="24"/>
              </w:rPr>
              <w:t>2013-07-02</w:t>
            </w:r>
          </w:p>
        </w:tc>
        <w:tc>
          <w:tcPr>
            <w:tcW w:w="1548" w:type="dxa"/>
            <w:vAlign w:val="center"/>
          </w:tcPr>
          <w:p w:rsidR="00C017A6" w:rsidRDefault="007E52F6">
            <w:pPr>
              <w:jc w:val="center"/>
            </w:pPr>
            <w:r>
              <w:rPr>
                <w:color w:val="000000"/>
                <w:sz w:val="24"/>
                <w:szCs w:val="24"/>
              </w:rPr>
              <w:t>-</w:t>
            </w:r>
          </w:p>
        </w:tc>
        <w:tc>
          <w:tcPr>
            <w:tcW w:w="1407" w:type="dxa"/>
            <w:vAlign w:val="center"/>
          </w:tcPr>
          <w:p w:rsidR="00C017A6" w:rsidRDefault="007E52F6">
            <w:pPr>
              <w:jc w:val="center"/>
            </w:pPr>
            <w:r>
              <w:rPr>
                <w:color w:val="000000"/>
                <w:sz w:val="24"/>
                <w:szCs w:val="24"/>
              </w:rPr>
              <w:t>10</w:t>
            </w:r>
            <w:r>
              <w:rPr>
                <w:color w:val="000000"/>
                <w:sz w:val="24"/>
                <w:szCs w:val="24"/>
              </w:rPr>
              <w:t>年</w:t>
            </w:r>
          </w:p>
        </w:tc>
        <w:tc>
          <w:tcPr>
            <w:tcW w:w="2673" w:type="dxa"/>
            <w:vAlign w:val="center"/>
          </w:tcPr>
          <w:p w:rsidR="00C017A6" w:rsidRDefault="007E52F6">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017A6" w:rsidRDefault="007E52F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017A6" w:rsidRDefault="007E52F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017A6" w:rsidRDefault="007E52F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017A6" w:rsidRDefault="007E52F6">
      <w:pPr>
        <w:spacing w:before="29" w:line="288" w:lineRule="auto"/>
        <w:ind w:firstLineChars="200" w:firstLine="480"/>
        <w:rPr>
          <w:color w:val="000000"/>
          <w:sz w:val="24"/>
          <w:szCs w:val="24"/>
        </w:rPr>
      </w:pPr>
      <w:r>
        <w:rPr>
          <w:color w:val="000000"/>
          <w:sz w:val="24"/>
          <w:szCs w:val="24"/>
        </w:rPr>
        <w:t>2014</w:t>
      </w:r>
      <w:r>
        <w:rPr>
          <w:color w:val="000000"/>
          <w:sz w:val="24"/>
          <w:szCs w:val="24"/>
        </w:rPr>
        <w:t>年四季度</w:t>
      </w:r>
      <w:r>
        <w:rPr>
          <w:color w:val="000000"/>
          <w:sz w:val="24"/>
          <w:szCs w:val="24"/>
        </w:rPr>
        <w:t>A</w:t>
      </w:r>
      <w:r>
        <w:rPr>
          <w:color w:val="000000"/>
          <w:sz w:val="24"/>
          <w:szCs w:val="24"/>
        </w:rPr>
        <w:t>股市场呈现单边快速上涨的态势。市场上涨速度，融资余额增加都呈现明显几何级变化。实体经济不振，总量性的刺激政策对经济托底作用有限，进而外溢到股票市场。与刚性兑付形成的对信用风险的错误认知相比，股票资产价格泡沫让加杠杆、赚快钱的投资者形成的财富幻觉可能更加致命。</w:t>
      </w:r>
    </w:p>
    <w:p w:rsidR="00C017A6" w:rsidRDefault="007E52F6">
      <w:pPr>
        <w:spacing w:before="29" w:line="288" w:lineRule="auto"/>
        <w:ind w:firstLineChars="200" w:firstLine="480"/>
        <w:rPr>
          <w:color w:val="000000"/>
          <w:sz w:val="24"/>
          <w:szCs w:val="24"/>
        </w:rPr>
      </w:pPr>
      <w:r>
        <w:rPr>
          <w:color w:val="000000"/>
          <w:sz w:val="24"/>
          <w:szCs w:val="24"/>
        </w:rPr>
        <w:t>四季度本基金净值上涨，但由于消费和医药相关个股配置比例较高，未能跑赢业绩比较基准。杠杆驱动的市场疯涨让稳健投资者的选股方法在短期变得无效。但在中长期来看，流动性不会凭空产生，货币政策在当下作为实体经济内生变量来理解可能是更加合适的视角。</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年一季度</w:t>
      </w:r>
      <w:r w:rsidRPr="00414345">
        <w:rPr>
          <w:color w:val="000000"/>
          <w:sz w:val="24"/>
          <w:szCs w:val="24"/>
        </w:rPr>
        <w:t>A</w:t>
      </w:r>
      <w:r w:rsidRPr="00414345">
        <w:rPr>
          <w:color w:val="000000"/>
          <w:sz w:val="24"/>
          <w:szCs w:val="24"/>
        </w:rPr>
        <w:t>股市场注定是个动荡的阶段。我们也深知，并非所有的泡沫都会破灭。比如，当下的互联网泡沫，由于其正在不断外溢到实体，显著的重塑实体分工网络，泡沫更多呈现此消彼长的特征，提升整体实体经济效率而创造价值。但缺乏实体经济配合的资产价格泡沫，并不会创造价值，仅仅是改变投资者间的财富分配。本基金将适应当下的牛市氛围，将核心资产配置在转型方向的龙头个股上以期赢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1.141</w:t>
      </w:r>
      <w:r w:rsidRPr="00414345">
        <w:rPr>
          <w:color w:val="000000"/>
          <w:sz w:val="24"/>
          <w:szCs w:val="24"/>
        </w:rPr>
        <w:t>元，本报告期份额净值增长率为</w:t>
      </w:r>
      <w:r w:rsidRPr="00414345">
        <w:rPr>
          <w:color w:val="000000"/>
          <w:sz w:val="24"/>
          <w:szCs w:val="24"/>
        </w:rPr>
        <w:t>4.3%</w:t>
      </w:r>
      <w:r w:rsidRPr="00414345">
        <w:rPr>
          <w:color w:val="000000"/>
          <w:sz w:val="24"/>
          <w:szCs w:val="24"/>
        </w:rPr>
        <w:t>，同期业绩比较基准增长率为</w:t>
      </w:r>
      <w:r w:rsidRPr="00414345">
        <w:rPr>
          <w:color w:val="000000"/>
          <w:sz w:val="24"/>
          <w:szCs w:val="24"/>
        </w:rPr>
        <w:t>14.07%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4D4DEA">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4D4DE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201,354,626.10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201,354,626.10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18,248,511.15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634,106.59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220,237,243.84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152,230,841.80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6,702,205.64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23,255,152.00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19,166,426.66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201,354,626.10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017A6">
        <w:trPr>
          <w:jc w:val="center"/>
        </w:trPr>
        <w:tc>
          <w:tcPr>
            <w:tcW w:w="855" w:type="dxa"/>
            <w:vAlign w:val="center"/>
          </w:tcPr>
          <w:p w:rsidR="00C017A6" w:rsidRDefault="007E52F6">
            <w:pPr>
              <w:jc w:val="center"/>
            </w:pPr>
            <w:r>
              <w:rPr>
                <w:color w:val="000000"/>
                <w:sz w:val="24"/>
                <w:szCs w:val="24"/>
              </w:rPr>
              <w:t>1</w:t>
            </w:r>
          </w:p>
        </w:tc>
        <w:tc>
          <w:tcPr>
            <w:tcW w:w="1334" w:type="dxa"/>
            <w:vAlign w:val="center"/>
          </w:tcPr>
          <w:p w:rsidR="00C017A6" w:rsidRDefault="007E52F6">
            <w:pPr>
              <w:jc w:val="center"/>
            </w:pPr>
            <w:r>
              <w:rPr>
                <w:color w:val="000000"/>
                <w:sz w:val="24"/>
                <w:szCs w:val="24"/>
              </w:rPr>
              <w:t>000100</w:t>
            </w:r>
          </w:p>
        </w:tc>
        <w:tc>
          <w:tcPr>
            <w:tcW w:w="1777" w:type="dxa"/>
            <w:vAlign w:val="center"/>
          </w:tcPr>
          <w:p w:rsidR="00C017A6" w:rsidRDefault="007E52F6">
            <w:pPr>
              <w:jc w:val="center"/>
            </w:pPr>
            <w:r>
              <w:rPr>
                <w:color w:val="000000"/>
                <w:sz w:val="24"/>
                <w:szCs w:val="24"/>
              </w:rPr>
              <w:t xml:space="preserve">TCL </w:t>
            </w:r>
            <w:r>
              <w:rPr>
                <w:color w:val="000000"/>
                <w:sz w:val="24"/>
                <w:szCs w:val="24"/>
              </w:rPr>
              <w:t>集团</w:t>
            </w:r>
          </w:p>
        </w:tc>
        <w:tc>
          <w:tcPr>
            <w:tcW w:w="1334" w:type="dxa"/>
            <w:vAlign w:val="center"/>
          </w:tcPr>
          <w:p w:rsidR="00C017A6" w:rsidRDefault="007E52F6">
            <w:pPr>
              <w:jc w:val="right"/>
            </w:pPr>
            <w:r>
              <w:rPr>
                <w:color w:val="000000"/>
                <w:sz w:val="24"/>
                <w:szCs w:val="24"/>
              </w:rPr>
              <w:t>5,237,014</w:t>
            </w:r>
          </w:p>
        </w:tc>
        <w:tc>
          <w:tcPr>
            <w:tcW w:w="1924" w:type="dxa"/>
            <w:vAlign w:val="center"/>
          </w:tcPr>
          <w:p w:rsidR="00C017A6" w:rsidRDefault="007E52F6">
            <w:pPr>
              <w:jc w:val="right"/>
            </w:pPr>
            <w:r>
              <w:rPr>
                <w:color w:val="000000"/>
                <w:sz w:val="24"/>
                <w:szCs w:val="24"/>
              </w:rPr>
              <w:t>19,900,653.20</w:t>
            </w:r>
          </w:p>
        </w:tc>
        <w:tc>
          <w:tcPr>
            <w:tcW w:w="1644" w:type="dxa"/>
            <w:vAlign w:val="center"/>
          </w:tcPr>
          <w:p w:rsidR="00C017A6" w:rsidRDefault="007E52F6">
            <w:pPr>
              <w:jc w:val="right"/>
            </w:pPr>
            <w:r>
              <w:rPr>
                <w:color w:val="000000"/>
                <w:sz w:val="24"/>
                <w:szCs w:val="24"/>
              </w:rPr>
              <w:t>9.11</w:t>
            </w:r>
          </w:p>
        </w:tc>
      </w:tr>
      <w:tr w:rsidR="00C017A6">
        <w:trPr>
          <w:jc w:val="center"/>
        </w:trPr>
        <w:tc>
          <w:tcPr>
            <w:tcW w:w="855" w:type="dxa"/>
            <w:vAlign w:val="center"/>
          </w:tcPr>
          <w:p w:rsidR="00C017A6" w:rsidRDefault="007E52F6">
            <w:pPr>
              <w:jc w:val="center"/>
            </w:pPr>
            <w:r>
              <w:rPr>
                <w:color w:val="000000"/>
                <w:sz w:val="24"/>
                <w:szCs w:val="24"/>
              </w:rPr>
              <w:t>2</w:t>
            </w:r>
          </w:p>
        </w:tc>
        <w:tc>
          <w:tcPr>
            <w:tcW w:w="1334" w:type="dxa"/>
            <w:vAlign w:val="center"/>
          </w:tcPr>
          <w:p w:rsidR="00C017A6" w:rsidRDefault="007E52F6">
            <w:pPr>
              <w:jc w:val="center"/>
            </w:pPr>
            <w:r>
              <w:rPr>
                <w:color w:val="000000"/>
                <w:sz w:val="24"/>
                <w:szCs w:val="24"/>
              </w:rPr>
              <w:t>600763</w:t>
            </w:r>
          </w:p>
        </w:tc>
        <w:tc>
          <w:tcPr>
            <w:tcW w:w="1777" w:type="dxa"/>
            <w:vAlign w:val="center"/>
          </w:tcPr>
          <w:p w:rsidR="00C017A6" w:rsidRDefault="007E52F6">
            <w:pPr>
              <w:jc w:val="center"/>
            </w:pPr>
            <w:r>
              <w:rPr>
                <w:color w:val="000000"/>
                <w:sz w:val="24"/>
                <w:szCs w:val="24"/>
              </w:rPr>
              <w:t>通策医疗</w:t>
            </w:r>
          </w:p>
        </w:tc>
        <w:tc>
          <w:tcPr>
            <w:tcW w:w="1334" w:type="dxa"/>
            <w:vAlign w:val="center"/>
          </w:tcPr>
          <w:p w:rsidR="00C017A6" w:rsidRDefault="007E52F6">
            <w:pPr>
              <w:jc w:val="right"/>
            </w:pPr>
            <w:r>
              <w:rPr>
                <w:color w:val="000000"/>
                <w:sz w:val="24"/>
                <w:szCs w:val="24"/>
              </w:rPr>
              <w:t>399,467</w:t>
            </w:r>
          </w:p>
        </w:tc>
        <w:tc>
          <w:tcPr>
            <w:tcW w:w="1924" w:type="dxa"/>
            <w:vAlign w:val="center"/>
          </w:tcPr>
          <w:p w:rsidR="00C017A6" w:rsidRDefault="007E52F6">
            <w:pPr>
              <w:jc w:val="right"/>
            </w:pPr>
            <w:r>
              <w:rPr>
                <w:color w:val="000000"/>
                <w:sz w:val="24"/>
                <w:szCs w:val="24"/>
              </w:rPr>
              <w:t>19,166,426.66</w:t>
            </w:r>
          </w:p>
        </w:tc>
        <w:tc>
          <w:tcPr>
            <w:tcW w:w="1644" w:type="dxa"/>
            <w:vAlign w:val="center"/>
          </w:tcPr>
          <w:p w:rsidR="00C017A6" w:rsidRDefault="007E52F6">
            <w:pPr>
              <w:jc w:val="right"/>
            </w:pPr>
            <w:r>
              <w:rPr>
                <w:color w:val="000000"/>
                <w:sz w:val="24"/>
                <w:szCs w:val="24"/>
              </w:rPr>
              <w:t>8.78</w:t>
            </w:r>
          </w:p>
        </w:tc>
      </w:tr>
      <w:tr w:rsidR="00C017A6">
        <w:trPr>
          <w:jc w:val="center"/>
        </w:trPr>
        <w:tc>
          <w:tcPr>
            <w:tcW w:w="855" w:type="dxa"/>
            <w:vAlign w:val="center"/>
          </w:tcPr>
          <w:p w:rsidR="00C017A6" w:rsidRDefault="007E52F6">
            <w:pPr>
              <w:jc w:val="center"/>
            </w:pPr>
            <w:r>
              <w:rPr>
                <w:color w:val="000000"/>
                <w:sz w:val="24"/>
                <w:szCs w:val="24"/>
              </w:rPr>
              <w:t>3</w:t>
            </w:r>
          </w:p>
        </w:tc>
        <w:tc>
          <w:tcPr>
            <w:tcW w:w="1334" w:type="dxa"/>
            <w:vAlign w:val="center"/>
          </w:tcPr>
          <w:p w:rsidR="00C017A6" w:rsidRDefault="007E52F6">
            <w:pPr>
              <w:jc w:val="center"/>
            </w:pPr>
            <w:r>
              <w:rPr>
                <w:color w:val="000000"/>
                <w:sz w:val="24"/>
                <w:szCs w:val="24"/>
              </w:rPr>
              <w:t>600389</w:t>
            </w:r>
          </w:p>
        </w:tc>
        <w:tc>
          <w:tcPr>
            <w:tcW w:w="1777" w:type="dxa"/>
            <w:vAlign w:val="center"/>
          </w:tcPr>
          <w:p w:rsidR="00C017A6" w:rsidRDefault="007E52F6">
            <w:pPr>
              <w:jc w:val="center"/>
            </w:pPr>
            <w:r>
              <w:rPr>
                <w:color w:val="000000"/>
                <w:sz w:val="24"/>
                <w:szCs w:val="24"/>
              </w:rPr>
              <w:t>江山股份</w:t>
            </w:r>
          </w:p>
        </w:tc>
        <w:tc>
          <w:tcPr>
            <w:tcW w:w="1334" w:type="dxa"/>
            <w:vAlign w:val="center"/>
          </w:tcPr>
          <w:p w:rsidR="00C017A6" w:rsidRDefault="007E52F6">
            <w:pPr>
              <w:jc w:val="right"/>
            </w:pPr>
            <w:r>
              <w:rPr>
                <w:color w:val="000000"/>
                <w:sz w:val="24"/>
                <w:szCs w:val="24"/>
              </w:rPr>
              <w:t>709,484</w:t>
            </w:r>
          </w:p>
        </w:tc>
        <w:tc>
          <w:tcPr>
            <w:tcW w:w="1924" w:type="dxa"/>
            <w:vAlign w:val="center"/>
          </w:tcPr>
          <w:p w:rsidR="00C017A6" w:rsidRDefault="007E52F6">
            <w:pPr>
              <w:jc w:val="right"/>
            </w:pPr>
            <w:r>
              <w:rPr>
                <w:color w:val="000000"/>
                <w:sz w:val="24"/>
                <w:szCs w:val="24"/>
              </w:rPr>
              <w:t>18,858,084.72</w:t>
            </w:r>
          </w:p>
        </w:tc>
        <w:tc>
          <w:tcPr>
            <w:tcW w:w="1644" w:type="dxa"/>
            <w:vAlign w:val="center"/>
          </w:tcPr>
          <w:p w:rsidR="00C017A6" w:rsidRDefault="007E52F6">
            <w:pPr>
              <w:jc w:val="right"/>
            </w:pPr>
            <w:r>
              <w:rPr>
                <w:color w:val="000000"/>
                <w:sz w:val="24"/>
                <w:szCs w:val="24"/>
              </w:rPr>
              <w:t>8.64</w:t>
            </w:r>
          </w:p>
        </w:tc>
      </w:tr>
      <w:tr w:rsidR="00C017A6">
        <w:trPr>
          <w:jc w:val="center"/>
        </w:trPr>
        <w:tc>
          <w:tcPr>
            <w:tcW w:w="855" w:type="dxa"/>
            <w:vAlign w:val="center"/>
          </w:tcPr>
          <w:p w:rsidR="00C017A6" w:rsidRDefault="007E52F6">
            <w:pPr>
              <w:jc w:val="center"/>
            </w:pPr>
            <w:r>
              <w:rPr>
                <w:color w:val="000000"/>
                <w:sz w:val="24"/>
                <w:szCs w:val="24"/>
              </w:rPr>
              <w:t>4</w:t>
            </w:r>
          </w:p>
        </w:tc>
        <w:tc>
          <w:tcPr>
            <w:tcW w:w="1334" w:type="dxa"/>
            <w:vAlign w:val="center"/>
          </w:tcPr>
          <w:p w:rsidR="00C017A6" w:rsidRDefault="007E52F6">
            <w:pPr>
              <w:jc w:val="center"/>
            </w:pPr>
            <w:r>
              <w:rPr>
                <w:color w:val="000000"/>
                <w:sz w:val="24"/>
                <w:szCs w:val="24"/>
              </w:rPr>
              <w:t>600967</w:t>
            </w:r>
          </w:p>
        </w:tc>
        <w:tc>
          <w:tcPr>
            <w:tcW w:w="1777" w:type="dxa"/>
            <w:vAlign w:val="center"/>
          </w:tcPr>
          <w:p w:rsidR="00C017A6" w:rsidRDefault="007E52F6">
            <w:pPr>
              <w:jc w:val="center"/>
            </w:pPr>
            <w:r>
              <w:rPr>
                <w:color w:val="000000"/>
                <w:sz w:val="24"/>
                <w:szCs w:val="24"/>
              </w:rPr>
              <w:t>北方创业</w:t>
            </w:r>
          </w:p>
        </w:tc>
        <w:tc>
          <w:tcPr>
            <w:tcW w:w="1334" w:type="dxa"/>
            <w:vAlign w:val="center"/>
          </w:tcPr>
          <w:p w:rsidR="00C017A6" w:rsidRDefault="007E52F6">
            <w:pPr>
              <w:jc w:val="right"/>
            </w:pPr>
            <w:r>
              <w:rPr>
                <w:color w:val="000000"/>
                <w:sz w:val="24"/>
                <w:szCs w:val="24"/>
              </w:rPr>
              <w:t>1,197,560</w:t>
            </w:r>
          </w:p>
        </w:tc>
        <w:tc>
          <w:tcPr>
            <w:tcW w:w="1924" w:type="dxa"/>
            <w:vAlign w:val="center"/>
          </w:tcPr>
          <w:p w:rsidR="00C017A6" w:rsidRDefault="007E52F6">
            <w:pPr>
              <w:jc w:val="right"/>
            </w:pPr>
            <w:r>
              <w:rPr>
                <w:color w:val="000000"/>
                <w:sz w:val="24"/>
                <w:szCs w:val="24"/>
              </w:rPr>
              <w:t>17,675,985.60</w:t>
            </w:r>
          </w:p>
        </w:tc>
        <w:tc>
          <w:tcPr>
            <w:tcW w:w="1644" w:type="dxa"/>
            <w:vAlign w:val="center"/>
          </w:tcPr>
          <w:p w:rsidR="00C017A6" w:rsidRDefault="007E52F6">
            <w:pPr>
              <w:jc w:val="right"/>
            </w:pPr>
            <w:r>
              <w:rPr>
                <w:color w:val="000000"/>
                <w:sz w:val="24"/>
                <w:szCs w:val="24"/>
              </w:rPr>
              <w:t>8.10</w:t>
            </w:r>
          </w:p>
        </w:tc>
      </w:tr>
      <w:tr w:rsidR="00C017A6">
        <w:trPr>
          <w:jc w:val="center"/>
        </w:trPr>
        <w:tc>
          <w:tcPr>
            <w:tcW w:w="855" w:type="dxa"/>
            <w:vAlign w:val="center"/>
          </w:tcPr>
          <w:p w:rsidR="00C017A6" w:rsidRDefault="007E52F6">
            <w:pPr>
              <w:jc w:val="center"/>
            </w:pPr>
            <w:r>
              <w:rPr>
                <w:color w:val="000000"/>
                <w:sz w:val="24"/>
                <w:szCs w:val="24"/>
              </w:rPr>
              <w:t>5</w:t>
            </w:r>
          </w:p>
        </w:tc>
        <w:tc>
          <w:tcPr>
            <w:tcW w:w="1334" w:type="dxa"/>
            <w:vAlign w:val="center"/>
          </w:tcPr>
          <w:p w:rsidR="00C017A6" w:rsidRDefault="007E52F6">
            <w:pPr>
              <w:jc w:val="center"/>
            </w:pPr>
            <w:r>
              <w:rPr>
                <w:color w:val="000000"/>
                <w:sz w:val="24"/>
                <w:szCs w:val="24"/>
              </w:rPr>
              <w:t>002568</w:t>
            </w:r>
          </w:p>
        </w:tc>
        <w:tc>
          <w:tcPr>
            <w:tcW w:w="1777" w:type="dxa"/>
            <w:vAlign w:val="center"/>
          </w:tcPr>
          <w:p w:rsidR="00C017A6" w:rsidRDefault="007E52F6">
            <w:pPr>
              <w:jc w:val="center"/>
            </w:pPr>
            <w:r>
              <w:rPr>
                <w:color w:val="000000"/>
                <w:sz w:val="24"/>
                <w:szCs w:val="24"/>
              </w:rPr>
              <w:t>百润股份</w:t>
            </w:r>
          </w:p>
        </w:tc>
        <w:tc>
          <w:tcPr>
            <w:tcW w:w="1334" w:type="dxa"/>
            <w:vAlign w:val="center"/>
          </w:tcPr>
          <w:p w:rsidR="00C017A6" w:rsidRDefault="007E52F6">
            <w:pPr>
              <w:jc w:val="right"/>
            </w:pPr>
            <w:r>
              <w:rPr>
                <w:color w:val="000000"/>
                <w:sz w:val="24"/>
                <w:szCs w:val="24"/>
              </w:rPr>
              <w:t>408,669</w:t>
            </w:r>
          </w:p>
        </w:tc>
        <w:tc>
          <w:tcPr>
            <w:tcW w:w="1924" w:type="dxa"/>
            <w:vAlign w:val="center"/>
          </w:tcPr>
          <w:p w:rsidR="00C017A6" w:rsidRDefault="007E52F6">
            <w:pPr>
              <w:jc w:val="right"/>
            </w:pPr>
            <w:r>
              <w:rPr>
                <w:color w:val="000000"/>
                <w:sz w:val="24"/>
                <w:szCs w:val="24"/>
              </w:rPr>
              <w:t>16,641,001.68</w:t>
            </w:r>
          </w:p>
        </w:tc>
        <w:tc>
          <w:tcPr>
            <w:tcW w:w="1644" w:type="dxa"/>
            <w:vAlign w:val="center"/>
          </w:tcPr>
          <w:p w:rsidR="00C017A6" w:rsidRDefault="007E52F6">
            <w:pPr>
              <w:jc w:val="right"/>
            </w:pPr>
            <w:r>
              <w:rPr>
                <w:color w:val="000000"/>
                <w:sz w:val="24"/>
                <w:szCs w:val="24"/>
              </w:rPr>
              <w:t>7.62</w:t>
            </w:r>
          </w:p>
        </w:tc>
      </w:tr>
      <w:tr w:rsidR="00C017A6">
        <w:trPr>
          <w:jc w:val="center"/>
        </w:trPr>
        <w:tc>
          <w:tcPr>
            <w:tcW w:w="855" w:type="dxa"/>
            <w:vAlign w:val="center"/>
          </w:tcPr>
          <w:p w:rsidR="00C017A6" w:rsidRDefault="007E52F6">
            <w:pPr>
              <w:jc w:val="center"/>
            </w:pPr>
            <w:r>
              <w:rPr>
                <w:color w:val="000000"/>
                <w:sz w:val="24"/>
                <w:szCs w:val="24"/>
              </w:rPr>
              <w:t>6</w:t>
            </w:r>
          </w:p>
        </w:tc>
        <w:tc>
          <w:tcPr>
            <w:tcW w:w="1334" w:type="dxa"/>
            <w:vAlign w:val="center"/>
          </w:tcPr>
          <w:p w:rsidR="00C017A6" w:rsidRDefault="007E52F6">
            <w:pPr>
              <w:jc w:val="center"/>
            </w:pPr>
            <w:r>
              <w:rPr>
                <w:color w:val="000000"/>
                <w:sz w:val="24"/>
                <w:szCs w:val="24"/>
              </w:rPr>
              <w:t>300005</w:t>
            </w:r>
          </w:p>
        </w:tc>
        <w:tc>
          <w:tcPr>
            <w:tcW w:w="1777" w:type="dxa"/>
            <w:vAlign w:val="center"/>
          </w:tcPr>
          <w:p w:rsidR="00C017A6" w:rsidRDefault="007E52F6">
            <w:pPr>
              <w:jc w:val="center"/>
            </w:pPr>
            <w:r>
              <w:rPr>
                <w:color w:val="000000"/>
                <w:sz w:val="24"/>
                <w:szCs w:val="24"/>
              </w:rPr>
              <w:t>探路者</w:t>
            </w:r>
          </w:p>
        </w:tc>
        <w:tc>
          <w:tcPr>
            <w:tcW w:w="1334" w:type="dxa"/>
            <w:vAlign w:val="center"/>
          </w:tcPr>
          <w:p w:rsidR="00C017A6" w:rsidRDefault="007E52F6">
            <w:pPr>
              <w:jc w:val="right"/>
            </w:pPr>
            <w:r>
              <w:rPr>
                <w:color w:val="000000"/>
                <w:sz w:val="24"/>
                <w:szCs w:val="24"/>
              </w:rPr>
              <w:t>889,000</w:t>
            </w:r>
          </w:p>
        </w:tc>
        <w:tc>
          <w:tcPr>
            <w:tcW w:w="1924" w:type="dxa"/>
            <w:vAlign w:val="center"/>
          </w:tcPr>
          <w:p w:rsidR="00C017A6" w:rsidRDefault="007E52F6">
            <w:pPr>
              <w:jc w:val="right"/>
            </w:pPr>
            <w:r>
              <w:rPr>
                <w:color w:val="000000"/>
                <w:sz w:val="24"/>
                <w:szCs w:val="24"/>
              </w:rPr>
              <w:t>16,499,840.00</w:t>
            </w:r>
          </w:p>
        </w:tc>
        <w:tc>
          <w:tcPr>
            <w:tcW w:w="1644" w:type="dxa"/>
            <w:vAlign w:val="center"/>
          </w:tcPr>
          <w:p w:rsidR="00C017A6" w:rsidRDefault="007E52F6">
            <w:pPr>
              <w:jc w:val="right"/>
            </w:pPr>
            <w:r>
              <w:rPr>
                <w:color w:val="000000"/>
                <w:sz w:val="24"/>
                <w:szCs w:val="24"/>
              </w:rPr>
              <w:t>7.56</w:t>
            </w:r>
          </w:p>
        </w:tc>
      </w:tr>
      <w:tr w:rsidR="00C017A6">
        <w:trPr>
          <w:jc w:val="center"/>
        </w:trPr>
        <w:tc>
          <w:tcPr>
            <w:tcW w:w="855" w:type="dxa"/>
            <w:vAlign w:val="center"/>
          </w:tcPr>
          <w:p w:rsidR="00C017A6" w:rsidRDefault="007E52F6">
            <w:pPr>
              <w:jc w:val="center"/>
            </w:pPr>
            <w:r>
              <w:rPr>
                <w:color w:val="000000"/>
                <w:sz w:val="24"/>
                <w:szCs w:val="24"/>
              </w:rPr>
              <w:t>7</w:t>
            </w:r>
          </w:p>
        </w:tc>
        <w:tc>
          <w:tcPr>
            <w:tcW w:w="1334" w:type="dxa"/>
            <w:vAlign w:val="center"/>
          </w:tcPr>
          <w:p w:rsidR="00C017A6" w:rsidRDefault="007E52F6">
            <w:pPr>
              <w:jc w:val="center"/>
            </w:pPr>
            <w:r>
              <w:rPr>
                <w:color w:val="000000"/>
                <w:sz w:val="24"/>
                <w:szCs w:val="24"/>
              </w:rPr>
              <w:t>601628</w:t>
            </w:r>
          </w:p>
        </w:tc>
        <w:tc>
          <w:tcPr>
            <w:tcW w:w="1777" w:type="dxa"/>
            <w:vAlign w:val="center"/>
          </w:tcPr>
          <w:p w:rsidR="00C017A6" w:rsidRDefault="007E52F6">
            <w:pPr>
              <w:jc w:val="center"/>
            </w:pPr>
            <w:r>
              <w:rPr>
                <w:color w:val="000000"/>
                <w:sz w:val="24"/>
                <w:szCs w:val="24"/>
              </w:rPr>
              <w:t>中国人寿</w:t>
            </w:r>
          </w:p>
        </w:tc>
        <w:tc>
          <w:tcPr>
            <w:tcW w:w="1334" w:type="dxa"/>
            <w:vAlign w:val="center"/>
          </w:tcPr>
          <w:p w:rsidR="00C017A6" w:rsidRDefault="007E52F6">
            <w:pPr>
              <w:jc w:val="right"/>
            </w:pPr>
            <w:r>
              <w:rPr>
                <w:color w:val="000000"/>
                <w:sz w:val="24"/>
                <w:szCs w:val="24"/>
              </w:rPr>
              <w:t>455,200</w:t>
            </w:r>
          </w:p>
        </w:tc>
        <w:tc>
          <w:tcPr>
            <w:tcW w:w="1924" w:type="dxa"/>
            <w:vAlign w:val="center"/>
          </w:tcPr>
          <w:p w:rsidR="00C017A6" w:rsidRDefault="007E52F6">
            <w:pPr>
              <w:jc w:val="right"/>
            </w:pPr>
            <w:r>
              <w:rPr>
                <w:color w:val="000000"/>
                <w:sz w:val="24"/>
                <w:szCs w:val="24"/>
              </w:rPr>
              <w:t>15,545,080.00</w:t>
            </w:r>
          </w:p>
        </w:tc>
        <w:tc>
          <w:tcPr>
            <w:tcW w:w="1644" w:type="dxa"/>
            <w:vAlign w:val="center"/>
          </w:tcPr>
          <w:p w:rsidR="00C017A6" w:rsidRDefault="007E52F6">
            <w:pPr>
              <w:jc w:val="right"/>
            </w:pPr>
            <w:r>
              <w:rPr>
                <w:color w:val="000000"/>
                <w:sz w:val="24"/>
                <w:szCs w:val="24"/>
              </w:rPr>
              <w:t>7.12</w:t>
            </w:r>
          </w:p>
        </w:tc>
      </w:tr>
      <w:tr w:rsidR="00C017A6">
        <w:trPr>
          <w:jc w:val="center"/>
        </w:trPr>
        <w:tc>
          <w:tcPr>
            <w:tcW w:w="855" w:type="dxa"/>
            <w:vAlign w:val="center"/>
          </w:tcPr>
          <w:p w:rsidR="00C017A6" w:rsidRDefault="007E52F6">
            <w:pPr>
              <w:jc w:val="center"/>
            </w:pPr>
            <w:r>
              <w:rPr>
                <w:color w:val="000000"/>
                <w:sz w:val="24"/>
                <w:szCs w:val="24"/>
              </w:rPr>
              <w:t>8</w:t>
            </w:r>
          </w:p>
        </w:tc>
        <w:tc>
          <w:tcPr>
            <w:tcW w:w="1334" w:type="dxa"/>
            <w:vAlign w:val="center"/>
          </w:tcPr>
          <w:p w:rsidR="00C017A6" w:rsidRDefault="007E52F6">
            <w:pPr>
              <w:jc w:val="center"/>
            </w:pPr>
            <w:r>
              <w:rPr>
                <w:color w:val="000000"/>
                <w:sz w:val="24"/>
                <w:szCs w:val="24"/>
              </w:rPr>
              <w:t>600887</w:t>
            </w:r>
          </w:p>
        </w:tc>
        <w:tc>
          <w:tcPr>
            <w:tcW w:w="1777" w:type="dxa"/>
            <w:vAlign w:val="center"/>
          </w:tcPr>
          <w:p w:rsidR="00C017A6" w:rsidRDefault="007E52F6">
            <w:pPr>
              <w:jc w:val="center"/>
            </w:pPr>
            <w:r>
              <w:rPr>
                <w:color w:val="000000"/>
                <w:sz w:val="24"/>
                <w:szCs w:val="24"/>
              </w:rPr>
              <w:t>伊利股份</w:t>
            </w:r>
          </w:p>
        </w:tc>
        <w:tc>
          <w:tcPr>
            <w:tcW w:w="1334" w:type="dxa"/>
            <w:vAlign w:val="center"/>
          </w:tcPr>
          <w:p w:rsidR="00C017A6" w:rsidRDefault="007E52F6">
            <w:pPr>
              <w:jc w:val="right"/>
            </w:pPr>
            <w:r>
              <w:rPr>
                <w:color w:val="000000"/>
                <w:sz w:val="24"/>
                <w:szCs w:val="24"/>
              </w:rPr>
              <w:t>389,448</w:t>
            </w:r>
          </w:p>
        </w:tc>
        <w:tc>
          <w:tcPr>
            <w:tcW w:w="1924" w:type="dxa"/>
            <w:vAlign w:val="center"/>
          </w:tcPr>
          <w:p w:rsidR="00C017A6" w:rsidRDefault="007E52F6">
            <w:pPr>
              <w:jc w:val="right"/>
            </w:pPr>
            <w:r>
              <w:rPr>
                <w:color w:val="000000"/>
                <w:sz w:val="24"/>
                <w:szCs w:val="24"/>
              </w:rPr>
              <w:t>11,149,896.24</w:t>
            </w:r>
          </w:p>
        </w:tc>
        <w:tc>
          <w:tcPr>
            <w:tcW w:w="1644" w:type="dxa"/>
            <w:vAlign w:val="center"/>
          </w:tcPr>
          <w:p w:rsidR="00C017A6" w:rsidRDefault="007E52F6">
            <w:pPr>
              <w:jc w:val="right"/>
            </w:pPr>
            <w:r>
              <w:rPr>
                <w:color w:val="000000"/>
                <w:sz w:val="24"/>
                <w:szCs w:val="24"/>
              </w:rPr>
              <w:t>5.11</w:t>
            </w:r>
          </w:p>
        </w:tc>
      </w:tr>
      <w:tr w:rsidR="00C017A6">
        <w:trPr>
          <w:jc w:val="center"/>
        </w:trPr>
        <w:tc>
          <w:tcPr>
            <w:tcW w:w="855" w:type="dxa"/>
            <w:vAlign w:val="center"/>
          </w:tcPr>
          <w:p w:rsidR="00C017A6" w:rsidRDefault="007E52F6">
            <w:pPr>
              <w:jc w:val="center"/>
            </w:pPr>
            <w:r>
              <w:rPr>
                <w:color w:val="000000"/>
                <w:sz w:val="24"/>
                <w:szCs w:val="24"/>
              </w:rPr>
              <w:t>9</w:t>
            </w:r>
          </w:p>
        </w:tc>
        <w:tc>
          <w:tcPr>
            <w:tcW w:w="1334" w:type="dxa"/>
            <w:vAlign w:val="center"/>
          </w:tcPr>
          <w:p w:rsidR="00C017A6" w:rsidRDefault="007E52F6">
            <w:pPr>
              <w:jc w:val="center"/>
            </w:pPr>
            <w:r>
              <w:rPr>
                <w:color w:val="000000"/>
                <w:sz w:val="24"/>
                <w:szCs w:val="24"/>
              </w:rPr>
              <w:t>002223</w:t>
            </w:r>
          </w:p>
        </w:tc>
        <w:tc>
          <w:tcPr>
            <w:tcW w:w="1777" w:type="dxa"/>
            <w:vAlign w:val="center"/>
          </w:tcPr>
          <w:p w:rsidR="00C017A6" w:rsidRDefault="007E52F6">
            <w:pPr>
              <w:jc w:val="center"/>
            </w:pPr>
            <w:r>
              <w:rPr>
                <w:color w:val="000000"/>
                <w:sz w:val="24"/>
                <w:szCs w:val="24"/>
              </w:rPr>
              <w:t>鱼跃医疗</w:t>
            </w:r>
          </w:p>
        </w:tc>
        <w:tc>
          <w:tcPr>
            <w:tcW w:w="1334" w:type="dxa"/>
            <w:vAlign w:val="center"/>
          </w:tcPr>
          <w:p w:rsidR="00C017A6" w:rsidRDefault="007E52F6">
            <w:pPr>
              <w:jc w:val="right"/>
            </w:pPr>
            <w:r>
              <w:rPr>
                <w:color w:val="000000"/>
                <w:sz w:val="24"/>
                <w:szCs w:val="24"/>
              </w:rPr>
              <w:t>393,264</w:t>
            </w:r>
          </w:p>
        </w:tc>
        <w:tc>
          <w:tcPr>
            <w:tcW w:w="1924" w:type="dxa"/>
            <w:vAlign w:val="center"/>
          </w:tcPr>
          <w:p w:rsidR="00C017A6" w:rsidRDefault="007E52F6">
            <w:pPr>
              <w:jc w:val="right"/>
            </w:pPr>
            <w:r>
              <w:rPr>
                <w:color w:val="000000"/>
                <w:sz w:val="24"/>
                <w:szCs w:val="24"/>
              </w:rPr>
              <w:t>9,815,869.44</w:t>
            </w:r>
          </w:p>
        </w:tc>
        <w:tc>
          <w:tcPr>
            <w:tcW w:w="1644" w:type="dxa"/>
            <w:vAlign w:val="center"/>
          </w:tcPr>
          <w:p w:rsidR="00C017A6" w:rsidRDefault="007E52F6">
            <w:pPr>
              <w:jc w:val="right"/>
            </w:pPr>
            <w:r>
              <w:rPr>
                <w:color w:val="000000"/>
                <w:sz w:val="24"/>
                <w:szCs w:val="24"/>
              </w:rPr>
              <w:t>4.50</w:t>
            </w:r>
          </w:p>
        </w:tc>
      </w:tr>
      <w:tr w:rsidR="00C017A6">
        <w:trPr>
          <w:jc w:val="center"/>
        </w:trPr>
        <w:tc>
          <w:tcPr>
            <w:tcW w:w="855" w:type="dxa"/>
            <w:vAlign w:val="center"/>
          </w:tcPr>
          <w:p w:rsidR="00C017A6" w:rsidRDefault="007E52F6">
            <w:pPr>
              <w:jc w:val="center"/>
            </w:pPr>
            <w:r>
              <w:rPr>
                <w:color w:val="000000"/>
                <w:sz w:val="24"/>
                <w:szCs w:val="24"/>
              </w:rPr>
              <w:t>10</w:t>
            </w:r>
          </w:p>
        </w:tc>
        <w:tc>
          <w:tcPr>
            <w:tcW w:w="1334" w:type="dxa"/>
            <w:vAlign w:val="center"/>
          </w:tcPr>
          <w:p w:rsidR="00C017A6" w:rsidRDefault="007E52F6">
            <w:pPr>
              <w:jc w:val="center"/>
            </w:pPr>
            <w:r>
              <w:rPr>
                <w:color w:val="000000"/>
                <w:sz w:val="24"/>
                <w:szCs w:val="24"/>
              </w:rPr>
              <w:t>000423</w:t>
            </w:r>
          </w:p>
        </w:tc>
        <w:tc>
          <w:tcPr>
            <w:tcW w:w="1777" w:type="dxa"/>
            <w:vAlign w:val="center"/>
          </w:tcPr>
          <w:p w:rsidR="00C017A6" w:rsidRDefault="007E52F6">
            <w:pPr>
              <w:jc w:val="center"/>
            </w:pPr>
            <w:r>
              <w:rPr>
                <w:color w:val="000000"/>
                <w:sz w:val="24"/>
                <w:szCs w:val="24"/>
              </w:rPr>
              <w:t>东阿阿胶</w:t>
            </w:r>
          </w:p>
        </w:tc>
        <w:tc>
          <w:tcPr>
            <w:tcW w:w="1334" w:type="dxa"/>
            <w:vAlign w:val="center"/>
          </w:tcPr>
          <w:p w:rsidR="00C017A6" w:rsidRDefault="007E52F6">
            <w:pPr>
              <w:jc w:val="right"/>
            </w:pPr>
            <w:r>
              <w:rPr>
                <w:color w:val="000000"/>
                <w:sz w:val="24"/>
                <w:szCs w:val="24"/>
              </w:rPr>
              <w:t>257,871</w:t>
            </w:r>
          </w:p>
        </w:tc>
        <w:tc>
          <w:tcPr>
            <w:tcW w:w="1924" w:type="dxa"/>
            <w:vAlign w:val="center"/>
          </w:tcPr>
          <w:p w:rsidR="00C017A6" w:rsidRDefault="007E52F6">
            <w:pPr>
              <w:jc w:val="right"/>
            </w:pPr>
            <w:r>
              <w:rPr>
                <w:color w:val="000000"/>
                <w:sz w:val="24"/>
                <w:szCs w:val="24"/>
              </w:rPr>
              <w:t>9,613,430.88</w:t>
            </w:r>
          </w:p>
        </w:tc>
        <w:tc>
          <w:tcPr>
            <w:tcW w:w="1644" w:type="dxa"/>
            <w:vAlign w:val="center"/>
          </w:tcPr>
          <w:p w:rsidR="00C017A6" w:rsidRDefault="007E52F6">
            <w:pPr>
              <w:jc w:val="right"/>
            </w:pPr>
            <w:r>
              <w:rPr>
                <w:color w:val="000000"/>
                <w:sz w:val="24"/>
                <w:szCs w:val="24"/>
              </w:rPr>
              <w:t>4.40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124,419.57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4,613.54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505,073.48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634,106.59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522,758,424.87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4,299,196.83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335,702,962.97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191,354,658.73</w:t>
            </w:r>
          </w:p>
        </w:tc>
      </w:tr>
    </w:tbl>
    <w:p w:rsidR="00C017A6" w:rsidRDefault="007E52F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D4DE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Default="00480B35" w:rsidP="00C15CAC">
      <w:pPr>
        <w:autoSpaceDE w:val="0"/>
        <w:autoSpaceDN w:val="0"/>
        <w:adjustRightInd w:val="0"/>
        <w:spacing w:before="29" w:line="288" w:lineRule="auto"/>
        <w:jc w:val="left"/>
        <w:rPr>
          <w:color w:val="000000"/>
          <w:sz w:val="24"/>
        </w:rPr>
      </w:pPr>
    </w:p>
    <w:p w:rsidR="0080541F" w:rsidRPr="00414345" w:rsidRDefault="0080541F" w:rsidP="0080541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80541F" w:rsidRPr="009B6CCA" w:rsidRDefault="0080541F" w:rsidP="0080541F">
      <w:pPr>
        <w:autoSpaceDE w:val="0"/>
        <w:autoSpaceDN w:val="0"/>
        <w:adjustRightInd w:val="0"/>
        <w:spacing w:before="29" w:line="288" w:lineRule="auto"/>
        <w:ind w:firstLine="420"/>
        <w:jc w:val="left"/>
        <w:rPr>
          <w:color w:val="000000"/>
          <w:sz w:val="24"/>
        </w:rPr>
      </w:pPr>
      <w:r w:rsidRPr="009B6CCA">
        <w:rPr>
          <w:rFonts w:hint="eastAsia"/>
          <w:color w:val="000000"/>
          <w:sz w:val="24"/>
        </w:rPr>
        <w:t>本基金托管人</w:t>
      </w:r>
      <w:r w:rsidRPr="009B6CCA">
        <w:rPr>
          <w:rFonts w:hint="eastAsia"/>
          <w:color w:val="000000"/>
          <w:sz w:val="24"/>
        </w:rPr>
        <w:t>2014</w:t>
      </w:r>
      <w:r w:rsidRPr="009B6CCA">
        <w:rPr>
          <w:rFonts w:hint="eastAsia"/>
          <w:color w:val="000000"/>
          <w:sz w:val="24"/>
        </w:rPr>
        <w:t>年</w:t>
      </w:r>
      <w:r w:rsidR="00F87B10">
        <w:rPr>
          <w:color w:val="000000"/>
          <w:sz w:val="24"/>
        </w:rPr>
        <w:t>11</w:t>
      </w:r>
      <w:r w:rsidRPr="009B6CCA">
        <w:rPr>
          <w:rFonts w:hint="eastAsia"/>
          <w:color w:val="000000"/>
          <w:sz w:val="24"/>
        </w:rPr>
        <w:t>月</w:t>
      </w:r>
      <w:r w:rsidR="00F87B10">
        <w:rPr>
          <w:color w:val="000000"/>
          <w:sz w:val="24"/>
        </w:rPr>
        <w:t>3</w:t>
      </w:r>
      <w:bookmarkStart w:id="0" w:name="_GoBack"/>
      <w:bookmarkEnd w:id="0"/>
      <w:r w:rsidRPr="009B6CCA">
        <w:rPr>
          <w:rFonts w:hint="eastAsia"/>
          <w:color w:val="000000"/>
          <w:sz w:val="24"/>
        </w:rPr>
        <w:t>日发布公告，聘任赵观甫为中国建设银行投资托管业务部总经理。</w:t>
      </w:r>
    </w:p>
    <w:p w:rsidR="0080541F" w:rsidRPr="0080541F" w:rsidRDefault="0080541F" w:rsidP="00C15CAC">
      <w:pPr>
        <w:autoSpaceDE w:val="0"/>
        <w:autoSpaceDN w:val="0"/>
        <w:adjustRightInd w:val="0"/>
        <w:spacing w:before="29" w:line="288" w:lineRule="auto"/>
        <w:jc w:val="left"/>
        <w:rPr>
          <w:color w:val="000000"/>
          <w:sz w:val="24"/>
        </w:rPr>
      </w:pPr>
    </w:p>
    <w:p w:rsidR="00B22DEE" w:rsidRPr="00E02660" w:rsidRDefault="004061AC" w:rsidP="004D4DE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80541F">
        <w:rPr>
          <w:color w:val="000000"/>
          <w:kern w:val="0"/>
          <w:sz w:val="24"/>
          <w:szCs w:val="24"/>
        </w:rPr>
        <w:t>9</w:t>
      </w:r>
      <w:r w:rsidR="0080541F" w:rsidRPr="00414345">
        <w:rPr>
          <w:color w:val="000000"/>
          <w:kern w:val="0"/>
          <w:sz w:val="24"/>
          <w:szCs w:val="24"/>
        </w:rPr>
        <w:t xml:space="preserve"> </w:t>
      </w:r>
      <w:r w:rsidRPr="00414345">
        <w:rPr>
          <w:color w:val="000000"/>
          <w:kern w:val="0"/>
          <w:sz w:val="24"/>
          <w:szCs w:val="24"/>
        </w:rPr>
        <w:t>备查文件目录</w:t>
      </w:r>
    </w:p>
    <w:p w:rsidR="004061AC" w:rsidRPr="00414345" w:rsidRDefault="0080541F"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017A6" w:rsidRDefault="007E52F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股票型证券投资基金基金合同》；</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股票型证券投资基金招募说明书》；</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股票型证券投资基金托管协议》；</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017A6" w:rsidRDefault="007E52F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80541F"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80541F"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017A6" w:rsidRDefault="007E52F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F2" w:rsidRDefault="00F93FF2" w:rsidP="00876D65">
      <w:r>
        <w:separator/>
      </w:r>
    </w:p>
  </w:endnote>
  <w:endnote w:type="continuationSeparator" w:id="0">
    <w:p w:rsidR="00F93FF2" w:rsidRDefault="00F93FF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C017A6">
      <w:rPr>
        <w:kern w:val="0"/>
        <w:szCs w:val="21"/>
      </w:rPr>
      <w:fldChar w:fldCharType="begin"/>
    </w:r>
    <w:r>
      <w:rPr>
        <w:kern w:val="0"/>
        <w:szCs w:val="21"/>
      </w:rPr>
      <w:instrText xml:space="preserve"> PAGE </w:instrText>
    </w:r>
    <w:r w:rsidR="00C017A6">
      <w:rPr>
        <w:kern w:val="0"/>
        <w:szCs w:val="21"/>
      </w:rPr>
      <w:fldChar w:fldCharType="separate"/>
    </w:r>
    <w:r w:rsidR="00F87B10">
      <w:rPr>
        <w:noProof/>
        <w:kern w:val="0"/>
        <w:szCs w:val="21"/>
      </w:rPr>
      <w:t>10</w:t>
    </w:r>
    <w:r w:rsidR="00C017A6">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C017A6">
      <w:rPr>
        <w:kern w:val="0"/>
        <w:szCs w:val="21"/>
      </w:rPr>
      <w:fldChar w:fldCharType="begin"/>
    </w:r>
    <w:r>
      <w:rPr>
        <w:kern w:val="0"/>
        <w:szCs w:val="21"/>
      </w:rPr>
      <w:instrText xml:space="preserve"> NUMPAGES </w:instrText>
    </w:r>
    <w:r w:rsidR="00C017A6">
      <w:rPr>
        <w:kern w:val="0"/>
        <w:szCs w:val="21"/>
      </w:rPr>
      <w:fldChar w:fldCharType="separate"/>
    </w:r>
    <w:r w:rsidR="00F87B10">
      <w:rPr>
        <w:noProof/>
        <w:kern w:val="0"/>
        <w:szCs w:val="21"/>
      </w:rPr>
      <w:t>12</w:t>
    </w:r>
    <w:r w:rsidR="00C017A6">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F2" w:rsidRDefault="00F93FF2" w:rsidP="00876D65">
      <w:r>
        <w:separator/>
      </w:r>
    </w:p>
  </w:footnote>
  <w:footnote w:type="continuationSeparator" w:id="0">
    <w:p w:rsidR="00F93FF2" w:rsidRDefault="00F93FF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1ECE"/>
    <w:rsid w:val="004858E0"/>
    <w:rsid w:val="00491C81"/>
    <w:rsid w:val="004934E9"/>
    <w:rsid w:val="004943C2"/>
    <w:rsid w:val="004949F3"/>
    <w:rsid w:val="004A11A7"/>
    <w:rsid w:val="004A459C"/>
    <w:rsid w:val="004A7B1D"/>
    <w:rsid w:val="004C0914"/>
    <w:rsid w:val="004C702F"/>
    <w:rsid w:val="004D340C"/>
    <w:rsid w:val="004D495A"/>
    <w:rsid w:val="004D4DE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2F6"/>
    <w:rsid w:val="007E57C0"/>
    <w:rsid w:val="007F29B1"/>
    <w:rsid w:val="007F7F0B"/>
    <w:rsid w:val="008014F9"/>
    <w:rsid w:val="0080358B"/>
    <w:rsid w:val="0080541F"/>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017A6"/>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B10"/>
    <w:rsid w:val="00F87EDA"/>
    <w:rsid w:val="00F93FF2"/>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9201F61-F2A7-4837-B1EB-516DF5A9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3EF3-22C7-48B3-8CEF-636B62FD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561</cp:revision>
  <dcterms:created xsi:type="dcterms:W3CDTF">2012-10-16T06:07:00Z</dcterms:created>
  <dcterms:modified xsi:type="dcterms:W3CDTF">2015-01-20T06:50:00Z</dcterms:modified>
</cp:coreProperties>
</file>