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二〇一五年一月二十二日</w:t>
      </w:r>
    </w:p>
    <w:p w:rsidR="009238DB" w:rsidRPr="007F52FA" w:rsidRDefault="009238DB" w:rsidP="004A50E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4A50E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232,259,191.24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160,413,747.00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71,845,444.24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4A50E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5,819,227.09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4,724,708.26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3,390,941.29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5,616,318.99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168,913,913.15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75,232,237.15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1.047</w:t>
            </w:r>
          </w:p>
        </w:tc>
      </w:tr>
    </w:tbl>
    <w:p w:rsidR="005852E8" w:rsidRDefault="00210FB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852E8">
        <w:trPr>
          <w:jc w:val="center"/>
        </w:trPr>
        <w:tc>
          <w:tcPr>
            <w:tcW w:w="1266" w:type="dxa"/>
            <w:vAlign w:val="center"/>
          </w:tcPr>
          <w:p w:rsidR="005852E8" w:rsidRDefault="00210FB9">
            <w:pPr>
              <w:jc w:val="left"/>
            </w:pPr>
            <w:r>
              <w:rPr>
                <w:color w:val="000000"/>
                <w:sz w:val="24"/>
              </w:rPr>
              <w:t>过去三个月</w:t>
            </w:r>
          </w:p>
        </w:tc>
        <w:tc>
          <w:tcPr>
            <w:tcW w:w="1267" w:type="dxa"/>
            <w:vAlign w:val="center"/>
          </w:tcPr>
          <w:p w:rsidR="005852E8" w:rsidRDefault="00210FB9">
            <w:pPr>
              <w:jc w:val="center"/>
            </w:pPr>
            <w:r>
              <w:rPr>
                <w:color w:val="000000"/>
                <w:sz w:val="24"/>
              </w:rPr>
              <w:t>1.04%</w:t>
            </w:r>
          </w:p>
        </w:tc>
        <w:tc>
          <w:tcPr>
            <w:tcW w:w="1267" w:type="dxa"/>
            <w:vAlign w:val="center"/>
          </w:tcPr>
          <w:p w:rsidR="005852E8" w:rsidRDefault="00210FB9">
            <w:pPr>
              <w:jc w:val="center"/>
            </w:pPr>
            <w:r>
              <w:rPr>
                <w:color w:val="000000"/>
                <w:sz w:val="24"/>
              </w:rPr>
              <w:t>0.24%</w:t>
            </w:r>
          </w:p>
        </w:tc>
        <w:tc>
          <w:tcPr>
            <w:tcW w:w="1267" w:type="dxa"/>
            <w:vAlign w:val="center"/>
          </w:tcPr>
          <w:p w:rsidR="005852E8" w:rsidRDefault="00210FB9">
            <w:pPr>
              <w:jc w:val="center"/>
            </w:pPr>
            <w:r>
              <w:rPr>
                <w:color w:val="000000"/>
                <w:sz w:val="24"/>
              </w:rPr>
              <w:t>1.67%</w:t>
            </w:r>
          </w:p>
        </w:tc>
        <w:tc>
          <w:tcPr>
            <w:tcW w:w="1267" w:type="dxa"/>
            <w:vAlign w:val="center"/>
          </w:tcPr>
          <w:p w:rsidR="005852E8" w:rsidRDefault="00210FB9">
            <w:pPr>
              <w:jc w:val="center"/>
            </w:pPr>
            <w:r>
              <w:rPr>
                <w:color w:val="000000"/>
                <w:sz w:val="24"/>
              </w:rPr>
              <w:t>0.17%</w:t>
            </w:r>
          </w:p>
        </w:tc>
        <w:tc>
          <w:tcPr>
            <w:tcW w:w="1267" w:type="dxa"/>
            <w:vAlign w:val="center"/>
          </w:tcPr>
          <w:p w:rsidR="005852E8" w:rsidRDefault="00210FB9">
            <w:pPr>
              <w:jc w:val="center"/>
            </w:pPr>
            <w:r>
              <w:rPr>
                <w:color w:val="000000"/>
                <w:sz w:val="24"/>
              </w:rPr>
              <w:t>-0.63%</w:t>
            </w:r>
          </w:p>
        </w:tc>
        <w:tc>
          <w:tcPr>
            <w:tcW w:w="1267" w:type="dxa"/>
            <w:vAlign w:val="center"/>
          </w:tcPr>
          <w:p w:rsidR="005852E8" w:rsidRDefault="00210FB9">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852E8">
        <w:trPr>
          <w:jc w:val="center"/>
        </w:trPr>
        <w:tc>
          <w:tcPr>
            <w:tcW w:w="1266" w:type="dxa"/>
            <w:vAlign w:val="center"/>
          </w:tcPr>
          <w:p w:rsidR="005852E8" w:rsidRDefault="00210FB9">
            <w:pPr>
              <w:jc w:val="left"/>
            </w:pPr>
            <w:r>
              <w:rPr>
                <w:color w:val="000000"/>
                <w:sz w:val="24"/>
              </w:rPr>
              <w:t>过去三个月</w:t>
            </w:r>
          </w:p>
        </w:tc>
        <w:tc>
          <w:tcPr>
            <w:tcW w:w="1267" w:type="dxa"/>
            <w:vAlign w:val="center"/>
          </w:tcPr>
          <w:p w:rsidR="005852E8" w:rsidRDefault="00210FB9">
            <w:pPr>
              <w:jc w:val="center"/>
            </w:pPr>
            <w:r>
              <w:rPr>
                <w:color w:val="000000"/>
                <w:sz w:val="24"/>
              </w:rPr>
              <w:t>0.86%</w:t>
            </w:r>
          </w:p>
        </w:tc>
        <w:tc>
          <w:tcPr>
            <w:tcW w:w="1267" w:type="dxa"/>
            <w:vAlign w:val="center"/>
          </w:tcPr>
          <w:p w:rsidR="005852E8" w:rsidRDefault="00210FB9">
            <w:pPr>
              <w:jc w:val="center"/>
            </w:pPr>
            <w:r>
              <w:rPr>
                <w:color w:val="000000"/>
                <w:sz w:val="24"/>
              </w:rPr>
              <w:t>0.24%</w:t>
            </w:r>
          </w:p>
        </w:tc>
        <w:tc>
          <w:tcPr>
            <w:tcW w:w="1267" w:type="dxa"/>
            <w:vAlign w:val="center"/>
          </w:tcPr>
          <w:p w:rsidR="005852E8" w:rsidRDefault="00210FB9">
            <w:pPr>
              <w:jc w:val="center"/>
            </w:pPr>
            <w:r>
              <w:rPr>
                <w:color w:val="000000"/>
                <w:sz w:val="24"/>
              </w:rPr>
              <w:t>1.67%</w:t>
            </w:r>
          </w:p>
        </w:tc>
        <w:tc>
          <w:tcPr>
            <w:tcW w:w="1267" w:type="dxa"/>
            <w:vAlign w:val="center"/>
          </w:tcPr>
          <w:p w:rsidR="005852E8" w:rsidRDefault="00210FB9">
            <w:pPr>
              <w:jc w:val="center"/>
            </w:pPr>
            <w:r>
              <w:rPr>
                <w:color w:val="000000"/>
                <w:sz w:val="24"/>
              </w:rPr>
              <w:t>0.17%</w:t>
            </w:r>
          </w:p>
        </w:tc>
        <w:tc>
          <w:tcPr>
            <w:tcW w:w="1267" w:type="dxa"/>
            <w:vAlign w:val="center"/>
          </w:tcPr>
          <w:p w:rsidR="005852E8" w:rsidRDefault="00210FB9">
            <w:pPr>
              <w:jc w:val="center"/>
            </w:pPr>
            <w:r>
              <w:rPr>
                <w:color w:val="000000"/>
                <w:sz w:val="24"/>
              </w:rPr>
              <w:t>-0.81%</w:t>
            </w:r>
          </w:p>
        </w:tc>
        <w:tc>
          <w:tcPr>
            <w:tcW w:w="1267" w:type="dxa"/>
            <w:vAlign w:val="center"/>
          </w:tcPr>
          <w:p w:rsidR="005852E8" w:rsidRDefault="00210FB9">
            <w:pPr>
              <w:jc w:val="center"/>
            </w:pPr>
            <w:r>
              <w:rPr>
                <w:color w:val="000000"/>
                <w:sz w:val="24"/>
              </w:rPr>
              <w:t>0.07%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9238DB" w:rsidRPr="007F52FA" w:rsidRDefault="009238DB" w:rsidP="004A50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852E8">
        <w:trPr>
          <w:jc w:val="center"/>
        </w:trPr>
        <w:tc>
          <w:tcPr>
            <w:tcW w:w="946" w:type="dxa"/>
            <w:vAlign w:val="center"/>
          </w:tcPr>
          <w:p w:rsidR="005852E8" w:rsidRDefault="00210FB9">
            <w:pPr>
              <w:jc w:val="center"/>
            </w:pPr>
            <w:r>
              <w:rPr>
                <w:color w:val="000000"/>
                <w:sz w:val="24"/>
              </w:rPr>
              <w:t>赵凌琦</w:t>
            </w:r>
          </w:p>
        </w:tc>
        <w:tc>
          <w:tcPr>
            <w:tcW w:w="924" w:type="dxa"/>
            <w:vAlign w:val="center"/>
          </w:tcPr>
          <w:p w:rsidR="005852E8" w:rsidRDefault="00210FB9">
            <w:pPr>
              <w:jc w:val="center"/>
            </w:pPr>
            <w:r>
              <w:rPr>
                <w:color w:val="000000"/>
                <w:sz w:val="24"/>
              </w:rPr>
              <w:t>本基金、交银理财</w:t>
            </w:r>
            <w:r>
              <w:rPr>
                <w:color w:val="000000"/>
                <w:sz w:val="24"/>
              </w:rPr>
              <w:t>60</w:t>
            </w:r>
            <w:r>
              <w:rPr>
                <w:color w:val="000000"/>
                <w:sz w:val="24"/>
              </w:rPr>
              <w:t>天债券、交银定期支付月月丰债券、交银强化回报债券、交银丰盈收益债券的基金经理，公司固定收益部副总经理</w:t>
            </w:r>
          </w:p>
        </w:tc>
        <w:tc>
          <w:tcPr>
            <w:tcW w:w="1202" w:type="dxa"/>
            <w:vAlign w:val="center"/>
          </w:tcPr>
          <w:p w:rsidR="005852E8" w:rsidRDefault="00210FB9">
            <w:pPr>
              <w:jc w:val="center"/>
            </w:pPr>
            <w:r>
              <w:rPr>
                <w:color w:val="000000"/>
                <w:sz w:val="24"/>
              </w:rPr>
              <w:t>2014-03-31</w:t>
            </w:r>
          </w:p>
        </w:tc>
        <w:tc>
          <w:tcPr>
            <w:tcW w:w="1300" w:type="dxa"/>
            <w:vAlign w:val="center"/>
          </w:tcPr>
          <w:p w:rsidR="005852E8" w:rsidRDefault="00210FB9">
            <w:pPr>
              <w:jc w:val="center"/>
            </w:pPr>
            <w:r>
              <w:rPr>
                <w:color w:val="000000"/>
                <w:sz w:val="24"/>
              </w:rPr>
              <w:t>-</w:t>
            </w:r>
          </w:p>
        </w:tc>
        <w:tc>
          <w:tcPr>
            <w:tcW w:w="1245" w:type="dxa"/>
            <w:vAlign w:val="center"/>
          </w:tcPr>
          <w:p w:rsidR="005852E8" w:rsidRDefault="00210FB9">
            <w:pPr>
              <w:jc w:val="center"/>
            </w:pPr>
            <w:r>
              <w:rPr>
                <w:color w:val="000000"/>
                <w:sz w:val="24"/>
              </w:rPr>
              <w:t>1</w:t>
            </w:r>
            <w:r>
              <w:rPr>
                <w:color w:val="000000"/>
                <w:sz w:val="24"/>
              </w:rPr>
              <w:t>年</w:t>
            </w:r>
          </w:p>
        </w:tc>
        <w:tc>
          <w:tcPr>
            <w:tcW w:w="3251" w:type="dxa"/>
            <w:vAlign w:val="center"/>
          </w:tcPr>
          <w:p w:rsidR="005852E8" w:rsidRDefault="00210FB9">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5852E8">
        <w:trPr>
          <w:jc w:val="center"/>
        </w:trPr>
        <w:tc>
          <w:tcPr>
            <w:tcW w:w="946" w:type="dxa"/>
            <w:vAlign w:val="center"/>
          </w:tcPr>
          <w:p w:rsidR="005852E8" w:rsidRDefault="00210FB9">
            <w:pPr>
              <w:jc w:val="center"/>
            </w:pPr>
            <w:r>
              <w:rPr>
                <w:color w:val="000000"/>
                <w:sz w:val="24"/>
              </w:rPr>
              <w:t>孙超</w:t>
            </w:r>
          </w:p>
        </w:tc>
        <w:tc>
          <w:tcPr>
            <w:tcW w:w="924" w:type="dxa"/>
            <w:vAlign w:val="center"/>
          </w:tcPr>
          <w:p w:rsidR="005852E8" w:rsidRDefault="00210FB9">
            <w:pPr>
              <w:jc w:val="center"/>
            </w:pPr>
            <w:r>
              <w:rPr>
                <w:color w:val="000000"/>
                <w:sz w:val="24"/>
              </w:rPr>
              <w:t>本基金、交银理财</w:t>
            </w:r>
            <w:r>
              <w:rPr>
                <w:color w:val="000000"/>
                <w:sz w:val="24"/>
              </w:rPr>
              <w:t>60</w:t>
            </w:r>
            <w:r>
              <w:rPr>
                <w:color w:val="000000"/>
                <w:sz w:val="24"/>
              </w:rPr>
              <w:t>天债券、交银定期支付月月丰债券、交银强化回报债券、交银丰润收益债券的基金经理</w:t>
            </w:r>
          </w:p>
        </w:tc>
        <w:tc>
          <w:tcPr>
            <w:tcW w:w="1202" w:type="dxa"/>
            <w:vAlign w:val="center"/>
          </w:tcPr>
          <w:p w:rsidR="005852E8" w:rsidRDefault="00210FB9">
            <w:pPr>
              <w:jc w:val="center"/>
            </w:pPr>
            <w:r>
              <w:rPr>
                <w:color w:val="000000"/>
                <w:sz w:val="24"/>
              </w:rPr>
              <w:t>2014-08-26</w:t>
            </w:r>
          </w:p>
        </w:tc>
        <w:tc>
          <w:tcPr>
            <w:tcW w:w="1300" w:type="dxa"/>
            <w:vAlign w:val="center"/>
          </w:tcPr>
          <w:p w:rsidR="005852E8" w:rsidRDefault="00210FB9">
            <w:pPr>
              <w:jc w:val="center"/>
            </w:pPr>
            <w:r>
              <w:rPr>
                <w:color w:val="000000"/>
                <w:sz w:val="24"/>
              </w:rPr>
              <w:t>-</w:t>
            </w:r>
          </w:p>
        </w:tc>
        <w:tc>
          <w:tcPr>
            <w:tcW w:w="1245" w:type="dxa"/>
            <w:vAlign w:val="center"/>
          </w:tcPr>
          <w:p w:rsidR="005852E8" w:rsidRDefault="00210FB9">
            <w:pPr>
              <w:jc w:val="center"/>
            </w:pPr>
            <w:r>
              <w:rPr>
                <w:color w:val="000000"/>
                <w:sz w:val="24"/>
              </w:rPr>
              <w:t>3</w:t>
            </w:r>
            <w:r>
              <w:rPr>
                <w:color w:val="000000"/>
                <w:sz w:val="24"/>
              </w:rPr>
              <w:t>年</w:t>
            </w:r>
          </w:p>
        </w:tc>
        <w:tc>
          <w:tcPr>
            <w:tcW w:w="3251" w:type="dxa"/>
            <w:vAlign w:val="center"/>
          </w:tcPr>
          <w:p w:rsidR="005852E8" w:rsidRDefault="00210FB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852E8" w:rsidRDefault="00210FB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852E8" w:rsidRDefault="00210FB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852E8" w:rsidRDefault="00210FB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852E8" w:rsidRDefault="00210FB9">
      <w:pPr>
        <w:spacing w:before="29" w:line="288" w:lineRule="auto"/>
        <w:ind w:firstLineChars="200" w:firstLine="480"/>
        <w:rPr>
          <w:color w:val="000000"/>
          <w:sz w:val="24"/>
        </w:rPr>
      </w:pPr>
      <w:r>
        <w:rPr>
          <w:color w:val="000000"/>
          <w:sz w:val="24"/>
        </w:rPr>
        <w:t>2014</w:t>
      </w:r>
      <w:r>
        <w:rPr>
          <w:color w:val="000000"/>
          <w:sz w:val="24"/>
        </w:rPr>
        <w:t>年四季度政策面继续为经济保驾护航，在实体经济继续疲弱的局面下，市场迎来预期已久的全面降息，释放出明确的稳增长信号意义。</w:t>
      </w:r>
    </w:p>
    <w:p w:rsidR="005852E8" w:rsidRDefault="00210FB9">
      <w:pPr>
        <w:spacing w:before="29" w:line="288" w:lineRule="auto"/>
        <w:ind w:firstLineChars="200" w:firstLine="480"/>
        <w:rPr>
          <w:color w:val="000000"/>
          <w:sz w:val="24"/>
        </w:rPr>
      </w:pPr>
      <w:r>
        <w:rPr>
          <w:color w:val="000000"/>
          <w:sz w:val="24"/>
        </w:rPr>
        <w:t>全面降息的利好带动债券市场牛市情绪进一步发酵，</w:t>
      </w:r>
      <w:r>
        <w:rPr>
          <w:color w:val="000000"/>
          <w:sz w:val="24"/>
        </w:rPr>
        <w:t>12</w:t>
      </w:r>
      <w:r>
        <w:rPr>
          <w:color w:val="000000"/>
          <w:sz w:val="24"/>
        </w:rPr>
        <w:t>月初中证登发布的《关于加强企业债券回购风险管理相关措施的通知》则引发大量企业债（尤其是城投债）的价值重估。中债总全价（总值）指数在</w:t>
      </w:r>
      <w:r>
        <w:rPr>
          <w:color w:val="000000"/>
          <w:sz w:val="24"/>
        </w:rPr>
        <w:t>10</w:t>
      </w:r>
      <w:r>
        <w:rPr>
          <w:color w:val="000000"/>
          <w:sz w:val="24"/>
        </w:rPr>
        <w:t>月上涨</w:t>
      </w:r>
      <w:r>
        <w:rPr>
          <w:color w:val="000000"/>
          <w:sz w:val="24"/>
        </w:rPr>
        <w:t>1.74%</w:t>
      </w:r>
      <w:r>
        <w:rPr>
          <w:color w:val="000000"/>
          <w:sz w:val="24"/>
        </w:rPr>
        <w:t>，</w:t>
      </w:r>
      <w:r>
        <w:rPr>
          <w:color w:val="000000"/>
          <w:sz w:val="24"/>
        </w:rPr>
        <w:t>11</w:t>
      </w:r>
      <w:r>
        <w:rPr>
          <w:color w:val="000000"/>
          <w:sz w:val="24"/>
        </w:rPr>
        <w:t>月上涨</w:t>
      </w:r>
      <w:r>
        <w:rPr>
          <w:color w:val="000000"/>
          <w:sz w:val="24"/>
        </w:rPr>
        <w:t>1.34%</w:t>
      </w:r>
      <w:r>
        <w:rPr>
          <w:color w:val="000000"/>
          <w:sz w:val="24"/>
        </w:rPr>
        <w:t>，</w:t>
      </w:r>
      <w:r>
        <w:rPr>
          <w:color w:val="000000"/>
          <w:sz w:val="24"/>
        </w:rPr>
        <w:t>12</w:t>
      </w:r>
      <w:r>
        <w:rPr>
          <w:color w:val="000000"/>
          <w:sz w:val="24"/>
        </w:rPr>
        <w:t>月下跌</w:t>
      </w:r>
      <w:r>
        <w:rPr>
          <w:color w:val="000000"/>
          <w:sz w:val="24"/>
        </w:rPr>
        <w:t>0.64%</w:t>
      </w:r>
      <w:r>
        <w:rPr>
          <w:color w:val="000000"/>
          <w:sz w:val="24"/>
        </w:rPr>
        <w:t>。</w:t>
      </w:r>
      <w:r>
        <w:rPr>
          <w:color w:val="000000"/>
          <w:sz w:val="24"/>
        </w:rPr>
        <w:t>12</w:t>
      </w:r>
      <w:r>
        <w:rPr>
          <w:color w:val="000000"/>
          <w:sz w:val="24"/>
        </w:rPr>
        <w:t>月初以来受中证登事件影响，净值有一定程度的回撤。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2015</w:t>
      </w:r>
      <w:r w:rsidRPr="007F52FA">
        <w:rPr>
          <w:color w:val="000000"/>
          <w:sz w:val="24"/>
        </w:rPr>
        <w:t>年一季度，在全面放松的政策并未带来实体经济如期反弹的现实压力下，政策进退两难的困境凸显。降低融资成本的重任或许会从债券市场转移到权益市场，这也会带来债券投资的新逻辑。信贷和地产销售回暖带来的不确定性会是未来债市承压最大的阻力，后续应密切关注信贷和地产数据作为进一步判断的依据。在投资上相机抉择，随时保持回调的警惕性应该成为下一步投资的首要任务。警惕收益率曲线由牛平向熊陡转化的可能性。本基金一季度将转向短久期防御策略，力求获取稳定票息收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00210FB9">
        <w:rPr>
          <w:rFonts w:hint="eastAsia"/>
          <w:color w:val="000000"/>
          <w:sz w:val="24"/>
        </w:rPr>
        <w:t>12</w:t>
      </w:r>
      <w:r w:rsidRPr="007F52FA">
        <w:rPr>
          <w:color w:val="000000"/>
          <w:sz w:val="24"/>
        </w:rPr>
        <w:t>月</w:t>
      </w:r>
      <w:r w:rsidR="00210FB9">
        <w:rPr>
          <w:rFonts w:hint="eastAsia"/>
          <w:color w:val="000000"/>
          <w:sz w:val="24"/>
        </w:rPr>
        <w:t>31</w:t>
      </w:r>
      <w:r w:rsidRPr="007F52FA">
        <w:rPr>
          <w:color w:val="000000"/>
          <w:sz w:val="24"/>
        </w:rPr>
        <w:t>日，交银双轮动债券</w:t>
      </w:r>
      <w:r w:rsidRPr="007F52FA">
        <w:rPr>
          <w:color w:val="000000"/>
          <w:sz w:val="24"/>
        </w:rPr>
        <w:t>A/B</w:t>
      </w:r>
      <w:r w:rsidRPr="007F52FA">
        <w:rPr>
          <w:color w:val="000000"/>
          <w:sz w:val="24"/>
        </w:rPr>
        <w:t>份额净值</w:t>
      </w:r>
      <w:r w:rsidRPr="007F52FA">
        <w:rPr>
          <w:color w:val="000000"/>
          <w:sz w:val="24"/>
        </w:rPr>
        <w:t>1.0</w:t>
      </w:r>
      <w:r w:rsidR="00210FB9">
        <w:rPr>
          <w:rFonts w:hint="eastAsia"/>
          <w:color w:val="000000"/>
          <w:sz w:val="24"/>
        </w:rPr>
        <w:t>53</w:t>
      </w:r>
      <w:r w:rsidRPr="007F52FA">
        <w:rPr>
          <w:color w:val="000000"/>
          <w:sz w:val="24"/>
        </w:rPr>
        <w:t>元，本报告期份额净值增长率为</w:t>
      </w:r>
      <w:r w:rsidR="00210FB9">
        <w:rPr>
          <w:rFonts w:hint="eastAsia"/>
          <w:color w:val="000000"/>
          <w:sz w:val="24"/>
        </w:rPr>
        <w:t>1.04</w:t>
      </w:r>
      <w:r w:rsidRPr="007F52FA">
        <w:rPr>
          <w:color w:val="000000"/>
          <w:sz w:val="24"/>
        </w:rPr>
        <w:t>%</w:t>
      </w:r>
      <w:r w:rsidRPr="007F52FA">
        <w:rPr>
          <w:color w:val="000000"/>
          <w:sz w:val="24"/>
        </w:rPr>
        <w:t>，同期业绩比较基准增长率为</w:t>
      </w:r>
      <w:r w:rsidR="00210FB9">
        <w:rPr>
          <w:rFonts w:hint="eastAsia"/>
          <w:color w:val="000000"/>
          <w:sz w:val="24"/>
        </w:rPr>
        <w:t>1.67</w:t>
      </w:r>
      <w:r w:rsidRPr="007F52FA">
        <w:rPr>
          <w:color w:val="000000"/>
          <w:sz w:val="24"/>
        </w:rPr>
        <w:t>%</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w:t>
      </w:r>
      <w:r w:rsidR="00210FB9">
        <w:rPr>
          <w:rFonts w:hint="eastAsia"/>
          <w:color w:val="000000"/>
          <w:sz w:val="24"/>
        </w:rPr>
        <w:t>47</w:t>
      </w:r>
      <w:r w:rsidRPr="007F52FA">
        <w:rPr>
          <w:color w:val="000000"/>
          <w:sz w:val="24"/>
        </w:rPr>
        <w:t>元，本报告期份额净值增长率为</w:t>
      </w:r>
      <w:r w:rsidR="00210FB9">
        <w:rPr>
          <w:rFonts w:hint="eastAsia"/>
          <w:color w:val="000000"/>
          <w:sz w:val="24"/>
        </w:rPr>
        <w:t>0.86</w:t>
      </w:r>
      <w:r w:rsidRPr="007F52FA">
        <w:rPr>
          <w:color w:val="000000"/>
          <w:sz w:val="24"/>
        </w:rPr>
        <w:t>%</w:t>
      </w:r>
      <w:r w:rsidRPr="007F52FA">
        <w:rPr>
          <w:color w:val="000000"/>
          <w:sz w:val="24"/>
        </w:rPr>
        <w:t>，同期业绩比较基准增长率为</w:t>
      </w:r>
      <w:r w:rsidR="00210FB9">
        <w:rPr>
          <w:rFonts w:hint="eastAsia"/>
          <w:color w:val="000000"/>
          <w:sz w:val="24"/>
        </w:rPr>
        <w:t>1.67</w:t>
      </w:r>
      <w:r w:rsidRPr="007F52FA">
        <w:rPr>
          <w:color w:val="000000"/>
          <w:sz w:val="24"/>
        </w:rPr>
        <w:t>%</w:t>
      </w:r>
      <w:r w:rsidRPr="007F52FA">
        <w:rPr>
          <w:color w:val="000000"/>
          <w:sz w:val="24"/>
        </w:rPr>
        <w:t>。</w:t>
      </w:r>
    </w:p>
    <w:p w:rsidR="00400FA6" w:rsidRDefault="00400FA6" w:rsidP="007C14DF">
      <w:pPr>
        <w:spacing w:before="29" w:line="288" w:lineRule="auto"/>
        <w:ind w:firstLineChars="200" w:firstLine="480"/>
        <w:rPr>
          <w:color w:val="000000"/>
          <w:sz w:val="24"/>
        </w:rPr>
      </w:pPr>
    </w:p>
    <w:p w:rsidR="008C3308" w:rsidRPr="002070B4" w:rsidRDefault="008C3308" w:rsidP="008C3308">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8C3308" w:rsidRDefault="008C3308" w:rsidP="008C3308">
      <w:pPr>
        <w:spacing w:before="29" w:line="288" w:lineRule="auto"/>
        <w:ind w:firstLineChars="200" w:firstLine="480"/>
        <w:rPr>
          <w:color w:val="000000"/>
          <w:sz w:val="24"/>
        </w:rPr>
      </w:pPr>
      <w:r w:rsidRPr="002070B4">
        <w:rPr>
          <w:color w:val="000000"/>
          <w:sz w:val="24"/>
        </w:rPr>
        <w:t>本基金本报告期内无需预警说明。</w:t>
      </w:r>
    </w:p>
    <w:p w:rsidR="008C3308" w:rsidRPr="007F52FA" w:rsidRDefault="008C3308" w:rsidP="008C3308">
      <w:pPr>
        <w:spacing w:before="29" w:line="288" w:lineRule="auto"/>
        <w:ind w:firstLineChars="200" w:firstLine="480"/>
        <w:rPr>
          <w:color w:val="000000"/>
          <w:sz w:val="24"/>
        </w:rPr>
      </w:pPr>
    </w:p>
    <w:p w:rsidR="009238DB" w:rsidRPr="007F52FA" w:rsidRDefault="00FF5FC7" w:rsidP="004A50E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339,717,697.20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339,717,697.20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33,980,248.31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4,580,084.21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1.11</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19,095,476.61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20,035,876.72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412,829,298.84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23,240,562.00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23,240,562.00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197,102,335.20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88,788,800.00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36.37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30,586,000.00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339,717,697.20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139.15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852E8">
        <w:trPr>
          <w:jc w:val="center"/>
        </w:trPr>
        <w:tc>
          <w:tcPr>
            <w:tcW w:w="1075" w:type="dxa"/>
            <w:vAlign w:val="center"/>
          </w:tcPr>
          <w:p w:rsidR="005852E8" w:rsidRDefault="00210FB9">
            <w:pPr>
              <w:jc w:val="center"/>
            </w:pPr>
            <w:r>
              <w:rPr>
                <w:color w:val="000000"/>
                <w:sz w:val="24"/>
              </w:rPr>
              <w:t>1</w:t>
            </w:r>
          </w:p>
        </w:tc>
        <w:tc>
          <w:tcPr>
            <w:tcW w:w="1533" w:type="dxa"/>
            <w:vAlign w:val="center"/>
          </w:tcPr>
          <w:p w:rsidR="005852E8" w:rsidRDefault="00210FB9">
            <w:pPr>
              <w:jc w:val="center"/>
            </w:pPr>
            <w:r>
              <w:rPr>
                <w:color w:val="000000"/>
                <w:sz w:val="24"/>
              </w:rPr>
              <w:t>122259</w:t>
            </w:r>
          </w:p>
        </w:tc>
        <w:tc>
          <w:tcPr>
            <w:tcW w:w="1533" w:type="dxa"/>
            <w:vAlign w:val="center"/>
          </w:tcPr>
          <w:p w:rsidR="005852E8" w:rsidRDefault="00210FB9">
            <w:pPr>
              <w:jc w:val="center"/>
            </w:pPr>
            <w:r>
              <w:rPr>
                <w:color w:val="000000"/>
                <w:sz w:val="24"/>
              </w:rPr>
              <w:t>13</w:t>
            </w:r>
            <w:r>
              <w:rPr>
                <w:color w:val="000000"/>
                <w:sz w:val="24"/>
              </w:rPr>
              <w:t>中信</w:t>
            </w:r>
            <w:r>
              <w:rPr>
                <w:color w:val="000000"/>
                <w:sz w:val="24"/>
              </w:rPr>
              <w:t>01</w:t>
            </w:r>
          </w:p>
        </w:tc>
        <w:tc>
          <w:tcPr>
            <w:tcW w:w="1394" w:type="dxa"/>
            <w:vAlign w:val="center"/>
          </w:tcPr>
          <w:p w:rsidR="005852E8" w:rsidRDefault="00210FB9">
            <w:pPr>
              <w:jc w:val="right"/>
            </w:pPr>
            <w:r>
              <w:rPr>
                <w:color w:val="000000"/>
                <w:sz w:val="24"/>
              </w:rPr>
              <w:t>300,000</w:t>
            </w:r>
          </w:p>
        </w:tc>
        <w:tc>
          <w:tcPr>
            <w:tcW w:w="1944" w:type="dxa"/>
            <w:vAlign w:val="center"/>
          </w:tcPr>
          <w:p w:rsidR="005852E8" w:rsidRDefault="00210FB9">
            <w:pPr>
              <w:jc w:val="right"/>
            </w:pPr>
            <w:r>
              <w:rPr>
                <w:color w:val="000000"/>
                <w:sz w:val="24"/>
              </w:rPr>
              <w:t>30,060,000.00</w:t>
            </w:r>
          </w:p>
        </w:tc>
        <w:tc>
          <w:tcPr>
            <w:tcW w:w="1389" w:type="dxa"/>
            <w:vAlign w:val="center"/>
          </w:tcPr>
          <w:p w:rsidR="005852E8" w:rsidRDefault="00210FB9">
            <w:pPr>
              <w:jc w:val="right"/>
            </w:pPr>
            <w:r>
              <w:rPr>
                <w:color w:val="000000"/>
                <w:sz w:val="24"/>
              </w:rPr>
              <w:t>12.31</w:t>
            </w:r>
          </w:p>
        </w:tc>
      </w:tr>
      <w:tr w:rsidR="005852E8">
        <w:trPr>
          <w:jc w:val="center"/>
        </w:trPr>
        <w:tc>
          <w:tcPr>
            <w:tcW w:w="1075" w:type="dxa"/>
            <w:vAlign w:val="center"/>
          </w:tcPr>
          <w:p w:rsidR="005852E8" w:rsidRDefault="00210FB9">
            <w:pPr>
              <w:jc w:val="center"/>
            </w:pPr>
            <w:r>
              <w:rPr>
                <w:color w:val="000000"/>
                <w:sz w:val="24"/>
              </w:rPr>
              <w:t>2</w:t>
            </w:r>
          </w:p>
        </w:tc>
        <w:tc>
          <w:tcPr>
            <w:tcW w:w="1533" w:type="dxa"/>
            <w:vAlign w:val="center"/>
          </w:tcPr>
          <w:p w:rsidR="005852E8" w:rsidRDefault="00210FB9">
            <w:pPr>
              <w:jc w:val="center"/>
            </w:pPr>
            <w:r>
              <w:rPr>
                <w:color w:val="000000"/>
                <w:sz w:val="24"/>
              </w:rPr>
              <w:t>124845</w:t>
            </w:r>
          </w:p>
        </w:tc>
        <w:tc>
          <w:tcPr>
            <w:tcW w:w="1533" w:type="dxa"/>
            <w:vAlign w:val="center"/>
          </w:tcPr>
          <w:p w:rsidR="005852E8" w:rsidRDefault="00210FB9">
            <w:pPr>
              <w:jc w:val="center"/>
            </w:pPr>
            <w:r>
              <w:rPr>
                <w:color w:val="000000"/>
                <w:sz w:val="24"/>
              </w:rPr>
              <w:t>14</w:t>
            </w:r>
            <w:r>
              <w:rPr>
                <w:color w:val="000000"/>
                <w:sz w:val="24"/>
              </w:rPr>
              <w:t>晋开发</w:t>
            </w:r>
          </w:p>
        </w:tc>
        <w:tc>
          <w:tcPr>
            <w:tcW w:w="1394" w:type="dxa"/>
            <w:vAlign w:val="center"/>
          </w:tcPr>
          <w:p w:rsidR="005852E8" w:rsidRDefault="00210FB9">
            <w:pPr>
              <w:jc w:val="right"/>
            </w:pPr>
            <w:r>
              <w:rPr>
                <w:color w:val="000000"/>
                <w:sz w:val="24"/>
              </w:rPr>
              <w:t>199,990</w:t>
            </w:r>
          </w:p>
        </w:tc>
        <w:tc>
          <w:tcPr>
            <w:tcW w:w="1944" w:type="dxa"/>
            <w:vAlign w:val="center"/>
          </w:tcPr>
          <w:p w:rsidR="005852E8" w:rsidRDefault="00210FB9">
            <w:pPr>
              <w:jc w:val="right"/>
            </w:pPr>
            <w:r>
              <w:rPr>
                <w:color w:val="000000"/>
                <w:sz w:val="24"/>
              </w:rPr>
              <w:t>21,298,935.00</w:t>
            </w:r>
          </w:p>
        </w:tc>
        <w:tc>
          <w:tcPr>
            <w:tcW w:w="1389" w:type="dxa"/>
            <w:vAlign w:val="center"/>
          </w:tcPr>
          <w:p w:rsidR="005852E8" w:rsidRDefault="00210FB9">
            <w:pPr>
              <w:jc w:val="right"/>
            </w:pPr>
            <w:r>
              <w:rPr>
                <w:color w:val="000000"/>
                <w:sz w:val="24"/>
              </w:rPr>
              <w:t>8.72</w:t>
            </w:r>
          </w:p>
        </w:tc>
      </w:tr>
      <w:tr w:rsidR="005852E8">
        <w:trPr>
          <w:jc w:val="center"/>
        </w:trPr>
        <w:tc>
          <w:tcPr>
            <w:tcW w:w="1075" w:type="dxa"/>
            <w:vAlign w:val="center"/>
          </w:tcPr>
          <w:p w:rsidR="005852E8" w:rsidRDefault="00210FB9">
            <w:pPr>
              <w:jc w:val="center"/>
            </w:pPr>
            <w:r>
              <w:rPr>
                <w:color w:val="000000"/>
                <w:sz w:val="24"/>
              </w:rPr>
              <w:t>3</w:t>
            </w:r>
          </w:p>
        </w:tc>
        <w:tc>
          <w:tcPr>
            <w:tcW w:w="1533" w:type="dxa"/>
            <w:vAlign w:val="center"/>
          </w:tcPr>
          <w:p w:rsidR="005852E8" w:rsidRDefault="00210FB9">
            <w:pPr>
              <w:jc w:val="center"/>
            </w:pPr>
            <w:r>
              <w:rPr>
                <w:color w:val="000000"/>
                <w:sz w:val="24"/>
              </w:rPr>
              <w:t>122826</w:t>
            </w:r>
          </w:p>
        </w:tc>
        <w:tc>
          <w:tcPr>
            <w:tcW w:w="1533" w:type="dxa"/>
            <w:vAlign w:val="center"/>
          </w:tcPr>
          <w:p w:rsidR="005852E8" w:rsidRDefault="00210FB9">
            <w:pPr>
              <w:jc w:val="center"/>
            </w:pPr>
            <w:r>
              <w:rPr>
                <w:color w:val="000000"/>
                <w:sz w:val="24"/>
              </w:rPr>
              <w:t>11</w:t>
            </w:r>
            <w:r>
              <w:rPr>
                <w:color w:val="000000"/>
                <w:sz w:val="24"/>
              </w:rPr>
              <w:t>北港债</w:t>
            </w:r>
          </w:p>
        </w:tc>
        <w:tc>
          <w:tcPr>
            <w:tcW w:w="1394" w:type="dxa"/>
            <w:vAlign w:val="center"/>
          </w:tcPr>
          <w:p w:rsidR="005852E8" w:rsidRDefault="00210FB9">
            <w:pPr>
              <w:jc w:val="right"/>
            </w:pPr>
            <w:r>
              <w:rPr>
                <w:color w:val="000000"/>
                <w:sz w:val="24"/>
              </w:rPr>
              <w:t>200,000</w:t>
            </w:r>
          </w:p>
        </w:tc>
        <w:tc>
          <w:tcPr>
            <w:tcW w:w="1944" w:type="dxa"/>
            <w:vAlign w:val="center"/>
          </w:tcPr>
          <w:p w:rsidR="005852E8" w:rsidRDefault="00210FB9">
            <w:pPr>
              <w:jc w:val="right"/>
            </w:pPr>
            <w:r>
              <w:rPr>
                <w:color w:val="000000"/>
                <w:sz w:val="24"/>
              </w:rPr>
              <w:t>20,286,000.00</w:t>
            </w:r>
          </w:p>
        </w:tc>
        <w:tc>
          <w:tcPr>
            <w:tcW w:w="1389" w:type="dxa"/>
            <w:vAlign w:val="center"/>
          </w:tcPr>
          <w:p w:rsidR="005852E8" w:rsidRDefault="00210FB9">
            <w:pPr>
              <w:jc w:val="right"/>
            </w:pPr>
            <w:r>
              <w:rPr>
                <w:color w:val="000000"/>
                <w:sz w:val="24"/>
              </w:rPr>
              <w:t>8.31</w:t>
            </w:r>
          </w:p>
        </w:tc>
      </w:tr>
      <w:tr w:rsidR="005852E8">
        <w:trPr>
          <w:jc w:val="center"/>
        </w:trPr>
        <w:tc>
          <w:tcPr>
            <w:tcW w:w="1075" w:type="dxa"/>
            <w:vAlign w:val="center"/>
          </w:tcPr>
          <w:p w:rsidR="005852E8" w:rsidRDefault="00210FB9">
            <w:pPr>
              <w:jc w:val="center"/>
            </w:pPr>
            <w:r>
              <w:rPr>
                <w:color w:val="000000"/>
                <w:sz w:val="24"/>
              </w:rPr>
              <w:t>4</w:t>
            </w:r>
          </w:p>
        </w:tc>
        <w:tc>
          <w:tcPr>
            <w:tcW w:w="1533" w:type="dxa"/>
            <w:vAlign w:val="center"/>
          </w:tcPr>
          <w:p w:rsidR="005852E8" w:rsidRDefault="00210FB9">
            <w:pPr>
              <w:jc w:val="center"/>
            </w:pPr>
            <w:r>
              <w:rPr>
                <w:color w:val="000000"/>
                <w:sz w:val="24"/>
              </w:rPr>
              <w:t>1380149</w:t>
            </w:r>
          </w:p>
        </w:tc>
        <w:tc>
          <w:tcPr>
            <w:tcW w:w="1533" w:type="dxa"/>
            <w:vAlign w:val="center"/>
          </w:tcPr>
          <w:p w:rsidR="005852E8" w:rsidRDefault="00210FB9">
            <w:pPr>
              <w:jc w:val="center"/>
            </w:pPr>
            <w:r>
              <w:rPr>
                <w:color w:val="000000"/>
                <w:sz w:val="24"/>
              </w:rPr>
              <w:t>13</w:t>
            </w:r>
            <w:r>
              <w:rPr>
                <w:color w:val="000000"/>
                <w:sz w:val="24"/>
              </w:rPr>
              <w:t>营经开债</w:t>
            </w:r>
          </w:p>
        </w:tc>
        <w:tc>
          <w:tcPr>
            <w:tcW w:w="1394" w:type="dxa"/>
            <w:vAlign w:val="center"/>
          </w:tcPr>
          <w:p w:rsidR="005852E8" w:rsidRDefault="00210FB9">
            <w:pPr>
              <w:jc w:val="right"/>
            </w:pPr>
            <w:r>
              <w:rPr>
                <w:color w:val="000000"/>
                <w:sz w:val="24"/>
              </w:rPr>
              <w:t>200,000</w:t>
            </w:r>
          </w:p>
        </w:tc>
        <w:tc>
          <w:tcPr>
            <w:tcW w:w="1944" w:type="dxa"/>
            <w:vAlign w:val="center"/>
          </w:tcPr>
          <w:p w:rsidR="005852E8" w:rsidRDefault="00210FB9">
            <w:pPr>
              <w:jc w:val="right"/>
            </w:pPr>
            <w:r>
              <w:rPr>
                <w:color w:val="000000"/>
                <w:sz w:val="24"/>
              </w:rPr>
              <w:t>20,274,000.00</w:t>
            </w:r>
          </w:p>
        </w:tc>
        <w:tc>
          <w:tcPr>
            <w:tcW w:w="1389" w:type="dxa"/>
            <w:vAlign w:val="center"/>
          </w:tcPr>
          <w:p w:rsidR="005852E8" w:rsidRDefault="00210FB9">
            <w:pPr>
              <w:jc w:val="right"/>
            </w:pPr>
            <w:r>
              <w:rPr>
                <w:color w:val="000000"/>
                <w:sz w:val="24"/>
              </w:rPr>
              <w:t>8.30</w:t>
            </w:r>
          </w:p>
        </w:tc>
      </w:tr>
      <w:tr w:rsidR="005852E8">
        <w:trPr>
          <w:jc w:val="center"/>
        </w:trPr>
        <w:tc>
          <w:tcPr>
            <w:tcW w:w="1075" w:type="dxa"/>
            <w:vAlign w:val="center"/>
          </w:tcPr>
          <w:p w:rsidR="005852E8" w:rsidRDefault="00210FB9">
            <w:pPr>
              <w:jc w:val="center"/>
            </w:pPr>
            <w:r>
              <w:rPr>
                <w:color w:val="000000"/>
                <w:sz w:val="24"/>
              </w:rPr>
              <w:t>5</w:t>
            </w:r>
          </w:p>
        </w:tc>
        <w:tc>
          <w:tcPr>
            <w:tcW w:w="1533" w:type="dxa"/>
            <w:vAlign w:val="center"/>
          </w:tcPr>
          <w:p w:rsidR="005852E8" w:rsidRDefault="00210FB9">
            <w:pPr>
              <w:jc w:val="center"/>
            </w:pPr>
            <w:r>
              <w:rPr>
                <w:color w:val="000000"/>
                <w:sz w:val="24"/>
              </w:rPr>
              <w:t>041451013</w:t>
            </w:r>
          </w:p>
        </w:tc>
        <w:tc>
          <w:tcPr>
            <w:tcW w:w="1533" w:type="dxa"/>
            <w:vAlign w:val="center"/>
          </w:tcPr>
          <w:p w:rsidR="005852E8" w:rsidRDefault="00210FB9">
            <w:pPr>
              <w:jc w:val="center"/>
            </w:pPr>
            <w:r>
              <w:rPr>
                <w:color w:val="000000"/>
                <w:sz w:val="24"/>
              </w:rPr>
              <w:t>14</w:t>
            </w:r>
            <w:r>
              <w:rPr>
                <w:color w:val="000000"/>
                <w:sz w:val="24"/>
              </w:rPr>
              <w:t>连云港</w:t>
            </w:r>
            <w:r>
              <w:rPr>
                <w:color w:val="000000"/>
                <w:sz w:val="24"/>
              </w:rPr>
              <w:t>CP001</w:t>
            </w:r>
          </w:p>
        </w:tc>
        <w:tc>
          <w:tcPr>
            <w:tcW w:w="1394" w:type="dxa"/>
            <w:vAlign w:val="center"/>
          </w:tcPr>
          <w:p w:rsidR="005852E8" w:rsidRDefault="00210FB9">
            <w:pPr>
              <w:jc w:val="right"/>
            </w:pPr>
            <w:r>
              <w:rPr>
                <w:color w:val="000000"/>
                <w:sz w:val="24"/>
              </w:rPr>
              <w:t>200,000</w:t>
            </w:r>
          </w:p>
        </w:tc>
        <w:tc>
          <w:tcPr>
            <w:tcW w:w="1944" w:type="dxa"/>
            <w:vAlign w:val="center"/>
          </w:tcPr>
          <w:p w:rsidR="005852E8" w:rsidRDefault="00210FB9">
            <w:pPr>
              <w:jc w:val="right"/>
            </w:pPr>
            <w:r>
              <w:rPr>
                <w:color w:val="000000"/>
                <w:sz w:val="24"/>
              </w:rPr>
              <w:t>20,168,000.00</w:t>
            </w:r>
          </w:p>
        </w:tc>
        <w:tc>
          <w:tcPr>
            <w:tcW w:w="1389" w:type="dxa"/>
            <w:vAlign w:val="center"/>
          </w:tcPr>
          <w:p w:rsidR="005852E8" w:rsidRDefault="00210FB9">
            <w:pPr>
              <w:jc w:val="right"/>
            </w:pPr>
            <w:r>
              <w:rPr>
                <w:color w:val="000000"/>
                <w:sz w:val="24"/>
              </w:rPr>
              <w:t>8.26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29,042.81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10,003,333.91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10,003,500.00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20,035,876.72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4A50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144,843,140.66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164,675,380.53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156,790,898.56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97,180,065.25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141,220,292.22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190,010,001.54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160,413,747.00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71,845,444.24</w:t>
            </w:r>
          </w:p>
        </w:tc>
      </w:tr>
    </w:tbl>
    <w:p w:rsidR="005852E8" w:rsidRDefault="00210FB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4A50E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4A50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依据中国证监会《关于进一步规范证券投资基金估值业务的指导意见》（证监会公告</w:t>
      </w:r>
      <w:r w:rsidRPr="007F52FA">
        <w:rPr>
          <w:rFonts w:eastAsiaTheme="minorEastAsia"/>
          <w:color w:val="000000"/>
          <w:sz w:val="24"/>
        </w:rPr>
        <w:t>[2008]38</w:t>
      </w:r>
      <w:r w:rsidRPr="007F52FA">
        <w:rPr>
          <w:rFonts w:eastAsiaTheme="minorEastAsia"/>
          <w:color w:val="000000"/>
          <w:sz w:val="24"/>
        </w:rPr>
        <w:t>号）的有关规定和《关于发布中基协（</w:t>
      </w:r>
      <w:r w:rsidRPr="007F52FA">
        <w:rPr>
          <w:rFonts w:eastAsiaTheme="minorEastAsia"/>
          <w:color w:val="000000"/>
          <w:sz w:val="24"/>
        </w:rPr>
        <w:t>AMAC</w:t>
      </w:r>
      <w:r w:rsidRPr="007F52FA">
        <w:rPr>
          <w:rFonts w:eastAsiaTheme="minorEastAsia"/>
          <w:color w:val="000000"/>
          <w:sz w:val="24"/>
        </w:rPr>
        <w:t>）基金行业股票估值指数的通知》的指导意见，经与基金托管人协商一致，本基金决定于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17</w:t>
      </w:r>
      <w:r w:rsidRPr="007F52FA">
        <w:rPr>
          <w:rFonts w:eastAsiaTheme="minorEastAsia"/>
          <w:color w:val="000000"/>
          <w:sz w:val="24"/>
        </w:rPr>
        <w:t>日起对其所持有的</w:t>
      </w:r>
      <w:r w:rsidRPr="007F52FA">
        <w:rPr>
          <w:rFonts w:eastAsiaTheme="minorEastAsia"/>
          <w:color w:val="000000"/>
          <w:sz w:val="24"/>
        </w:rPr>
        <w:t>“12</w:t>
      </w:r>
      <w:r w:rsidRPr="007F52FA">
        <w:rPr>
          <w:rFonts w:eastAsiaTheme="minorEastAsia"/>
          <w:color w:val="000000"/>
          <w:sz w:val="24"/>
        </w:rPr>
        <w:t>吴经开</w:t>
      </w:r>
      <w:r w:rsidRPr="007F52FA">
        <w:rPr>
          <w:rFonts w:eastAsiaTheme="minorEastAsia"/>
          <w:color w:val="000000"/>
          <w:sz w:val="24"/>
        </w:rPr>
        <w:t>”</w:t>
      </w:r>
      <w:r w:rsidRPr="007F52FA">
        <w:rPr>
          <w:rFonts w:eastAsiaTheme="minorEastAsia"/>
          <w:color w:val="000000"/>
          <w:sz w:val="24"/>
        </w:rPr>
        <w:t>债券的估值价按前一交易日的收盘价计算，并已于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22</w:t>
      </w:r>
      <w:r w:rsidRPr="007F52FA">
        <w:rPr>
          <w:rFonts w:eastAsiaTheme="minorEastAsia"/>
          <w:color w:val="000000"/>
          <w:sz w:val="24"/>
        </w:rPr>
        <w:t>日起恢复按市场价格进行估值。</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4A50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852E8" w:rsidRDefault="00210FB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C9" w:rsidRDefault="00A25FC9">
      <w:r>
        <w:separator/>
      </w:r>
    </w:p>
  </w:endnote>
  <w:endnote w:type="continuationSeparator" w:id="0">
    <w:p w:rsidR="00A25FC9" w:rsidRDefault="00A2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D687D">
      <w:rPr>
        <w:kern w:val="0"/>
        <w:szCs w:val="21"/>
      </w:rPr>
      <w:fldChar w:fldCharType="begin"/>
    </w:r>
    <w:r>
      <w:rPr>
        <w:kern w:val="0"/>
        <w:szCs w:val="21"/>
      </w:rPr>
      <w:instrText xml:space="preserve"> PAGE </w:instrText>
    </w:r>
    <w:r w:rsidR="001D687D">
      <w:rPr>
        <w:kern w:val="0"/>
        <w:szCs w:val="21"/>
      </w:rPr>
      <w:fldChar w:fldCharType="separate"/>
    </w:r>
    <w:r w:rsidR="001A61F4">
      <w:rPr>
        <w:noProof/>
        <w:kern w:val="0"/>
        <w:szCs w:val="21"/>
      </w:rPr>
      <w:t>1</w:t>
    </w:r>
    <w:r w:rsidR="001D687D">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D687D">
      <w:rPr>
        <w:kern w:val="0"/>
        <w:szCs w:val="21"/>
      </w:rPr>
      <w:fldChar w:fldCharType="begin"/>
    </w:r>
    <w:r>
      <w:rPr>
        <w:kern w:val="0"/>
        <w:szCs w:val="21"/>
      </w:rPr>
      <w:instrText xml:space="preserve"> NUMPAGES </w:instrText>
    </w:r>
    <w:r w:rsidR="001D687D">
      <w:rPr>
        <w:kern w:val="0"/>
        <w:szCs w:val="21"/>
      </w:rPr>
      <w:fldChar w:fldCharType="separate"/>
    </w:r>
    <w:r w:rsidR="001A61F4">
      <w:rPr>
        <w:noProof/>
        <w:kern w:val="0"/>
        <w:szCs w:val="21"/>
      </w:rPr>
      <w:t>13</w:t>
    </w:r>
    <w:r w:rsidR="001D687D">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D687D">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C9" w:rsidRDefault="00A25FC9">
      <w:r>
        <w:separator/>
      </w:r>
    </w:p>
  </w:footnote>
  <w:footnote w:type="continuationSeparator" w:id="0">
    <w:p w:rsidR="00A25FC9" w:rsidRDefault="00A2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1A61F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A61F4"/>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687D"/>
    <w:rsid w:val="001D724B"/>
    <w:rsid w:val="001E023C"/>
    <w:rsid w:val="001E0BA5"/>
    <w:rsid w:val="001E2012"/>
    <w:rsid w:val="001E6C11"/>
    <w:rsid w:val="001F03E1"/>
    <w:rsid w:val="001F1F19"/>
    <w:rsid w:val="001F2BD1"/>
    <w:rsid w:val="001F3080"/>
    <w:rsid w:val="001F3CC6"/>
    <w:rsid w:val="001F5F5F"/>
    <w:rsid w:val="00205064"/>
    <w:rsid w:val="0020548A"/>
    <w:rsid w:val="00210FB9"/>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50ED"/>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1EE6"/>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2E8"/>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3308"/>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5FC9"/>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5EA6F1C-F71D-454B-B852-0337E058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D690-C9B8-403A-9F46-FCDB4826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163</TotalTime>
  <Pages>13</Pages>
  <Words>1026</Words>
  <Characters>5850</Characters>
  <Application>Microsoft Office Word</Application>
  <DocSecurity>0</DocSecurity>
  <Lines>48</Lines>
  <Paragraphs>13</Paragraphs>
  <ScaleCrop>false</ScaleCrop>
  <Company>TRT. Ltd. Co.</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359</cp:revision>
  <cp:lastPrinted>2007-07-19T00:46:00Z</cp:lastPrinted>
  <dcterms:created xsi:type="dcterms:W3CDTF">2014-01-17T06:19:00Z</dcterms:created>
  <dcterms:modified xsi:type="dcterms:W3CDTF">2015-01-20T03:45:00Z</dcterms:modified>
</cp:coreProperties>
</file>