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交银施罗德理财</w:t>
      </w:r>
      <w:r w:rsidRPr="001E1B20">
        <w:rPr>
          <w:b/>
          <w:sz w:val="36"/>
          <w:szCs w:val="36"/>
        </w:rPr>
        <w:t>60</w:t>
      </w:r>
      <w:r w:rsidRPr="001E1B20">
        <w:rPr>
          <w:b/>
          <w:sz w:val="36"/>
          <w:szCs w:val="36"/>
        </w:rPr>
        <w:t>天债券型证券投资基金</w:t>
      </w:r>
    </w:p>
    <w:p w:rsidR="00B60E27" w:rsidRPr="001E1B20" w:rsidRDefault="00B60E27" w:rsidP="00281564">
      <w:pPr>
        <w:spacing w:before="29" w:line="288" w:lineRule="auto"/>
        <w:jc w:val="center"/>
        <w:rPr>
          <w:b/>
          <w:sz w:val="36"/>
          <w:szCs w:val="36"/>
        </w:rPr>
      </w:pPr>
      <w:r w:rsidRPr="001E1B20">
        <w:rPr>
          <w:b/>
          <w:sz w:val="36"/>
          <w:szCs w:val="36"/>
        </w:rPr>
        <w:t>2014</w:t>
      </w:r>
      <w:r w:rsidRPr="001E1B20">
        <w:rPr>
          <w:b/>
          <w:sz w:val="36"/>
          <w:szCs w:val="36"/>
        </w:rPr>
        <w:t>年第</w:t>
      </w:r>
      <w:r w:rsidRPr="001E1B20">
        <w:rPr>
          <w:b/>
          <w:sz w:val="36"/>
          <w:szCs w:val="36"/>
        </w:rPr>
        <w:t>4</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2014</w:t>
      </w:r>
      <w:r w:rsidRPr="001E1B20">
        <w:rPr>
          <w:b/>
          <w:sz w:val="36"/>
          <w:szCs w:val="36"/>
        </w:rPr>
        <w:t>年</w:t>
      </w:r>
      <w:r w:rsidRPr="001E1B20">
        <w:rPr>
          <w:b/>
          <w:sz w:val="36"/>
          <w:szCs w:val="36"/>
        </w:rPr>
        <w:t>12</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中国建设银行股份有限公司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二〇一五年一月二十二日</w:t>
      </w:r>
    </w:p>
    <w:p w:rsidR="00902E3F" w:rsidRPr="000E4C40" w:rsidRDefault="00902E3F" w:rsidP="00470341">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511FAF" w:rsidRDefault="0039440B">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511FAF" w:rsidRDefault="0039440B">
      <w:pPr>
        <w:adjustRightInd w:val="0"/>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2015</w:t>
      </w:r>
      <w:r>
        <w:rPr>
          <w:color w:val="000000"/>
          <w:sz w:val="24"/>
        </w:rPr>
        <w:t>年</w:t>
      </w:r>
      <w:r>
        <w:rPr>
          <w:color w:val="000000"/>
          <w:sz w:val="24"/>
        </w:rPr>
        <w:t>1</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511FAF" w:rsidRDefault="0039440B">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11FAF" w:rsidRDefault="0039440B">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511FAF" w:rsidRDefault="0039440B">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2014</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12</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470341">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479"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p>
        </w:tc>
      </w:tr>
      <w:tr w:rsidR="00D06255" w:rsidRPr="000E4C40" w:rsidTr="001E15D0">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519721</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479"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2013</w:t>
            </w:r>
            <w:r w:rsidRPr="000E4C40">
              <w:rPr>
                <w:color w:val="000000"/>
                <w:kern w:val="0"/>
                <w:sz w:val="24"/>
              </w:rPr>
              <w:t>年</w:t>
            </w:r>
            <w:r w:rsidRPr="000E4C40">
              <w:rPr>
                <w:color w:val="000000"/>
                <w:kern w:val="0"/>
                <w:sz w:val="24"/>
              </w:rPr>
              <w:t>3</w:t>
            </w:r>
            <w:r w:rsidRPr="000E4C40">
              <w:rPr>
                <w:color w:val="000000"/>
                <w:kern w:val="0"/>
                <w:sz w:val="24"/>
              </w:rPr>
              <w:t>月</w:t>
            </w:r>
            <w:r w:rsidRPr="000E4C40">
              <w:rPr>
                <w:color w:val="000000"/>
                <w:kern w:val="0"/>
                <w:sz w:val="24"/>
              </w:rPr>
              <w:t>13</w:t>
            </w:r>
            <w:r w:rsidRPr="000E4C40">
              <w:rPr>
                <w:color w:val="000000"/>
                <w:kern w:val="0"/>
                <w:sz w:val="24"/>
              </w:rPr>
              <w:t>日</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236,301,902.14</w:t>
            </w:r>
            <w:r w:rsidR="00C2005E" w:rsidRPr="000E4C40">
              <w:rPr>
                <w:rFonts w:hAnsi="宋体"/>
                <w:color w:val="000000"/>
                <w:kern w:val="0"/>
                <w:sz w:val="24"/>
              </w:rPr>
              <w:t>份</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人民币七天通知存款税后利率</w:t>
            </w:r>
          </w:p>
        </w:tc>
      </w:tr>
      <w:tr w:rsidR="00A01505" w:rsidRPr="000E4C40" w:rsidTr="001E15D0">
        <w:trPr>
          <w:jc w:val="center"/>
        </w:trPr>
        <w:tc>
          <w:tcPr>
            <w:tcW w:w="2835"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479"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本基金属于短期理财债券型证券投资基金，长期风险收益水平低于股票型基金、混合型基金及普通债券型</w:t>
            </w:r>
            <w:r w:rsidRPr="000E4C40">
              <w:rPr>
                <w:color w:val="000000"/>
                <w:kern w:val="0"/>
                <w:sz w:val="24"/>
              </w:rPr>
              <w:lastRenderedPageBreak/>
              <w:t>基金，高于货币市场型证券投资基金。</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中国建设银行股份有限公司</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739"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A</w:t>
            </w:r>
          </w:p>
        </w:tc>
        <w:tc>
          <w:tcPr>
            <w:tcW w:w="2740"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B</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739" w:type="dxa"/>
            <w:vAlign w:val="center"/>
          </w:tcPr>
          <w:p w:rsidR="00A805BC" w:rsidRPr="000E4C40" w:rsidRDefault="00A805BC" w:rsidP="00281564">
            <w:pPr>
              <w:spacing w:before="29" w:line="288" w:lineRule="auto"/>
              <w:jc w:val="left"/>
              <w:rPr>
                <w:sz w:val="24"/>
              </w:rPr>
            </w:pPr>
            <w:r w:rsidRPr="000E4C40">
              <w:rPr>
                <w:sz w:val="24"/>
              </w:rPr>
              <w:t>519721</w:t>
            </w:r>
          </w:p>
        </w:tc>
        <w:tc>
          <w:tcPr>
            <w:tcW w:w="2740" w:type="dxa"/>
            <w:vAlign w:val="center"/>
          </w:tcPr>
          <w:p w:rsidR="00A805BC" w:rsidRPr="000E4C40" w:rsidRDefault="00A805BC" w:rsidP="00281564">
            <w:pPr>
              <w:spacing w:before="29" w:line="288" w:lineRule="auto"/>
              <w:jc w:val="left"/>
              <w:rPr>
                <w:sz w:val="24"/>
              </w:rPr>
            </w:pPr>
            <w:r w:rsidRPr="000E4C40">
              <w:rPr>
                <w:sz w:val="24"/>
              </w:rPr>
              <w:t>519722</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739" w:type="dxa"/>
            <w:vAlign w:val="center"/>
          </w:tcPr>
          <w:p w:rsidR="00A805BC" w:rsidRPr="000E4C40" w:rsidRDefault="00A805BC" w:rsidP="00281564">
            <w:pPr>
              <w:spacing w:before="29" w:line="288" w:lineRule="auto"/>
              <w:jc w:val="left"/>
              <w:rPr>
                <w:sz w:val="24"/>
              </w:rPr>
            </w:pPr>
            <w:r w:rsidRPr="000E4C40">
              <w:rPr>
                <w:sz w:val="24"/>
              </w:rPr>
              <w:t>14,928,628.72</w:t>
            </w:r>
            <w:r w:rsidR="00764CF7" w:rsidRPr="000E4C40">
              <w:rPr>
                <w:rFonts w:hAnsi="宋体"/>
                <w:sz w:val="24"/>
              </w:rPr>
              <w:t>份</w:t>
            </w:r>
          </w:p>
        </w:tc>
        <w:tc>
          <w:tcPr>
            <w:tcW w:w="2740" w:type="dxa"/>
            <w:vAlign w:val="center"/>
          </w:tcPr>
          <w:p w:rsidR="00A805BC" w:rsidRPr="000E4C40" w:rsidRDefault="00A805BC" w:rsidP="00281564">
            <w:pPr>
              <w:spacing w:before="29" w:line="288" w:lineRule="auto"/>
              <w:jc w:val="left"/>
              <w:rPr>
                <w:sz w:val="24"/>
              </w:rPr>
            </w:pPr>
            <w:r w:rsidRPr="000E4C40">
              <w:rPr>
                <w:sz w:val="24"/>
              </w:rPr>
              <w:t>221,373,273.42</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470341">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(2014</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w:t>
            </w:r>
            <w:r w:rsidRPr="000E4C40">
              <w:rPr>
                <w:color w:val="000000"/>
                <w:sz w:val="24"/>
              </w:rPr>
              <w:t>-2014</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149,895.65</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1,401,168.64</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149,895.65</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1,401,168.64</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14,928,628.72</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221,373,273.42</w:t>
            </w:r>
          </w:p>
        </w:tc>
      </w:tr>
    </w:tbl>
    <w:p w:rsidR="00511FAF" w:rsidRDefault="0039440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、自合同生效日起，本基金实行销售服务费分类收费方式，分设两类基金份额：</w:t>
      </w:r>
      <w:r>
        <w:rPr>
          <w:color w:val="000000"/>
          <w:sz w:val="24"/>
        </w:rPr>
        <w:t>A</w:t>
      </w:r>
      <w:r>
        <w:rPr>
          <w:color w:val="000000"/>
          <w:sz w:val="24"/>
        </w:rPr>
        <w:t>类基金份额和</w:t>
      </w:r>
      <w:r>
        <w:rPr>
          <w:color w:val="000000"/>
          <w:sz w:val="24"/>
        </w:rPr>
        <w:t>B</w:t>
      </w:r>
      <w:r>
        <w:rPr>
          <w:color w:val="000000"/>
          <w:sz w:val="24"/>
        </w:rPr>
        <w:t>类基金份额。</w:t>
      </w:r>
      <w:r>
        <w:rPr>
          <w:color w:val="000000"/>
          <w:sz w:val="24"/>
        </w:rPr>
        <w:t>A</w:t>
      </w:r>
      <w:r>
        <w:rPr>
          <w:color w:val="000000"/>
          <w:sz w:val="24"/>
        </w:rPr>
        <w:t>类基金份额与</w:t>
      </w:r>
      <w:r>
        <w:rPr>
          <w:color w:val="000000"/>
          <w:sz w:val="24"/>
        </w:rPr>
        <w:t>B</w:t>
      </w:r>
      <w:r>
        <w:rPr>
          <w:color w:val="000000"/>
          <w:sz w:val="24"/>
        </w:rPr>
        <w:t>类基金份额的管理费、托管费相同，</w:t>
      </w:r>
      <w:r>
        <w:rPr>
          <w:color w:val="000000"/>
          <w:sz w:val="24"/>
        </w:rPr>
        <w:t>A</w:t>
      </w:r>
      <w:r>
        <w:rPr>
          <w:color w:val="000000"/>
          <w:sz w:val="24"/>
        </w:rPr>
        <w:t>类基金份额按照</w:t>
      </w:r>
      <w:r>
        <w:rPr>
          <w:color w:val="000000"/>
          <w:sz w:val="24"/>
        </w:rPr>
        <w:t>0.30%</w:t>
      </w:r>
      <w:r>
        <w:rPr>
          <w:color w:val="000000"/>
          <w:sz w:val="24"/>
        </w:rPr>
        <w:t>的年费率计提销售服务费，</w:t>
      </w:r>
      <w:r>
        <w:rPr>
          <w:color w:val="000000"/>
          <w:sz w:val="24"/>
        </w:rPr>
        <w:t>B</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交银理财</w:t>
      </w:r>
      <w:r w:rsidR="00834F7F" w:rsidRPr="000E4C40">
        <w:rPr>
          <w:rFonts w:ascii="Times New Roman" w:hAnsi="Times New Roman"/>
          <w:b/>
          <w:color w:val="auto"/>
        </w:rPr>
        <w:t>60</w:t>
      </w:r>
      <w:r w:rsidR="00834F7F" w:rsidRPr="000E4C40">
        <w:rPr>
          <w:rFonts w:ascii="Times New Roman" w:hAnsi="Times New Roman"/>
          <w:b/>
          <w:color w:val="auto"/>
        </w:rPr>
        <w:t>天债券</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lastRenderedPageBreak/>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511FAF">
        <w:trPr>
          <w:jc w:val="center"/>
        </w:trPr>
        <w:tc>
          <w:tcPr>
            <w:tcW w:w="1266" w:type="dxa"/>
            <w:vAlign w:val="center"/>
          </w:tcPr>
          <w:p w:rsidR="00511FAF" w:rsidRDefault="0039440B">
            <w:pPr>
              <w:jc w:val="left"/>
            </w:pPr>
            <w:r>
              <w:rPr>
                <w:color w:val="000000"/>
              </w:rPr>
              <w:lastRenderedPageBreak/>
              <w:t>过去三个月</w:t>
            </w:r>
          </w:p>
        </w:tc>
        <w:tc>
          <w:tcPr>
            <w:tcW w:w="1267" w:type="dxa"/>
            <w:vAlign w:val="center"/>
          </w:tcPr>
          <w:p w:rsidR="00511FAF" w:rsidRDefault="0039440B">
            <w:pPr>
              <w:jc w:val="center"/>
            </w:pPr>
            <w:r>
              <w:rPr>
                <w:color w:val="000000"/>
              </w:rPr>
              <w:t>1.0131%</w:t>
            </w:r>
          </w:p>
        </w:tc>
        <w:tc>
          <w:tcPr>
            <w:tcW w:w="1267" w:type="dxa"/>
            <w:vAlign w:val="center"/>
          </w:tcPr>
          <w:p w:rsidR="00511FAF" w:rsidRDefault="0039440B">
            <w:pPr>
              <w:jc w:val="center"/>
            </w:pPr>
            <w:r>
              <w:rPr>
                <w:color w:val="000000"/>
              </w:rPr>
              <w:t>0.0122%</w:t>
            </w:r>
          </w:p>
        </w:tc>
        <w:tc>
          <w:tcPr>
            <w:tcW w:w="1267" w:type="dxa"/>
            <w:vAlign w:val="center"/>
          </w:tcPr>
          <w:p w:rsidR="00511FAF" w:rsidRDefault="0039440B">
            <w:pPr>
              <w:jc w:val="center"/>
            </w:pPr>
            <w:r>
              <w:rPr>
                <w:color w:val="000000"/>
              </w:rPr>
              <w:t>0.3403%</w:t>
            </w:r>
          </w:p>
        </w:tc>
        <w:tc>
          <w:tcPr>
            <w:tcW w:w="1267" w:type="dxa"/>
            <w:vAlign w:val="center"/>
          </w:tcPr>
          <w:p w:rsidR="00511FAF" w:rsidRDefault="0039440B">
            <w:pPr>
              <w:jc w:val="center"/>
            </w:pPr>
            <w:r>
              <w:rPr>
                <w:color w:val="000000"/>
              </w:rPr>
              <w:t>0.0000%</w:t>
            </w:r>
          </w:p>
        </w:tc>
        <w:tc>
          <w:tcPr>
            <w:tcW w:w="1267" w:type="dxa"/>
            <w:vAlign w:val="center"/>
          </w:tcPr>
          <w:p w:rsidR="00511FAF" w:rsidRDefault="0039440B">
            <w:pPr>
              <w:jc w:val="center"/>
            </w:pPr>
            <w:r>
              <w:rPr>
                <w:color w:val="000000"/>
              </w:rPr>
              <w:t>0.6728%</w:t>
            </w:r>
          </w:p>
        </w:tc>
        <w:tc>
          <w:tcPr>
            <w:tcW w:w="1267" w:type="dxa"/>
            <w:vAlign w:val="center"/>
          </w:tcPr>
          <w:p w:rsidR="00511FAF" w:rsidRDefault="0039440B">
            <w:pPr>
              <w:jc w:val="center"/>
            </w:pPr>
            <w:r>
              <w:rPr>
                <w:color w:val="000000"/>
              </w:rPr>
              <w:t>0.0122%</w:t>
            </w:r>
          </w:p>
        </w:tc>
      </w:tr>
    </w:tbl>
    <w:p w:rsidR="00511FAF" w:rsidRDefault="0039440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交银理财</w:t>
      </w:r>
      <w:r w:rsidR="000B2044" w:rsidRPr="000E4C40">
        <w:rPr>
          <w:rFonts w:ascii="Times New Roman" w:hAnsi="Times New Roman"/>
          <w:b/>
          <w:color w:val="000000"/>
        </w:rPr>
        <w:t>60</w:t>
      </w:r>
      <w:r w:rsidR="000B2044" w:rsidRPr="000E4C40">
        <w:rPr>
          <w:rFonts w:ascii="Times New Roman" w:hAnsi="Times New Roman"/>
          <w:b/>
          <w:color w:val="000000"/>
        </w:rPr>
        <w:t>天债券</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511FAF">
        <w:trPr>
          <w:jc w:val="center"/>
        </w:trPr>
        <w:tc>
          <w:tcPr>
            <w:tcW w:w="1266" w:type="dxa"/>
            <w:vAlign w:val="center"/>
          </w:tcPr>
          <w:p w:rsidR="00511FAF" w:rsidRDefault="0039440B">
            <w:pPr>
              <w:jc w:val="left"/>
            </w:pPr>
            <w:r>
              <w:rPr>
                <w:color w:val="000000"/>
              </w:rPr>
              <w:t>过去三个月</w:t>
            </w:r>
          </w:p>
        </w:tc>
        <w:tc>
          <w:tcPr>
            <w:tcW w:w="1267" w:type="dxa"/>
            <w:vAlign w:val="center"/>
          </w:tcPr>
          <w:p w:rsidR="00511FAF" w:rsidRDefault="0039440B">
            <w:pPr>
              <w:jc w:val="center"/>
            </w:pPr>
            <w:r>
              <w:rPr>
                <w:color w:val="000000"/>
              </w:rPr>
              <w:t>0.6995%</w:t>
            </w:r>
          </w:p>
        </w:tc>
        <w:tc>
          <w:tcPr>
            <w:tcW w:w="1267" w:type="dxa"/>
            <w:vAlign w:val="center"/>
          </w:tcPr>
          <w:p w:rsidR="00511FAF" w:rsidRDefault="0039440B">
            <w:pPr>
              <w:jc w:val="center"/>
            </w:pPr>
            <w:r>
              <w:rPr>
                <w:color w:val="000000"/>
              </w:rPr>
              <w:t>0.0083%</w:t>
            </w:r>
          </w:p>
        </w:tc>
        <w:tc>
          <w:tcPr>
            <w:tcW w:w="1267" w:type="dxa"/>
            <w:vAlign w:val="center"/>
          </w:tcPr>
          <w:p w:rsidR="00511FAF" w:rsidRDefault="0039440B">
            <w:pPr>
              <w:jc w:val="center"/>
            </w:pPr>
            <w:r>
              <w:rPr>
                <w:color w:val="000000"/>
              </w:rPr>
              <w:t>0.3403%</w:t>
            </w:r>
          </w:p>
        </w:tc>
        <w:tc>
          <w:tcPr>
            <w:tcW w:w="1267" w:type="dxa"/>
            <w:vAlign w:val="center"/>
          </w:tcPr>
          <w:p w:rsidR="00511FAF" w:rsidRDefault="0039440B">
            <w:pPr>
              <w:jc w:val="center"/>
            </w:pPr>
            <w:r>
              <w:rPr>
                <w:color w:val="000000"/>
              </w:rPr>
              <w:t>0.0000%</w:t>
            </w:r>
          </w:p>
        </w:tc>
        <w:tc>
          <w:tcPr>
            <w:tcW w:w="1267" w:type="dxa"/>
            <w:vAlign w:val="center"/>
          </w:tcPr>
          <w:p w:rsidR="00511FAF" w:rsidRDefault="0039440B">
            <w:pPr>
              <w:jc w:val="center"/>
            </w:pPr>
            <w:r>
              <w:rPr>
                <w:color w:val="000000"/>
              </w:rPr>
              <w:t>0.3592%</w:t>
            </w:r>
          </w:p>
        </w:tc>
        <w:tc>
          <w:tcPr>
            <w:tcW w:w="1267" w:type="dxa"/>
            <w:vAlign w:val="center"/>
          </w:tcPr>
          <w:p w:rsidR="00511FAF" w:rsidRDefault="0039440B">
            <w:pPr>
              <w:jc w:val="center"/>
            </w:pPr>
            <w:r>
              <w:rPr>
                <w:color w:val="000000"/>
              </w:rPr>
              <w:t>0.0083%</w:t>
            </w:r>
          </w:p>
        </w:tc>
      </w:tr>
    </w:tbl>
    <w:p w:rsidR="00511FAF" w:rsidRDefault="0039440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Pr>
          <w:rFonts w:hint="eastAsia"/>
          <w:b/>
          <w:color w:val="000000"/>
          <w:kern w:val="0"/>
          <w:sz w:val="24"/>
        </w:rPr>
        <w:t xml:space="preserve"> </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交银施罗德理财</w:t>
      </w:r>
      <w:r w:rsidRPr="000E4C40">
        <w:rPr>
          <w:sz w:val="24"/>
        </w:rPr>
        <w:t>60</w:t>
      </w:r>
      <w:r w:rsidRPr="000E4C40">
        <w:rPr>
          <w:sz w:val="24"/>
        </w:rPr>
        <w:t>天债券型证券投资基金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2013</w:t>
      </w:r>
      <w:r w:rsidR="00D87D00" w:rsidRPr="000E4C40">
        <w:rPr>
          <w:color w:val="000000"/>
          <w:kern w:val="0"/>
          <w:sz w:val="24"/>
        </w:rPr>
        <w:t>年</w:t>
      </w:r>
      <w:r w:rsidR="00D87D00" w:rsidRPr="000E4C40">
        <w:rPr>
          <w:color w:val="000000"/>
          <w:kern w:val="0"/>
          <w:sz w:val="24"/>
        </w:rPr>
        <w:t>3</w:t>
      </w:r>
      <w:r w:rsidR="00D87D00" w:rsidRPr="000E4C40">
        <w:rPr>
          <w:color w:val="000000"/>
          <w:kern w:val="0"/>
          <w:sz w:val="24"/>
        </w:rPr>
        <w:t>月</w:t>
      </w:r>
      <w:r w:rsidR="00D87D00" w:rsidRPr="000E4C40">
        <w:rPr>
          <w:color w:val="000000"/>
          <w:kern w:val="0"/>
          <w:sz w:val="24"/>
        </w:rPr>
        <w:t>13</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2014</w:t>
      </w:r>
      <w:r w:rsidR="00A7219D" w:rsidRPr="000E4C40">
        <w:rPr>
          <w:color w:val="000000"/>
          <w:kern w:val="0"/>
          <w:sz w:val="24"/>
        </w:rPr>
        <w:t>年</w:t>
      </w:r>
      <w:r w:rsidR="00A7219D" w:rsidRPr="000E4C40">
        <w:rPr>
          <w:color w:val="000000"/>
          <w:kern w:val="0"/>
          <w:sz w:val="24"/>
        </w:rPr>
        <w:t>12</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交银理财</w:t>
      </w:r>
      <w:r w:rsidR="005F668B" w:rsidRPr="000E4C40">
        <w:rPr>
          <w:color w:val="000000"/>
          <w:kern w:val="0"/>
          <w:sz w:val="24"/>
        </w:rPr>
        <w:t>60</w:t>
      </w:r>
      <w:r w:rsidR="005F668B" w:rsidRPr="000E4C40">
        <w:rPr>
          <w:color w:val="000000"/>
          <w:kern w:val="0"/>
          <w:sz w:val="24"/>
        </w:rPr>
        <w:t>天债券</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470341">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511FAF">
        <w:trPr>
          <w:jc w:val="center"/>
        </w:trPr>
        <w:tc>
          <w:tcPr>
            <w:tcW w:w="945" w:type="dxa"/>
            <w:vAlign w:val="center"/>
          </w:tcPr>
          <w:p w:rsidR="00511FAF" w:rsidRDefault="0039440B">
            <w:pPr>
              <w:jc w:val="center"/>
            </w:pPr>
            <w:r>
              <w:rPr>
                <w:color w:val="000000"/>
                <w:sz w:val="24"/>
              </w:rPr>
              <w:t>赵凌琦</w:t>
            </w:r>
          </w:p>
        </w:tc>
        <w:tc>
          <w:tcPr>
            <w:tcW w:w="1589" w:type="dxa"/>
            <w:vAlign w:val="center"/>
          </w:tcPr>
          <w:p w:rsidR="00511FAF" w:rsidRDefault="0039440B">
            <w:pPr>
              <w:jc w:val="center"/>
            </w:pPr>
            <w:r>
              <w:rPr>
                <w:color w:val="000000"/>
                <w:sz w:val="24"/>
              </w:rPr>
              <w:t>本基金、交银双轮动债券、交银定期支付月月丰债券、交银强化回报债券、交银丰盈收益债券的基金经理，公司固定收益部副总经理</w:t>
            </w:r>
          </w:p>
        </w:tc>
        <w:tc>
          <w:tcPr>
            <w:tcW w:w="1478" w:type="dxa"/>
            <w:vAlign w:val="center"/>
          </w:tcPr>
          <w:p w:rsidR="00511FAF" w:rsidRDefault="0039440B">
            <w:pPr>
              <w:jc w:val="center"/>
            </w:pPr>
            <w:r>
              <w:rPr>
                <w:color w:val="000000"/>
                <w:sz w:val="24"/>
              </w:rPr>
              <w:t>2014-03-31</w:t>
            </w:r>
          </w:p>
        </w:tc>
        <w:tc>
          <w:tcPr>
            <w:tcW w:w="1478" w:type="dxa"/>
            <w:vAlign w:val="center"/>
          </w:tcPr>
          <w:p w:rsidR="00511FAF" w:rsidRDefault="0039440B">
            <w:pPr>
              <w:jc w:val="center"/>
            </w:pPr>
            <w:r>
              <w:rPr>
                <w:color w:val="000000"/>
                <w:sz w:val="24"/>
              </w:rPr>
              <w:t>-</w:t>
            </w:r>
          </w:p>
        </w:tc>
        <w:tc>
          <w:tcPr>
            <w:tcW w:w="986" w:type="dxa"/>
            <w:vAlign w:val="center"/>
          </w:tcPr>
          <w:p w:rsidR="00511FAF" w:rsidRDefault="0039440B">
            <w:pPr>
              <w:jc w:val="center"/>
            </w:pPr>
            <w:r>
              <w:rPr>
                <w:color w:val="000000"/>
                <w:sz w:val="24"/>
              </w:rPr>
              <w:t>1</w:t>
            </w:r>
            <w:r>
              <w:rPr>
                <w:color w:val="000000"/>
                <w:sz w:val="24"/>
              </w:rPr>
              <w:t>年</w:t>
            </w:r>
          </w:p>
        </w:tc>
        <w:tc>
          <w:tcPr>
            <w:tcW w:w="2392" w:type="dxa"/>
            <w:vAlign w:val="center"/>
          </w:tcPr>
          <w:p w:rsidR="00511FAF" w:rsidRDefault="0039440B">
            <w:r>
              <w:rPr>
                <w:color w:val="000000"/>
                <w:sz w:val="24"/>
              </w:rPr>
              <w:t>赵凌琦女士，</w:t>
            </w:r>
            <w:r>
              <w:rPr>
                <w:color w:val="000000"/>
                <w:sz w:val="24"/>
              </w:rPr>
              <w:t>10</w:t>
            </w:r>
            <w:r>
              <w:rPr>
                <w:color w:val="000000"/>
                <w:sz w:val="24"/>
              </w:rPr>
              <w:t>年金融投资经验，财政部财政科研所经济学硕士。历任中国航空集团财务公司投资经理，中国人寿资产管理有限公司投资经理。</w:t>
            </w:r>
            <w:r>
              <w:rPr>
                <w:color w:val="000000"/>
                <w:sz w:val="24"/>
              </w:rPr>
              <w:t>2013</w:t>
            </w:r>
            <w:r>
              <w:rPr>
                <w:color w:val="000000"/>
                <w:sz w:val="24"/>
              </w:rPr>
              <w:t>年加入交银施罗德基金管理有限公司。</w:t>
            </w:r>
          </w:p>
        </w:tc>
      </w:tr>
      <w:tr w:rsidR="00511FAF">
        <w:trPr>
          <w:jc w:val="center"/>
        </w:trPr>
        <w:tc>
          <w:tcPr>
            <w:tcW w:w="945" w:type="dxa"/>
            <w:vAlign w:val="center"/>
          </w:tcPr>
          <w:p w:rsidR="00511FAF" w:rsidRDefault="0039440B">
            <w:pPr>
              <w:jc w:val="center"/>
            </w:pPr>
            <w:r>
              <w:rPr>
                <w:color w:val="000000"/>
                <w:sz w:val="24"/>
              </w:rPr>
              <w:t>孙超</w:t>
            </w:r>
          </w:p>
        </w:tc>
        <w:tc>
          <w:tcPr>
            <w:tcW w:w="1589" w:type="dxa"/>
            <w:vAlign w:val="center"/>
          </w:tcPr>
          <w:p w:rsidR="00511FAF" w:rsidRDefault="0039440B">
            <w:pPr>
              <w:jc w:val="center"/>
            </w:pPr>
            <w:r>
              <w:rPr>
                <w:color w:val="000000"/>
                <w:sz w:val="24"/>
              </w:rPr>
              <w:t>本基金、交银双轮动债券、交银定期支付月月丰债券、交银强化回报债券、交银丰润收益债券的基金经理</w:t>
            </w:r>
          </w:p>
        </w:tc>
        <w:tc>
          <w:tcPr>
            <w:tcW w:w="1478" w:type="dxa"/>
            <w:vAlign w:val="center"/>
          </w:tcPr>
          <w:p w:rsidR="00511FAF" w:rsidRDefault="0039440B">
            <w:pPr>
              <w:jc w:val="center"/>
            </w:pPr>
            <w:r>
              <w:rPr>
                <w:color w:val="000000"/>
                <w:sz w:val="24"/>
              </w:rPr>
              <w:t>2014-08-26</w:t>
            </w:r>
          </w:p>
        </w:tc>
        <w:tc>
          <w:tcPr>
            <w:tcW w:w="1478" w:type="dxa"/>
            <w:vAlign w:val="center"/>
          </w:tcPr>
          <w:p w:rsidR="00511FAF" w:rsidRDefault="0039440B">
            <w:pPr>
              <w:jc w:val="center"/>
            </w:pPr>
            <w:r>
              <w:rPr>
                <w:color w:val="000000"/>
                <w:sz w:val="24"/>
              </w:rPr>
              <w:t>-</w:t>
            </w:r>
          </w:p>
        </w:tc>
        <w:tc>
          <w:tcPr>
            <w:tcW w:w="986" w:type="dxa"/>
            <w:vAlign w:val="center"/>
          </w:tcPr>
          <w:p w:rsidR="00511FAF" w:rsidRDefault="0039440B">
            <w:pPr>
              <w:jc w:val="center"/>
            </w:pPr>
            <w:r>
              <w:rPr>
                <w:color w:val="000000"/>
                <w:sz w:val="24"/>
              </w:rPr>
              <w:t>3</w:t>
            </w:r>
            <w:r>
              <w:rPr>
                <w:color w:val="000000"/>
                <w:sz w:val="24"/>
              </w:rPr>
              <w:t>年</w:t>
            </w:r>
          </w:p>
        </w:tc>
        <w:tc>
          <w:tcPr>
            <w:tcW w:w="2392" w:type="dxa"/>
            <w:vAlign w:val="center"/>
          </w:tcPr>
          <w:p w:rsidR="00511FAF" w:rsidRDefault="0039440B">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p>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511FAF" w:rsidRDefault="0039440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11FAF" w:rsidRDefault="0039440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11FAF" w:rsidRDefault="0039440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w:t>
      </w:r>
      <w:r w:rsidRPr="000E4C40">
        <w:rPr>
          <w:color w:val="000000"/>
          <w:sz w:val="24"/>
        </w:rPr>
        <w:t>,</w:t>
      </w:r>
      <w:r w:rsidRPr="000E4C40">
        <w:rPr>
          <w:color w:val="000000"/>
          <w:sz w:val="24"/>
        </w:rPr>
        <w:t>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511FAF" w:rsidRDefault="0039440B">
      <w:pPr>
        <w:spacing w:before="29" w:line="288" w:lineRule="auto"/>
        <w:ind w:firstLineChars="200" w:firstLine="480"/>
        <w:rPr>
          <w:color w:val="000000"/>
          <w:sz w:val="24"/>
        </w:rPr>
      </w:pPr>
      <w:r>
        <w:rPr>
          <w:color w:val="000000"/>
          <w:sz w:val="24"/>
        </w:rPr>
        <w:t>中央经济工作会议指出，</w:t>
      </w:r>
      <w:r>
        <w:rPr>
          <w:color w:val="000000"/>
          <w:sz w:val="24"/>
        </w:rPr>
        <w:t>“</w:t>
      </w:r>
      <w:r>
        <w:rPr>
          <w:color w:val="000000"/>
          <w:sz w:val="24"/>
        </w:rPr>
        <w:t>积极的财政政策要有力度，货币政策要更加注重松紧适度。</w:t>
      </w:r>
      <w:r>
        <w:rPr>
          <w:color w:val="000000"/>
          <w:sz w:val="24"/>
        </w:rPr>
        <w:t>”</w:t>
      </w:r>
      <w:r>
        <w:rPr>
          <w:color w:val="000000"/>
          <w:sz w:val="24"/>
        </w:rPr>
        <w:t>四季度市场迎来预期已久的全面降息，释放出明确的稳增长信号意义，未来货币政策全面放松可期。</w:t>
      </w:r>
    </w:p>
    <w:p w:rsidR="00511FAF" w:rsidRDefault="0039440B">
      <w:pPr>
        <w:spacing w:before="29" w:line="288" w:lineRule="auto"/>
        <w:ind w:firstLineChars="200" w:firstLine="480"/>
        <w:rPr>
          <w:color w:val="000000"/>
          <w:sz w:val="24"/>
        </w:rPr>
      </w:pPr>
      <w:r>
        <w:rPr>
          <w:color w:val="000000"/>
          <w:sz w:val="24"/>
        </w:rPr>
        <w:t>全面降息的利好带动债券市场牛市情绪进一步发酵，</w:t>
      </w:r>
      <w:r>
        <w:rPr>
          <w:color w:val="000000"/>
          <w:sz w:val="24"/>
        </w:rPr>
        <w:t>12</w:t>
      </w:r>
      <w:r>
        <w:rPr>
          <w:color w:val="000000"/>
          <w:sz w:val="24"/>
        </w:rPr>
        <w:t>月初中证登发布的《关于加强企业债券回购风险管理相关措施的通知》则引发大量企业债（尤其是城投债）的价值重估。中债总全价（总值）指数在</w:t>
      </w:r>
      <w:r>
        <w:rPr>
          <w:color w:val="000000"/>
          <w:sz w:val="24"/>
        </w:rPr>
        <w:t>10</w:t>
      </w:r>
      <w:r>
        <w:rPr>
          <w:color w:val="000000"/>
          <w:sz w:val="24"/>
        </w:rPr>
        <w:t>月上涨</w:t>
      </w:r>
      <w:r>
        <w:rPr>
          <w:color w:val="000000"/>
          <w:sz w:val="24"/>
        </w:rPr>
        <w:t>1.74%</w:t>
      </w:r>
      <w:r>
        <w:rPr>
          <w:color w:val="000000"/>
          <w:sz w:val="24"/>
        </w:rPr>
        <w:t>，</w:t>
      </w:r>
      <w:r>
        <w:rPr>
          <w:color w:val="000000"/>
          <w:sz w:val="24"/>
        </w:rPr>
        <w:t>11</w:t>
      </w:r>
      <w:r>
        <w:rPr>
          <w:color w:val="000000"/>
          <w:sz w:val="24"/>
        </w:rPr>
        <w:t>月上涨</w:t>
      </w:r>
      <w:r>
        <w:rPr>
          <w:color w:val="000000"/>
          <w:sz w:val="24"/>
        </w:rPr>
        <w:t>1.34%</w:t>
      </w:r>
      <w:r>
        <w:rPr>
          <w:color w:val="000000"/>
          <w:sz w:val="24"/>
        </w:rPr>
        <w:t>，</w:t>
      </w:r>
      <w:r>
        <w:rPr>
          <w:color w:val="000000"/>
          <w:sz w:val="24"/>
        </w:rPr>
        <w:t>12</w:t>
      </w:r>
      <w:r>
        <w:rPr>
          <w:color w:val="000000"/>
          <w:sz w:val="24"/>
        </w:rPr>
        <w:t>月下跌</w:t>
      </w:r>
      <w:r>
        <w:rPr>
          <w:color w:val="000000"/>
          <w:sz w:val="24"/>
        </w:rPr>
        <w:t>0.64%</w:t>
      </w:r>
      <w:r>
        <w:rPr>
          <w:color w:val="000000"/>
          <w:sz w:val="24"/>
        </w:rPr>
        <w:t>。本基金在本报告期增持了现券资产，获取稳定的票息收入。</w:t>
      </w:r>
    </w:p>
    <w:p w:rsidR="00C4627A" w:rsidRPr="000E4C40" w:rsidRDefault="00C4627A" w:rsidP="00281564">
      <w:pPr>
        <w:spacing w:before="29" w:line="288" w:lineRule="auto"/>
        <w:ind w:firstLineChars="200" w:firstLine="480"/>
        <w:rPr>
          <w:color w:val="000000"/>
          <w:sz w:val="24"/>
        </w:rPr>
      </w:pPr>
      <w:r w:rsidRPr="000E4C40">
        <w:rPr>
          <w:color w:val="000000"/>
          <w:sz w:val="24"/>
        </w:rPr>
        <w:t>货币与信贷的双宽松格局伴随过于平坦的利率债曲线，信贷和地产销售回暖带来的不确定性令市场在短期内难以抉择，后续仍应密切关注信贷和地产数据作为进一步判断的依据。预计一季度</w:t>
      </w:r>
      <w:r w:rsidRPr="000E4C40">
        <w:rPr>
          <w:color w:val="000000"/>
          <w:sz w:val="24"/>
        </w:rPr>
        <w:t>IPO</w:t>
      </w:r>
      <w:r w:rsidRPr="000E4C40">
        <w:rPr>
          <w:color w:val="000000"/>
          <w:sz w:val="24"/>
        </w:rPr>
        <w:t>速度会明显加快，对货币市场资金面的扰动将更加频繁。本基金一季度将保持灵活仓位，力求在资金面紧张的时点配置更高收益的现券资产。</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本报告期内，交银理财</w:t>
      </w:r>
      <w:r w:rsidRPr="000E4C40">
        <w:rPr>
          <w:color w:val="000000"/>
          <w:sz w:val="24"/>
        </w:rPr>
        <w:t>60</w:t>
      </w:r>
      <w:r w:rsidRPr="000E4C40">
        <w:rPr>
          <w:color w:val="000000"/>
          <w:sz w:val="24"/>
        </w:rPr>
        <w:t>天债券</w:t>
      </w:r>
      <w:r w:rsidRPr="000E4C40">
        <w:rPr>
          <w:color w:val="000000"/>
          <w:sz w:val="24"/>
        </w:rPr>
        <w:t>A</w:t>
      </w:r>
      <w:r w:rsidRPr="000E4C40">
        <w:rPr>
          <w:color w:val="000000"/>
          <w:sz w:val="24"/>
        </w:rPr>
        <w:t>净值收益率为</w:t>
      </w:r>
      <w:r w:rsidRPr="000E4C40">
        <w:rPr>
          <w:color w:val="000000"/>
          <w:sz w:val="24"/>
        </w:rPr>
        <w:t>1.0131%</w:t>
      </w:r>
      <w:r w:rsidRPr="000E4C40">
        <w:rPr>
          <w:color w:val="000000"/>
          <w:sz w:val="24"/>
        </w:rPr>
        <w:t>，同期业绩比较基准增长率为</w:t>
      </w:r>
      <w:r w:rsidRPr="000E4C40">
        <w:rPr>
          <w:color w:val="000000"/>
          <w:sz w:val="24"/>
        </w:rPr>
        <w:t>0.3403%</w:t>
      </w:r>
      <w:r w:rsidRPr="000E4C40">
        <w:rPr>
          <w:color w:val="000000"/>
          <w:sz w:val="24"/>
        </w:rPr>
        <w:t>；交银理财</w:t>
      </w:r>
      <w:r w:rsidRPr="000E4C40">
        <w:rPr>
          <w:color w:val="000000"/>
          <w:sz w:val="24"/>
        </w:rPr>
        <w:t>60</w:t>
      </w:r>
      <w:r w:rsidRPr="000E4C40">
        <w:rPr>
          <w:color w:val="000000"/>
          <w:sz w:val="24"/>
        </w:rPr>
        <w:t>天债券</w:t>
      </w:r>
      <w:r w:rsidRPr="000E4C40">
        <w:rPr>
          <w:color w:val="000000"/>
          <w:sz w:val="24"/>
        </w:rPr>
        <w:t>B</w:t>
      </w:r>
      <w:r w:rsidRPr="000E4C40">
        <w:rPr>
          <w:color w:val="000000"/>
          <w:sz w:val="24"/>
        </w:rPr>
        <w:t>净值收益率</w:t>
      </w:r>
      <w:r w:rsidRPr="000E4C40">
        <w:rPr>
          <w:color w:val="000000"/>
          <w:sz w:val="24"/>
        </w:rPr>
        <w:t>0.6995%</w:t>
      </w:r>
      <w:r w:rsidRPr="000E4C40">
        <w:rPr>
          <w:color w:val="000000"/>
          <w:sz w:val="24"/>
        </w:rPr>
        <w:t>，同期业绩比较基准增长率为</w:t>
      </w:r>
      <w:r w:rsidRPr="000E4C40">
        <w:rPr>
          <w:color w:val="000000"/>
          <w:sz w:val="24"/>
        </w:rPr>
        <w:t>0.3403%</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本基金自《公开募集证券投资基金运作管理办法》生效日（</w:t>
      </w:r>
      <w:r w:rsidRPr="002070B4">
        <w:rPr>
          <w:color w:val="000000"/>
          <w:sz w:val="24"/>
        </w:rPr>
        <w:t>2014</w:t>
      </w:r>
      <w:r w:rsidRPr="002070B4">
        <w:rPr>
          <w:color w:val="000000"/>
          <w:sz w:val="24"/>
        </w:rPr>
        <w:t>年</w:t>
      </w:r>
      <w:r w:rsidRPr="002070B4">
        <w:rPr>
          <w:color w:val="000000"/>
          <w:sz w:val="24"/>
        </w:rPr>
        <w:t>8</w:t>
      </w:r>
      <w:r w:rsidRPr="002070B4">
        <w:rPr>
          <w:color w:val="000000"/>
          <w:sz w:val="24"/>
        </w:rPr>
        <w:t>月</w:t>
      </w:r>
      <w:r w:rsidRPr="002070B4">
        <w:rPr>
          <w:color w:val="000000"/>
          <w:sz w:val="24"/>
        </w:rPr>
        <w:t>8</w:t>
      </w:r>
      <w:r w:rsidRPr="002070B4">
        <w:rPr>
          <w:color w:val="000000"/>
          <w:sz w:val="24"/>
        </w:rPr>
        <w:t>日）起至</w:t>
      </w:r>
      <w:r w:rsidRPr="002070B4">
        <w:rPr>
          <w:color w:val="000000"/>
          <w:sz w:val="24"/>
        </w:rPr>
        <w:t>2014</w:t>
      </w:r>
      <w:r w:rsidRPr="002070B4">
        <w:rPr>
          <w:color w:val="000000"/>
          <w:sz w:val="24"/>
        </w:rPr>
        <w:t>年</w:t>
      </w:r>
      <w:r w:rsidRPr="002070B4">
        <w:rPr>
          <w:color w:val="000000"/>
          <w:sz w:val="24"/>
        </w:rPr>
        <w:t>10</w:t>
      </w:r>
      <w:r w:rsidRPr="002070B4">
        <w:rPr>
          <w:color w:val="000000"/>
          <w:sz w:val="24"/>
        </w:rPr>
        <w:t>月</w:t>
      </w:r>
      <w:r w:rsidRPr="002070B4">
        <w:rPr>
          <w:color w:val="000000"/>
          <w:sz w:val="24"/>
        </w:rPr>
        <w:t>30</w:t>
      </w:r>
      <w:r w:rsidRPr="002070B4">
        <w:rPr>
          <w:color w:val="000000"/>
          <w:sz w:val="24"/>
        </w:rPr>
        <w:t>日止基金资产净值低于五千万元。</w:t>
      </w:r>
    </w:p>
    <w:p w:rsidR="0010236C" w:rsidRDefault="0010236C" w:rsidP="0010236C">
      <w:pPr>
        <w:spacing w:before="29" w:line="288" w:lineRule="auto"/>
        <w:ind w:firstLineChars="200" w:firstLine="480"/>
        <w:rPr>
          <w:color w:val="000000"/>
          <w:sz w:val="24"/>
        </w:rPr>
      </w:pPr>
    </w:p>
    <w:p w:rsidR="00902E3F" w:rsidRPr="000E4C40" w:rsidRDefault="00902E3F" w:rsidP="00470341">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170,487,805.99</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72.06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170,487,805.99</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72.06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39,954,870.96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16.89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39,954,870.96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16.89</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22,810,668.24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9.64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3,337,067.76</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1.41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236,590,412.95</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13.92</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本基金进入全国银行间同业市场进行债券回购的资金余额不得超过基金资产净值的</w:t>
      </w:r>
      <w:r w:rsidRPr="000E4C40">
        <w:rPr>
          <w:color w:val="000000"/>
          <w:sz w:val="24"/>
        </w:rPr>
        <w:t>40%”</w:t>
      </w:r>
      <w:r w:rsidRPr="000E4C40">
        <w:rPr>
          <w:color w:val="000000"/>
          <w:sz w:val="24"/>
        </w:rPr>
        <w:t>。本报告期内，本基金未发生超标情况。</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73</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175</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4</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Pr="000E4C40">
        <w:rPr>
          <w:b/>
          <w:color w:val="000000"/>
          <w:kern w:val="0"/>
          <w:sz w:val="24"/>
        </w:rPr>
        <w:t>180</w:t>
      </w:r>
      <w:r w:rsidRPr="000E4C40">
        <w:rPr>
          <w:rFonts w:hAnsi="宋体"/>
          <w:b/>
          <w:color w:val="000000"/>
          <w:kern w:val="0"/>
          <w:sz w:val="24"/>
        </w:rPr>
        <w:t>天情况说明</w:t>
      </w:r>
    </w:p>
    <w:p w:rsidR="00193BCF"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本基金本报告期内投资组合平均剩余期限未超过</w:t>
      </w:r>
      <w:r w:rsidRPr="000E4C40">
        <w:rPr>
          <w:color w:val="000000"/>
          <w:sz w:val="24"/>
        </w:rPr>
        <w:t>180</w:t>
      </w:r>
      <w:r w:rsidRPr="000E4C40">
        <w:rPr>
          <w:color w:val="000000"/>
          <w:sz w:val="24"/>
        </w:rPr>
        <w:t>天。</w:t>
      </w:r>
    </w:p>
    <w:p w:rsidR="007521F9" w:rsidRPr="000E4C40" w:rsidRDefault="007521F9"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30.79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42.46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—180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14.85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180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—397</w:t>
            </w:r>
            <w:r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10.61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98.71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bl>
    <w:p w:rsidR="007521F9" w:rsidRPr="000E4C40" w:rsidRDefault="007521F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5.4 </w:t>
      </w:r>
      <w:r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260"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261"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984"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15,045,318.79</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6.37</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15,045,318.79</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6.37</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155,442,487.20</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65.78</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7</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8</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170,487,805.99</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72.15</w:t>
            </w:r>
          </w:p>
        </w:tc>
      </w:tr>
      <w:tr w:rsidR="00813897" w:rsidRPr="000E4C40" w:rsidTr="002C1941">
        <w:trPr>
          <w:jc w:val="center"/>
        </w:trPr>
        <w:tc>
          <w:tcPr>
            <w:tcW w:w="817" w:type="dxa"/>
            <w:vAlign w:val="center"/>
          </w:tcPr>
          <w:p w:rsidR="00813897" w:rsidRPr="000E4C40" w:rsidRDefault="00813897" w:rsidP="00281564">
            <w:pPr>
              <w:spacing w:before="29" w:line="288" w:lineRule="auto"/>
              <w:ind w:left="17"/>
              <w:jc w:val="center"/>
              <w:rPr>
                <w:color w:val="000000"/>
                <w:sz w:val="24"/>
              </w:rPr>
            </w:pPr>
            <w:r w:rsidRPr="000E4C40">
              <w:rPr>
                <w:color w:val="000000"/>
                <w:sz w:val="24"/>
              </w:rPr>
              <w:t>9</w:t>
            </w:r>
          </w:p>
        </w:tc>
        <w:tc>
          <w:tcPr>
            <w:tcW w:w="3260"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261"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984"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5.5 </w:t>
      </w:r>
      <w:r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83"/>
        <w:gridCol w:w="1296"/>
        <w:gridCol w:w="1813"/>
        <w:gridCol w:w="1167"/>
        <w:gridCol w:w="2142"/>
        <w:gridCol w:w="1467"/>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511FAF">
        <w:trPr>
          <w:jc w:val="center"/>
        </w:trPr>
        <w:tc>
          <w:tcPr>
            <w:tcW w:w="0" w:type="auto"/>
            <w:vAlign w:val="center"/>
          </w:tcPr>
          <w:p w:rsidR="00511FAF" w:rsidRDefault="0039440B">
            <w:pPr>
              <w:jc w:val="center"/>
            </w:pPr>
            <w:r>
              <w:rPr>
                <w:color w:val="000000"/>
                <w:sz w:val="24"/>
              </w:rPr>
              <w:t>1</w:t>
            </w:r>
          </w:p>
        </w:tc>
        <w:tc>
          <w:tcPr>
            <w:tcW w:w="0" w:type="auto"/>
            <w:vAlign w:val="center"/>
          </w:tcPr>
          <w:p w:rsidR="00511FAF" w:rsidRDefault="0039440B">
            <w:pPr>
              <w:jc w:val="center"/>
            </w:pPr>
            <w:r>
              <w:rPr>
                <w:color w:val="000000"/>
                <w:sz w:val="24"/>
              </w:rPr>
              <w:t>041462004</w:t>
            </w:r>
          </w:p>
        </w:tc>
        <w:tc>
          <w:tcPr>
            <w:tcW w:w="0" w:type="auto"/>
            <w:vAlign w:val="center"/>
          </w:tcPr>
          <w:p w:rsidR="00511FAF" w:rsidRDefault="0039440B">
            <w:pPr>
              <w:jc w:val="center"/>
            </w:pPr>
            <w:r>
              <w:rPr>
                <w:color w:val="000000"/>
                <w:sz w:val="24"/>
              </w:rPr>
              <w:t>14</w:t>
            </w:r>
            <w:r>
              <w:rPr>
                <w:color w:val="000000"/>
                <w:sz w:val="24"/>
              </w:rPr>
              <w:t>东方</w:t>
            </w:r>
            <w:r>
              <w:rPr>
                <w:color w:val="000000"/>
                <w:sz w:val="24"/>
              </w:rPr>
              <w:t>CP001</w:t>
            </w:r>
          </w:p>
        </w:tc>
        <w:tc>
          <w:tcPr>
            <w:tcW w:w="0" w:type="auto"/>
            <w:vAlign w:val="center"/>
          </w:tcPr>
          <w:p w:rsidR="00511FAF" w:rsidRDefault="0039440B">
            <w:pPr>
              <w:jc w:val="right"/>
            </w:pPr>
            <w:r>
              <w:rPr>
                <w:color w:val="000000"/>
                <w:sz w:val="24"/>
              </w:rPr>
              <w:t>200,000</w:t>
            </w:r>
          </w:p>
        </w:tc>
        <w:tc>
          <w:tcPr>
            <w:tcW w:w="0" w:type="auto"/>
            <w:vAlign w:val="center"/>
          </w:tcPr>
          <w:p w:rsidR="00511FAF" w:rsidRDefault="0039440B">
            <w:pPr>
              <w:jc w:val="right"/>
            </w:pPr>
            <w:r>
              <w:rPr>
                <w:color w:val="000000"/>
                <w:sz w:val="24"/>
              </w:rPr>
              <w:t>20,190,073.41</w:t>
            </w:r>
          </w:p>
        </w:tc>
        <w:tc>
          <w:tcPr>
            <w:tcW w:w="0" w:type="auto"/>
            <w:vAlign w:val="center"/>
          </w:tcPr>
          <w:p w:rsidR="00511FAF" w:rsidRDefault="0039440B">
            <w:pPr>
              <w:jc w:val="right"/>
            </w:pPr>
            <w:r>
              <w:rPr>
                <w:color w:val="000000"/>
                <w:sz w:val="24"/>
              </w:rPr>
              <w:t>8.54</w:t>
            </w:r>
          </w:p>
        </w:tc>
      </w:tr>
      <w:tr w:rsidR="00511FAF">
        <w:trPr>
          <w:jc w:val="center"/>
        </w:trPr>
        <w:tc>
          <w:tcPr>
            <w:tcW w:w="0" w:type="auto"/>
            <w:vAlign w:val="center"/>
          </w:tcPr>
          <w:p w:rsidR="00511FAF" w:rsidRDefault="0039440B">
            <w:pPr>
              <w:jc w:val="center"/>
            </w:pPr>
            <w:r>
              <w:rPr>
                <w:color w:val="000000"/>
                <w:sz w:val="24"/>
              </w:rPr>
              <w:t>2</w:t>
            </w:r>
          </w:p>
        </w:tc>
        <w:tc>
          <w:tcPr>
            <w:tcW w:w="0" w:type="auto"/>
            <w:vAlign w:val="center"/>
          </w:tcPr>
          <w:p w:rsidR="00511FAF" w:rsidRDefault="0039440B">
            <w:pPr>
              <w:jc w:val="center"/>
            </w:pPr>
            <w:r>
              <w:rPr>
                <w:color w:val="000000"/>
                <w:sz w:val="24"/>
              </w:rPr>
              <w:t>041466002</w:t>
            </w:r>
          </w:p>
        </w:tc>
        <w:tc>
          <w:tcPr>
            <w:tcW w:w="0" w:type="auto"/>
            <w:vAlign w:val="center"/>
          </w:tcPr>
          <w:p w:rsidR="00511FAF" w:rsidRDefault="0039440B">
            <w:pPr>
              <w:jc w:val="center"/>
            </w:pPr>
            <w:r>
              <w:rPr>
                <w:color w:val="000000"/>
                <w:sz w:val="24"/>
              </w:rPr>
              <w:t>14</w:t>
            </w:r>
            <w:r>
              <w:rPr>
                <w:color w:val="000000"/>
                <w:sz w:val="24"/>
              </w:rPr>
              <w:t>冀水泥</w:t>
            </w:r>
            <w:r>
              <w:rPr>
                <w:color w:val="000000"/>
                <w:sz w:val="24"/>
              </w:rPr>
              <w:t>CP001</w:t>
            </w:r>
          </w:p>
        </w:tc>
        <w:tc>
          <w:tcPr>
            <w:tcW w:w="0" w:type="auto"/>
            <w:vAlign w:val="center"/>
          </w:tcPr>
          <w:p w:rsidR="00511FAF" w:rsidRDefault="0039440B">
            <w:pPr>
              <w:jc w:val="right"/>
            </w:pPr>
            <w:r>
              <w:rPr>
                <w:color w:val="000000"/>
                <w:sz w:val="24"/>
              </w:rPr>
              <w:t>200,000</w:t>
            </w:r>
          </w:p>
        </w:tc>
        <w:tc>
          <w:tcPr>
            <w:tcW w:w="0" w:type="auto"/>
            <w:vAlign w:val="center"/>
          </w:tcPr>
          <w:p w:rsidR="00511FAF" w:rsidRDefault="0039440B">
            <w:pPr>
              <w:jc w:val="right"/>
            </w:pPr>
            <w:r>
              <w:rPr>
                <w:color w:val="000000"/>
                <w:sz w:val="24"/>
              </w:rPr>
              <w:t>20,142,956.62</w:t>
            </w:r>
          </w:p>
        </w:tc>
        <w:tc>
          <w:tcPr>
            <w:tcW w:w="0" w:type="auto"/>
            <w:vAlign w:val="center"/>
          </w:tcPr>
          <w:p w:rsidR="00511FAF" w:rsidRDefault="0039440B">
            <w:pPr>
              <w:jc w:val="right"/>
            </w:pPr>
            <w:r>
              <w:rPr>
                <w:color w:val="000000"/>
                <w:sz w:val="24"/>
              </w:rPr>
              <w:t>8.52</w:t>
            </w:r>
          </w:p>
        </w:tc>
      </w:tr>
      <w:tr w:rsidR="00511FAF">
        <w:trPr>
          <w:jc w:val="center"/>
        </w:trPr>
        <w:tc>
          <w:tcPr>
            <w:tcW w:w="0" w:type="auto"/>
            <w:vAlign w:val="center"/>
          </w:tcPr>
          <w:p w:rsidR="00511FAF" w:rsidRDefault="0039440B">
            <w:pPr>
              <w:jc w:val="center"/>
            </w:pPr>
            <w:r>
              <w:rPr>
                <w:color w:val="000000"/>
                <w:sz w:val="24"/>
              </w:rPr>
              <w:t>3</w:t>
            </w:r>
          </w:p>
        </w:tc>
        <w:tc>
          <w:tcPr>
            <w:tcW w:w="0" w:type="auto"/>
            <w:vAlign w:val="center"/>
          </w:tcPr>
          <w:p w:rsidR="00511FAF" w:rsidRDefault="0039440B">
            <w:pPr>
              <w:jc w:val="center"/>
            </w:pPr>
            <w:r>
              <w:rPr>
                <w:color w:val="000000"/>
                <w:sz w:val="24"/>
              </w:rPr>
              <w:t>071417004</w:t>
            </w:r>
          </w:p>
        </w:tc>
        <w:tc>
          <w:tcPr>
            <w:tcW w:w="0" w:type="auto"/>
            <w:vAlign w:val="center"/>
          </w:tcPr>
          <w:p w:rsidR="00511FAF" w:rsidRDefault="0039440B">
            <w:pPr>
              <w:jc w:val="center"/>
            </w:pPr>
            <w:r>
              <w:rPr>
                <w:color w:val="000000"/>
                <w:sz w:val="24"/>
              </w:rPr>
              <w:t>14</w:t>
            </w:r>
            <w:r>
              <w:rPr>
                <w:color w:val="000000"/>
                <w:sz w:val="24"/>
              </w:rPr>
              <w:t>东北证券</w:t>
            </w:r>
            <w:r>
              <w:rPr>
                <w:color w:val="000000"/>
                <w:sz w:val="24"/>
              </w:rPr>
              <w:t>CP004</w:t>
            </w:r>
          </w:p>
        </w:tc>
        <w:tc>
          <w:tcPr>
            <w:tcW w:w="0" w:type="auto"/>
            <w:vAlign w:val="center"/>
          </w:tcPr>
          <w:p w:rsidR="00511FAF" w:rsidRDefault="0039440B">
            <w:pPr>
              <w:jc w:val="right"/>
            </w:pPr>
            <w:r>
              <w:rPr>
                <w:color w:val="000000"/>
                <w:sz w:val="24"/>
              </w:rPr>
              <w:t>200,000</w:t>
            </w:r>
          </w:p>
        </w:tc>
        <w:tc>
          <w:tcPr>
            <w:tcW w:w="0" w:type="auto"/>
            <w:vAlign w:val="center"/>
          </w:tcPr>
          <w:p w:rsidR="00511FAF" w:rsidRDefault="0039440B">
            <w:pPr>
              <w:jc w:val="right"/>
            </w:pPr>
            <w:r>
              <w:rPr>
                <w:color w:val="000000"/>
                <w:sz w:val="24"/>
              </w:rPr>
              <w:t>19,998,299.60</w:t>
            </w:r>
          </w:p>
        </w:tc>
        <w:tc>
          <w:tcPr>
            <w:tcW w:w="0" w:type="auto"/>
            <w:vAlign w:val="center"/>
          </w:tcPr>
          <w:p w:rsidR="00511FAF" w:rsidRDefault="0039440B">
            <w:pPr>
              <w:jc w:val="right"/>
            </w:pPr>
            <w:r>
              <w:rPr>
                <w:color w:val="000000"/>
                <w:sz w:val="24"/>
              </w:rPr>
              <w:t>8.46</w:t>
            </w:r>
          </w:p>
        </w:tc>
      </w:tr>
      <w:tr w:rsidR="00511FAF">
        <w:trPr>
          <w:jc w:val="center"/>
        </w:trPr>
        <w:tc>
          <w:tcPr>
            <w:tcW w:w="0" w:type="auto"/>
            <w:vAlign w:val="center"/>
          </w:tcPr>
          <w:p w:rsidR="00511FAF" w:rsidRDefault="0039440B">
            <w:pPr>
              <w:jc w:val="center"/>
            </w:pPr>
            <w:r>
              <w:rPr>
                <w:color w:val="000000"/>
                <w:sz w:val="24"/>
              </w:rPr>
              <w:t>4</w:t>
            </w:r>
          </w:p>
        </w:tc>
        <w:tc>
          <w:tcPr>
            <w:tcW w:w="0" w:type="auto"/>
            <w:vAlign w:val="center"/>
          </w:tcPr>
          <w:p w:rsidR="00511FAF" w:rsidRDefault="0039440B">
            <w:pPr>
              <w:jc w:val="center"/>
            </w:pPr>
            <w:r>
              <w:rPr>
                <w:color w:val="000000"/>
                <w:sz w:val="24"/>
              </w:rPr>
              <w:t>071436005</w:t>
            </w:r>
          </w:p>
        </w:tc>
        <w:tc>
          <w:tcPr>
            <w:tcW w:w="0" w:type="auto"/>
            <w:vAlign w:val="center"/>
          </w:tcPr>
          <w:p w:rsidR="00511FAF" w:rsidRDefault="0039440B">
            <w:pPr>
              <w:jc w:val="center"/>
            </w:pPr>
            <w:r>
              <w:rPr>
                <w:color w:val="000000"/>
                <w:sz w:val="24"/>
              </w:rPr>
              <w:t>14</w:t>
            </w:r>
            <w:r>
              <w:rPr>
                <w:color w:val="000000"/>
                <w:sz w:val="24"/>
              </w:rPr>
              <w:t>华安证券</w:t>
            </w:r>
            <w:r>
              <w:rPr>
                <w:color w:val="000000"/>
                <w:sz w:val="24"/>
              </w:rPr>
              <w:t>CP005</w:t>
            </w:r>
          </w:p>
        </w:tc>
        <w:tc>
          <w:tcPr>
            <w:tcW w:w="0" w:type="auto"/>
            <w:vAlign w:val="center"/>
          </w:tcPr>
          <w:p w:rsidR="00511FAF" w:rsidRDefault="0039440B">
            <w:pPr>
              <w:jc w:val="right"/>
            </w:pPr>
            <w:r>
              <w:rPr>
                <w:color w:val="000000"/>
                <w:sz w:val="24"/>
              </w:rPr>
              <w:t>200,000</w:t>
            </w:r>
          </w:p>
        </w:tc>
        <w:tc>
          <w:tcPr>
            <w:tcW w:w="0" w:type="auto"/>
            <w:vAlign w:val="center"/>
          </w:tcPr>
          <w:p w:rsidR="00511FAF" w:rsidRDefault="0039440B">
            <w:pPr>
              <w:jc w:val="right"/>
            </w:pPr>
            <w:r>
              <w:rPr>
                <w:color w:val="000000"/>
                <w:sz w:val="24"/>
              </w:rPr>
              <w:t>19,997,703.08</w:t>
            </w:r>
          </w:p>
        </w:tc>
        <w:tc>
          <w:tcPr>
            <w:tcW w:w="0" w:type="auto"/>
            <w:vAlign w:val="center"/>
          </w:tcPr>
          <w:p w:rsidR="00511FAF" w:rsidRDefault="0039440B">
            <w:pPr>
              <w:jc w:val="right"/>
            </w:pPr>
            <w:r>
              <w:rPr>
                <w:color w:val="000000"/>
                <w:sz w:val="24"/>
              </w:rPr>
              <w:t>8.46</w:t>
            </w:r>
          </w:p>
        </w:tc>
      </w:tr>
      <w:tr w:rsidR="00511FAF">
        <w:trPr>
          <w:jc w:val="center"/>
        </w:trPr>
        <w:tc>
          <w:tcPr>
            <w:tcW w:w="0" w:type="auto"/>
            <w:vAlign w:val="center"/>
          </w:tcPr>
          <w:p w:rsidR="00511FAF" w:rsidRDefault="0039440B">
            <w:pPr>
              <w:jc w:val="center"/>
            </w:pPr>
            <w:r>
              <w:rPr>
                <w:color w:val="000000"/>
                <w:sz w:val="24"/>
              </w:rPr>
              <w:t>5</w:t>
            </w:r>
          </w:p>
        </w:tc>
        <w:tc>
          <w:tcPr>
            <w:tcW w:w="0" w:type="auto"/>
            <w:vAlign w:val="center"/>
          </w:tcPr>
          <w:p w:rsidR="00511FAF" w:rsidRDefault="0039440B">
            <w:pPr>
              <w:jc w:val="center"/>
            </w:pPr>
            <w:r>
              <w:rPr>
                <w:color w:val="000000"/>
                <w:sz w:val="24"/>
              </w:rPr>
              <w:t>071441003</w:t>
            </w:r>
          </w:p>
        </w:tc>
        <w:tc>
          <w:tcPr>
            <w:tcW w:w="0" w:type="auto"/>
            <w:vAlign w:val="center"/>
          </w:tcPr>
          <w:p w:rsidR="00511FAF" w:rsidRDefault="0039440B">
            <w:pPr>
              <w:jc w:val="center"/>
            </w:pPr>
            <w:r>
              <w:rPr>
                <w:color w:val="000000"/>
                <w:sz w:val="24"/>
              </w:rPr>
              <w:t>14</w:t>
            </w:r>
            <w:r>
              <w:rPr>
                <w:color w:val="000000"/>
                <w:sz w:val="24"/>
              </w:rPr>
              <w:t>恒泰证券</w:t>
            </w:r>
            <w:r>
              <w:rPr>
                <w:color w:val="000000"/>
                <w:sz w:val="24"/>
              </w:rPr>
              <w:t>CP003</w:t>
            </w:r>
          </w:p>
        </w:tc>
        <w:tc>
          <w:tcPr>
            <w:tcW w:w="0" w:type="auto"/>
            <w:vAlign w:val="center"/>
          </w:tcPr>
          <w:p w:rsidR="00511FAF" w:rsidRDefault="0039440B">
            <w:pPr>
              <w:jc w:val="right"/>
            </w:pPr>
            <w:r>
              <w:rPr>
                <w:color w:val="000000"/>
                <w:sz w:val="24"/>
              </w:rPr>
              <w:t>200,000</w:t>
            </w:r>
          </w:p>
        </w:tc>
        <w:tc>
          <w:tcPr>
            <w:tcW w:w="0" w:type="auto"/>
            <w:vAlign w:val="center"/>
          </w:tcPr>
          <w:p w:rsidR="00511FAF" w:rsidRDefault="0039440B">
            <w:pPr>
              <w:jc w:val="right"/>
            </w:pPr>
            <w:r>
              <w:rPr>
                <w:color w:val="000000"/>
                <w:sz w:val="24"/>
              </w:rPr>
              <w:t>19,997,632.05</w:t>
            </w:r>
          </w:p>
        </w:tc>
        <w:tc>
          <w:tcPr>
            <w:tcW w:w="0" w:type="auto"/>
            <w:vAlign w:val="center"/>
          </w:tcPr>
          <w:p w:rsidR="00511FAF" w:rsidRDefault="0039440B">
            <w:pPr>
              <w:jc w:val="right"/>
            </w:pPr>
            <w:r>
              <w:rPr>
                <w:color w:val="000000"/>
                <w:sz w:val="24"/>
              </w:rPr>
              <w:t>8.46</w:t>
            </w:r>
          </w:p>
        </w:tc>
      </w:tr>
      <w:tr w:rsidR="00511FAF">
        <w:trPr>
          <w:jc w:val="center"/>
        </w:trPr>
        <w:tc>
          <w:tcPr>
            <w:tcW w:w="0" w:type="auto"/>
            <w:vAlign w:val="center"/>
          </w:tcPr>
          <w:p w:rsidR="00511FAF" w:rsidRDefault="0039440B">
            <w:pPr>
              <w:jc w:val="center"/>
            </w:pPr>
            <w:r>
              <w:rPr>
                <w:color w:val="000000"/>
                <w:sz w:val="24"/>
              </w:rPr>
              <w:t>6</w:t>
            </w:r>
          </w:p>
        </w:tc>
        <w:tc>
          <w:tcPr>
            <w:tcW w:w="0" w:type="auto"/>
            <w:vAlign w:val="center"/>
          </w:tcPr>
          <w:p w:rsidR="00511FAF" w:rsidRDefault="0039440B">
            <w:pPr>
              <w:jc w:val="center"/>
            </w:pPr>
            <w:r>
              <w:rPr>
                <w:color w:val="000000"/>
                <w:sz w:val="24"/>
              </w:rPr>
              <w:t>140429</w:t>
            </w:r>
          </w:p>
        </w:tc>
        <w:tc>
          <w:tcPr>
            <w:tcW w:w="0" w:type="auto"/>
            <w:vAlign w:val="center"/>
          </w:tcPr>
          <w:p w:rsidR="00511FAF" w:rsidRDefault="0039440B">
            <w:pPr>
              <w:jc w:val="center"/>
            </w:pPr>
            <w:r>
              <w:rPr>
                <w:color w:val="000000"/>
                <w:sz w:val="24"/>
              </w:rPr>
              <w:t>14</w:t>
            </w:r>
            <w:r>
              <w:rPr>
                <w:color w:val="000000"/>
                <w:sz w:val="24"/>
              </w:rPr>
              <w:t>农发</w:t>
            </w:r>
            <w:r>
              <w:rPr>
                <w:color w:val="000000"/>
                <w:sz w:val="24"/>
              </w:rPr>
              <w:t>29</w:t>
            </w:r>
          </w:p>
        </w:tc>
        <w:tc>
          <w:tcPr>
            <w:tcW w:w="0" w:type="auto"/>
            <w:vAlign w:val="center"/>
          </w:tcPr>
          <w:p w:rsidR="00511FAF" w:rsidRDefault="0039440B">
            <w:pPr>
              <w:jc w:val="right"/>
            </w:pPr>
            <w:r>
              <w:rPr>
                <w:color w:val="000000"/>
                <w:sz w:val="24"/>
              </w:rPr>
              <w:t>150,000</w:t>
            </w:r>
          </w:p>
        </w:tc>
        <w:tc>
          <w:tcPr>
            <w:tcW w:w="0" w:type="auto"/>
            <w:vAlign w:val="center"/>
          </w:tcPr>
          <w:p w:rsidR="00511FAF" w:rsidRDefault="0039440B">
            <w:pPr>
              <w:jc w:val="right"/>
            </w:pPr>
            <w:r>
              <w:rPr>
                <w:color w:val="000000"/>
                <w:sz w:val="24"/>
              </w:rPr>
              <w:t>15,045,318.79</w:t>
            </w:r>
          </w:p>
        </w:tc>
        <w:tc>
          <w:tcPr>
            <w:tcW w:w="0" w:type="auto"/>
            <w:vAlign w:val="center"/>
          </w:tcPr>
          <w:p w:rsidR="00511FAF" w:rsidRDefault="0039440B">
            <w:pPr>
              <w:jc w:val="right"/>
            </w:pPr>
            <w:r>
              <w:rPr>
                <w:color w:val="000000"/>
                <w:sz w:val="24"/>
              </w:rPr>
              <w:t>6.37</w:t>
            </w:r>
          </w:p>
        </w:tc>
      </w:tr>
      <w:tr w:rsidR="00511FAF">
        <w:trPr>
          <w:jc w:val="center"/>
        </w:trPr>
        <w:tc>
          <w:tcPr>
            <w:tcW w:w="0" w:type="auto"/>
            <w:vAlign w:val="center"/>
          </w:tcPr>
          <w:p w:rsidR="00511FAF" w:rsidRDefault="0039440B">
            <w:pPr>
              <w:jc w:val="center"/>
            </w:pPr>
            <w:r>
              <w:rPr>
                <w:color w:val="000000"/>
                <w:sz w:val="24"/>
              </w:rPr>
              <w:t>7</w:t>
            </w:r>
          </w:p>
        </w:tc>
        <w:tc>
          <w:tcPr>
            <w:tcW w:w="0" w:type="auto"/>
            <w:vAlign w:val="center"/>
          </w:tcPr>
          <w:p w:rsidR="00511FAF" w:rsidRDefault="0039440B">
            <w:pPr>
              <w:jc w:val="center"/>
            </w:pPr>
            <w:r>
              <w:rPr>
                <w:color w:val="000000"/>
                <w:sz w:val="24"/>
              </w:rPr>
              <w:t>041469057</w:t>
            </w:r>
          </w:p>
        </w:tc>
        <w:tc>
          <w:tcPr>
            <w:tcW w:w="0" w:type="auto"/>
            <w:vAlign w:val="center"/>
          </w:tcPr>
          <w:p w:rsidR="00511FAF" w:rsidRDefault="0039440B">
            <w:pPr>
              <w:jc w:val="center"/>
            </w:pPr>
            <w:r>
              <w:rPr>
                <w:color w:val="000000"/>
                <w:sz w:val="24"/>
              </w:rPr>
              <w:t>14</w:t>
            </w:r>
            <w:r>
              <w:rPr>
                <w:color w:val="000000"/>
                <w:sz w:val="24"/>
              </w:rPr>
              <w:t>鲁西化工</w:t>
            </w:r>
            <w:r>
              <w:rPr>
                <w:color w:val="000000"/>
                <w:sz w:val="24"/>
              </w:rPr>
              <w:t>CP002</w:t>
            </w:r>
          </w:p>
        </w:tc>
        <w:tc>
          <w:tcPr>
            <w:tcW w:w="0" w:type="auto"/>
            <w:vAlign w:val="center"/>
          </w:tcPr>
          <w:p w:rsidR="00511FAF" w:rsidRDefault="0039440B">
            <w:pPr>
              <w:jc w:val="right"/>
            </w:pPr>
            <w:r>
              <w:rPr>
                <w:color w:val="000000"/>
                <w:sz w:val="24"/>
              </w:rPr>
              <w:t>150,000</w:t>
            </w:r>
          </w:p>
        </w:tc>
        <w:tc>
          <w:tcPr>
            <w:tcW w:w="0" w:type="auto"/>
            <w:vAlign w:val="center"/>
          </w:tcPr>
          <w:p w:rsidR="00511FAF" w:rsidRDefault="0039440B">
            <w:pPr>
              <w:jc w:val="right"/>
            </w:pPr>
            <w:r>
              <w:rPr>
                <w:color w:val="000000"/>
                <w:sz w:val="24"/>
              </w:rPr>
              <w:t>15,000,479.20</w:t>
            </w:r>
          </w:p>
        </w:tc>
        <w:tc>
          <w:tcPr>
            <w:tcW w:w="0" w:type="auto"/>
            <w:vAlign w:val="center"/>
          </w:tcPr>
          <w:p w:rsidR="00511FAF" w:rsidRDefault="0039440B">
            <w:pPr>
              <w:jc w:val="right"/>
            </w:pPr>
            <w:r>
              <w:rPr>
                <w:color w:val="000000"/>
                <w:sz w:val="24"/>
              </w:rPr>
              <w:t>6.35</w:t>
            </w:r>
          </w:p>
        </w:tc>
      </w:tr>
      <w:tr w:rsidR="00511FAF">
        <w:trPr>
          <w:jc w:val="center"/>
        </w:trPr>
        <w:tc>
          <w:tcPr>
            <w:tcW w:w="0" w:type="auto"/>
            <w:vAlign w:val="center"/>
          </w:tcPr>
          <w:p w:rsidR="00511FAF" w:rsidRDefault="0039440B">
            <w:pPr>
              <w:jc w:val="center"/>
            </w:pPr>
            <w:r>
              <w:rPr>
                <w:color w:val="000000"/>
                <w:sz w:val="24"/>
              </w:rPr>
              <w:t>8</w:t>
            </w:r>
          </w:p>
        </w:tc>
        <w:tc>
          <w:tcPr>
            <w:tcW w:w="0" w:type="auto"/>
            <w:vAlign w:val="center"/>
          </w:tcPr>
          <w:p w:rsidR="00511FAF" w:rsidRDefault="0039440B">
            <w:pPr>
              <w:jc w:val="center"/>
            </w:pPr>
            <w:r>
              <w:rPr>
                <w:color w:val="000000"/>
                <w:sz w:val="24"/>
              </w:rPr>
              <w:t>041462038</w:t>
            </w:r>
          </w:p>
        </w:tc>
        <w:tc>
          <w:tcPr>
            <w:tcW w:w="0" w:type="auto"/>
            <w:vAlign w:val="center"/>
          </w:tcPr>
          <w:p w:rsidR="00511FAF" w:rsidRDefault="0039440B">
            <w:pPr>
              <w:jc w:val="center"/>
            </w:pPr>
            <w:r>
              <w:rPr>
                <w:color w:val="000000"/>
                <w:sz w:val="24"/>
              </w:rPr>
              <w:t>14</w:t>
            </w:r>
            <w:r>
              <w:rPr>
                <w:color w:val="000000"/>
                <w:sz w:val="24"/>
              </w:rPr>
              <w:t>华谊兄弟</w:t>
            </w:r>
            <w:r>
              <w:rPr>
                <w:color w:val="000000"/>
                <w:sz w:val="24"/>
              </w:rPr>
              <w:t>CP002</w:t>
            </w:r>
          </w:p>
        </w:tc>
        <w:tc>
          <w:tcPr>
            <w:tcW w:w="0" w:type="auto"/>
            <w:vAlign w:val="center"/>
          </w:tcPr>
          <w:p w:rsidR="00511FAF" w:rsidRDefault="0039440B">
            <w:pPr>
              <w:jc w:val="right"/>
            </w:pPr>
            <w:r>
              <w:rPr>
                <w:color w:val="000000"/>
                <w:sz w:val="24"/>
              </w:rPr>
              <w:t>100,000</w:t>
            </w:r>
          </w:p>
        </w:tc>
        <w:tc>
          <w:tcPr>
            <w:tcW w:w="0" w:type="auto"/>
            <w:vAlign w:val="center"/>
          </w:tcPr>
          <w:p w:rsidR="00511FAF" w:rsidRDefault="0039440B">
            <w:pPr>
              <w:jc w:val="right"/>
            </w:pPr>
            <w:r>
              <w:rPr>
                <w:color w:val="000000"/>
                <w:sz w:val="24"/>
              </w:rPr>
              <w:t>10,064,683.46</w:t>
            </w:r>
          </w:p>
        </w:tc>
        <w:tc>
          <w:tcPr>
            <w:tcW w:w="0" w:type="auto"/>
            <w:vAlign w:val="center"/>
          </w:tcPr>
          <w:p w:rsidR="00511FAF" w:rsidRDefault="0039440B">
            <w:pPr>
              <w:jc w:val="right"/>
            </w:pPr>
            <w:r>
              <w:rPr>
                <w:color w:val="000000"/>
                <w:sz w:val="24"/>
              </w:rPr>
              <w:t>4.26</w:t>
            </w:r>
          </w:p>
        </w:tc>
      </w:tr>
      <w:tr w:rsidR="00511FAF">
        <w:trPr>
          <w:jc w:val="center"/>
        </w:trPr>
        <w:tc>
          <w:tcPr>
            <w:tcW w:w="0" w:type="auto"/>
            <w:vAlign w:val="center"/>
          </w:tcPr>
          <w:p w:rsidR="00511FAF" w:rsidRDefault="0039440B">
            <w:pPr>
              <w:jc w:val="center"/>
            </w:pPr>
            <w:r>
              <w:rPr>
                <w:color w:val="000000"/>
                <w:sz w:val="24"/>
              </w:rPr>
              <w:t>9</w:t>
            </w:r>
          </w:p>
        </w:tc>
        <w:tc>
          <w:tcPr>
            <w:tcW w:w="0" w:type="auto"/>
            <w:vAlign w:val="center"/>
          </w:tcPr>
          <w:p w:rsidR="00511FAF" w:rsidRDefault="0039440B">
            <w:pPr>
              <w:jc w:val="center"/>
            </w:pPr>
            <w:r>
              <w:rPr>
                <w:color w:val="000000"/>
                <w:sz w:val="24"/>
              </w:rPr>
              <w:t>041459044</w:t>
            </w:r>
          </w:p>
        </w:tc>
        <w:tc>
          <w:tcPr>
            <w:tcW w:w="0" w:type="auto"/>
            <w:vAlign w:val="center"/>
          </w:tcPr>
          <w:p w:rsidR="00511FAF" w:rsidRDefault="0039440B">
            <w:pPr>
              <w:jc w:val="center"/>
            </w:pPr>
            <w:r>
              <w:rPr>
                <w:color w:val="000000"/>
                <w:sz w:val="24"/>
              </w:rPr>
              <w:t>14</w:t>
            </w:r>
            <w:r>
              <w:rPr>
                <w:color w:val="000000"/>
                <w:sz w:val="24"/>
              </w:rPr>
              <w:t>青松</w:t>
            </w:r>
            <w:r>
              <w:rPr>
                <w:color w:val="000000"/>
                <w:sz w:val="24"/>
              </w:rPr>
              <w:t>CP001</w:t>
            </w:r>
          </w:p>
        </w:tc>
        <w:tc>
          <w:tcPr>
            <w:tcW w:w="0" w:type="auto"/>
            <w:vAlign w:val="center"/>
          </w:tcPr>
          <w:p w:rsidR="00511FAF" w:rsidRDefault="0039440B">
            <w:pPr>
              <w:jc w:val="right"/>
            </w:pPr>
            <w:r>
              <w:rPr>
                <w:color w:val="000000"/>
                <w:sz w:val="24"/>
              </w:rPr>
              <w:t>100,000</w:t>
            </w:r>
          </w:p>
        </w:tc>
        <w:tc>
          <w:tcPr>
            <w:tcW w:w="0" w:type="auto"/>
            <w:vAlign w:val="center"/>
          </w:tcPr>
          <w:p w:rsidR="00511FAF" w:rsidRDefault="0039440B">
            <w:pPr>
              <w:jc w:val="right"/>
            </w:pPr>
            <w:r>
              <w:rPr>
                <w:color w:val="000000"/>
                <w:sz w:val="24"/>
              </w:rPr>
              <w:t>10,038,139.01</w:t>
            </w:r>
          </w:p>
        </w:tc>
        <w:tc>
          <w:tcPr>
            <w:tcW w:w="0" w:type="auto"/>
            <w:vAlign w:val="center"/>
          </w:tcPr>
          <w:p w:rsidR="00511FAF" w:rsidRDefault="0039440B">
            <w:pPr>
              <w:jc w:val="right"/>
            </w:pPr>
            <w:r>
              <w:rPr>
                <w:color w:val="000000"/>
                <w:sz w:val="24"/>
              </w:rPr>
              <w:t>4.25</w:t>
            </w:r>
          </w:p>
        </w:tc>
      </w:tr>
      <w:tr w:rsidR="00511FAF">
        <w:trPr>
          <w:jc w:val="center"/>
        </w:trPr>
        <w:tc>
          <w:tcPr>
            <w:tcW w:w="0" w:type="auto"/>
            <w:vAlign w:val="center"/>
          </w:tcPr>
          <w:p w:rsidR="00511FAF" w:rsidRDefault="0039440B">
            <w:pPr>
              <w:jc w:val="center"/>
            </w:pPr>
            <w:r>
              <w:rPr>
                <w:color w:val="000000"/>
                <w:sz w:val="24"/>
              </w:rPr>
              <w:t>10</w:t>
            </w:r>
          </w:p>
        </w:tc>
        <w:tc>
          <w:tcPr>
            <w:tcW w:w="0" w:type="auto"/>
            <w:vAlign w:val="center"/>
          </w:tcPr>
          <w:p w:rsidR="00511FAF" w:rsidRDefault="0039440B">
            <w:pPr>
              <w:jc w:val="center"/>
            </w:pPr>
            <w:r>
              <w:rPr>
                <w:color w:val="000000"/>
                <w:sz w:val="24"/>
              </w:rPr>
              <w:t>041462023</w:t>
            </w:r>
          </w:p>
        </w:tc>
        <w:tc>
          <w:tcPr>
            <w:tcW w:w="0" w:type="auto"/>
            <w:vAlign w:val="center"/>
          </w:tcPr>
          <w:p w:rsidR="00511FAF" w:rsidRDefault="0039440B">
            <w:pPr>
              <w:jc w:val="center"/>
            </w:pPr>
            <w:r>
              <w:rPr>
                <w:color w:val="000000"/>
                <w:sz w:val="24"/>
              </w:rPr>
              <w:t>14</w:t>
            </w:r>
            <w:r>
              <w:rPr>
                <w:color w:val="000000"/>
                <w:sz w:val="24"/>
              </w:rPr>
              <w:t>华谊兄弟</w:t>
            </w:r>
            <w:r>
              <w:rPr>
                <w:color w:val="000000"/>
                <w:sz w:val="24"/>
              </w:rPr>
              <w:t>CP001</w:t>
            </w:r>
          </w:p>
        </w:tc>
        <w:tc>
          <w:tcPr>
            <w:tcW w:w="0" w:type="auto"/>
            <w:vAlign w:val="center"/>
          </w:tcPr>
          <w:p w:rsidR="00511FAF" w:rsidRDefault="0039440B">
            <w:pPr>
              <w:jc w:val="right"/>
            </w:pPr>
            <w:r>
              <w:rPr>
                <w:color w:val="000000"/>
                <w:sz w:val="24"/>
              </w:rPr>
              <w:t>100,000</w:t>
            </w:r>
          </w:p>
        </w:tc>
        <w:tc>
          <w:tcPr>
            <w:tcW w:w="0" w:type="auto"/>
            <w:vAlign w:val="center"/>
          </w:tcPr>
          <w:p w:rsidR="00511FAF" w:rsidRDefault="0039440B">
            <w:pPr>
              <w:jc w:val="right"/>
            </w:pPr>
            <w:r>
              <w:rPr>
                <w:color w:val="000000"/>
                <w:sz w:val="24"/>
              </w:rPr>
              <w:t>10,009,063.17</w:t>
            </w:r>
          </w:p>
        </w:tc>
        <w:tc>
          <w:tcPr>
            <w:tcW w:w="0" w:type="auto"/>
            <w:vAlign w:val="center"/>
          </w:tcPr>
          <w:p w:rsidR="00511FAF" w:rsidRDefault="0039440B">
            <w:pPr>
              <w:jc w:val="right"/>
            </w:pPr>
            <w:r>
              <w:rPr>
                <w:color w:val="000000"/>
                <w:sz w:val="24"/>
              </w:rPr>
              <w:t>4.24</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D51E96" w:rsidP="00281564">
      <w:pPr>
        <w:spacing w:before="29" w:line="288" w:lineRule="auto"/>
        <w:rPr>
          <w:b/>
          <w:color w:val="000000"/>
          <w:kern w:val="0"/>
          <w:sz w:val="24"/>
        </w:rPr>
      </w:pPr>
      <w:r w:rsidRPr="000E4C40">
        <w:rPr>
          <w:b/>
          <w:color w:val="000000"/>
          <w:kern w:val="0"/>
          <w:sz w:val="24"/>
        </w:rPr>
        <w:t>5.6</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0.1391%</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-0.2393%</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0.0881%</w:t>
            </w:r>
          </w:p>
        </w:tc>
      </w:tr>
    </w:tbl>
    <w:p w:rsidR="00BE5584" w:rsidRPr="000E4C40" w:rsidRDefault="00BE5584"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5.7</w:t>
      </w:r>
      <w:r w:rsidR="00E96898" w:rsidRPr="000E4C40">
        <w:rPr>
          <w:b/>
          <w:color w:val="000000"/>
          <w:kern w:val="0"/>
          <w:sz w:val="24"/>
        </w:rPr>
        <w:t xml:space="preserve"> </w:t>
      </w:r>
      <w:r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5.8 </w:t>
      </w:r>
      <w:r w:rsidRPr="000E4C40">
        <w:rPr>
          <w:rFonts w:hAnsi="宋体"/>
          <w:b/>
          <w:color w:val="000000"/>
          <w:kern w:val="0"/>
          <w:sz w:val="24"/>
        </w:rPr>
        <w:t>投资组合报告附注</w:t>
      </w:r>
    </w:p>
    <w:p w:rsidR="009D74FC" w:rsidRPr="000E4C40" w:rsidRDefault="00902E3F" w:rsidP="00281564">
      <w:pPr>
        <w:spacing w:before="29" w:line="288" w:lineRule="auto"/>
        <w:rPr>
          <w:sz w:val="24"/>
        </w:rPr>
      </w:pPr>
      <w:r w:rsidRPr="000E4C40">
        <w:rPr>
          <w:sz w:val="24"/>
        </w:rPr>
        <w:t>5.8.1</w:t>
      </w:r>
      <w:r w:rsidR="00E96898" w:rsidRPr="000E4C40">
        <w:rPr>
          <w:sz w:val="24"/>
        </w:rPr>
        <w:t xml:space="preserve"> </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340292" w:rsidRPr="000E4C40" w:rsidRDefault="00340292" w:rsidP="00930856">
      <w:pPr>
        <w:spacing w:before="29" w:line="288" w:lineRule="auto"/>
        <w:rPr>
          <w:sz w:val="24"/>
        </w:rPr>
      </w:pPr>
      <w:r w:rsidRPr="000E4C40">
        <w:rPr>
          <w:sz w:val="24"/>
        </w:rPr>
        <w:t>5.8.2</w:t>
      </w:r>
      <w:r w:rsidRPr="000E4C40">
        <w:rPr>
          <w:sz w:val="24"/>
        </w:rPr>
        <w:t>本基金报告期每日持有剩余期限小于</w:t>
      </w:r>
      <w:r w:rsidRPr="000E4C40">
        <w:rPr>
          <w:sz w:val="24"/>
        </w:rPr>
        <w:t>397</w:t>
      </w:r>
      <w:r w:rsidRPr="000E4C40">
        <w:rPr>
          <w:sz w:val="24"/>
        </w:rPr>
        <w:t>天但剩余存续期超过</w:t>
      </w:r>
      <w:r w:rsidRPr="000E4C40">
        <w:rPr>
          <w:sz w:val="24"/>
        </w:rPr>
        <w:t>397</w:t>
      </w:r>
      <w:r w:rsidRPr="000E4C40">
        <w:rPr>
          <w:sz w:val="24"/>
        </w:rPr>
        <w:t>天的浮动利率债券的摊余成本均未超过当日基金资产净值的</w:t>
      </w:r>
      <w:r w:rsidRPr="000E4C40">
        <w:rPr>
          <w:sz w:val="24"/>
        </w:rPr>
        <w:t>20%</w:t>
      </w:r>
      <w:r w:rsidRPr="000E4C40">
        <w:rPr>
          <w:sz w:val="24"/>
        </w:rPr>
        <w:t>。</w:t>
      </w:r>
    </w:p>
    <w:p w:rsidR="00EB25E4" w:rsidRDefault="00EB25E4" w:rsidP="00281564">
      <w:pPr>
        <w:adjustRightInd w:val="0"/>
        <w:spacing w:before="29" w:line="288" w:lineRule="auto"/>
        <w:ind w:left="17"/>
        <w:rPr>
          <w:color w:val="000000"/>
          <w:sz w:val="24"/>
        </w:rPr>
      </w:pPr>
      <w:r w:rsidRPr="000E4C40">
        <w:rPr>
          <w:bCs/>
          <w:sz w:val="24"/>
        </w:rPr>
        <w:t>5.8.3</w:t>
      </w:r>
      <w:r w:rsidRPr="000E4C40">
        <w:rPr>
          <w:color w:val="000000"/>
          <w:sz w:val="24"/>
        </w:rPr>
        <w:t>报告期内本基金投资的前十名证券的发行主体除</w:t>
      </w:r>
      <w:r w:rsidRPr="000E4C40">
        <w:rPr>
          <w:color w:val="000000"/>
          <w:sz w:val="24"/>
        </w:rPr>
        <w:t>14</w:t>
      </w:r>
      <w:r w:rsidRPr="000E4C40">
        <w:rPr>
          <w:color w:val="000000"/>
          <w:sz w:val="24"/>
        </w:rPr>
        <w:t>冀水泥</w:t>
      </w:r>
      <w:r w:rsidRPr="000E4C40">
        <w:rPr>
          <w:color w:val="000000"/>
          <w:sz w:val="24"/>
        </w:rPr>
        <w:t>CP001</w:t>
      </w:r>
      <w:r w:rsidRPr="000E4C40">
        <w:rPr>
          <w:color w:val="000000"/>
          <w:sz w:val="24"/>
        </w:rPr>
        <w:t>（证券代码：</w:t>
      </w:r>
      <w:r w:rsidRPr="000E4C40">
        <w:rPr>
          <w:color w:val="000000"/>
          <w:sz w:val="24"/>
        </w:rPr>
        <w:t>041466002</w:t>
      </w:r>
      <w:r w:rsidRPr="000E4C40">
        <w:rPr>
          <w:color w:val="000000"/>
          <w:sz w:val="24"/>
        </w:rPr>
        <w:t>）外，未出现被监管部门立案调查，或在报告编制日前一年内受到公开谴责、处罚的情形。</w:t>
      </w:r>
    </w:p>
    <w:p w:rsidR="00511FAF" w:rsidRDefault="0039440B">
      <w:pPr>
        <w:adjustRightInd w:val="0"/>
        <w:spacing w:before="29" w:line="288" w:lineRule="auto"/>
        <w:ind w:left="17"/>
        <w:rPr>
          <w:color w:val="000000"/>
          <w:sz w:val="24"/>
        </w:rPr>
      </w:pPr>
      <w:r>
        <w:rPr>
          <w:color w:val="000000"/>
          <w:sz w:val="24"/>
        </w:rPr>
        <w:t>报告期内本基金投资的前十名证券之一</w:t>
      </w:r>
      <w:r>
        <w:rPr>
          <w:color w:val="000000"/>
          <w:sz w:val="24"/>
        </w:rPr>
        <w:t>14</w:t>
      </w:r>
      <w:r>
        <w:rPr>
          <w:color w:val="000000"/>
          <w:sz w:val="24"/>
        </w:rPr>
        <w:t>冀水泥</w:t>
      </w:r>
      <w:r>
        <w:rPr>
          <w:color w:val="000000"/>
          <w:sz w:val="24"/>
        </w:rPr>
        <w:t>CP001</w:t>
      </w:r>
      <w:r>
        <w:rPr>
          <w:color w:val="000000"/>
          <w:sz w:val="24"/>
        </w:rPr>
        <w:t>（证券代码：</w:t>
      </w:r>
      <w:r>
        <w:rPr>
          <w:color w:val="000000"/>
          <w:sz w:val="24"/>
        </w:rPr>
        <w:t>041466002</w:t>
      </w:r>
      <w:r>
        <w:rPr>
          <w:color w:val="000000"/>
          <w:sz w:val="24"/>
        </w:rPr>
        <w:t>）的发行主体冀东水泥于</w:t>
      </w:r>
      <w:r>
        <w:rPr>
          <w:color w:val="000000"/>
          <w:sz w:val="24"/>
        </w:rPr>
        <w:t>2014</w:t>
      </w:r>
      <w:r>
        <w:rPr>
          <w:color w:val="000000"/>
          <w:sz w:val="24"/>
        </w:rPr>
        <w:t>年</w:t>
      </w:r>
      <w:r>
        <w:rPr>
          <w:color w:val="000000"/>
          <w:sz w:val="24"/>
        </w:rPr>
        <w:t>9</w:t>
      </w:r>
      <w:r>
        <w:rPr>
          <w:color w:val="000000"/>
          <w:sz w:val="24"/>
        </w:rPr>
        <w:t>月</w:t>
      </w:r>
      <w:r>
        <w:rPr>
          <w:color w:val="000000"/>
          <w:sz w:val="24"/>
        </w:rPr>
        <w:t>11</w:t>
      </w:r>
      <w:r>
        <w:rPr>
          <w:color w:val="000000"/>
          <w:sz w:val="24"/>
        </w:rPr>
        <w:t>日公告称，唐山冀东水泥股份有限公司的全资子公司冀东水泥吉林有限责任公司被认定存在与具有竞争关系的经营者达成并实施价格垄断协议的行为，因而收到吉林省物价局《行政处罚决定书》。</w:t>
      </w:r>
    </w:p>
    <w:p w:rsidR="00511FAF" w:rsidRDefault="0039440B">
      <w:pPr>
        <w:adjustRightInd w:val="0"/>
        <w:spacing w:before="29" w:line="288" w:lineRule="auto"/>
        <w:ind w:left="17"/>
        <w:rPr>
          <w:color w:val="000000"/>
          <w:sz w:val="24"/>
        </w:rPr>
      </w:pPr>
      <w:r>
        <w:rPr>
          <w:color w:val="00000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623E3A" w:rsidRPr="000E4C40" w:rsidRDefault="00623E3A" w:rsidP="00281564">
      <w:pPr>
        <w:adjustRightInd w:val="0"/>
        <w:spacing w:before="29" w:line="288" w:lineRule="auto"/>
        <w:ind w:left="17"/>
        <w:rPr>
          <w:color w:val="000000"/>
          <w:sz w:val="24"/>
        </w:rPr>
      </w:pPr>
    </w:p>
    <w:p w:rsidR="009D74FC" w:rsidRPr="000E4C40" w:rsidRDefault="009D74FC" w:rsidP="00281564">
      <w:pPr>
        <w:spacing w:before="29" w:line="288" w:lineRule="auto"/>
        <w:rPr>
          <w:color w:val="000000"/>
          <w:kern w:val="0"/>
          <w:sz w:val="24"/>
        </w:rPr>
      </w:pPr>
      <w:r w:rsidRPr="000E4C40">
        <w:rPr>
          <w:color w:val="000000"/>
          <w:kern w:val="0"/>
          <w:sz w:val="24"/>
        </w:rPr>
        <w:t>5.8.</w:t>
      </w:r>
      <w:r w:rsidR="00EB25E4" w:rsidRPr="000E4C40">
        <w:rPr>
          <w:color w:val="000000"/>
          <w:kern w:val="0"/>
          <w:sz w:val="24"/>
        </w:rPr>
        <w:t>4</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3,337,067.76</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3,337,067.76</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452D31" w:rsidP="00281564">
      <w:pPr>
        <w:spacing w:before="29" w:line="288" w:lineRule="auto"/>
        <w:rPr>
          <w:color w:val="000000"/>
          <w:kern w:val="0"/>
          <w:sz w:val="24"/>
        </w:rPr>
      </w:pPr>
      <w:r w:rsidRPr="000E4C40">
        <w:rPr>
          <w:color w:val="000000"/>
          <w:kern w:val="0"/>
          <w:sz w:val="24"/>
        </w:rPr>
        <w:t>5.8.5</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470341">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15,914,424.50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3,754,558.62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221,373,273.42</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4,740,354.40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14,928,628.72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221,373,273.42</w:t>
            </w:r>
          </w:p>
        </w:tc>
      </w:tr>
    </w:tbl>
    <w:p w:rsidR="00511FAF" w:rsidRDefault="0039440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470341">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D7682F">
      <w:pPr>
        <w:autoSpaceDE w:val="0"/>
        <w:autoSpaceDN w:val="0"/>
        <w:adjustRightInd w:val="0"/>
        <w:spacing w:before="29" w:line="288" w:lineRule="auto"/>
        <w:ind w:firstLineChars="200" w:firstLine="480"/>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Default="0018245B" w:rsidP="00281564">
      <w:pPr>
        <w:autoSpaceDE w:val="0"/>
        <w:autoSpaceDN w:val="0"/>
        <w:adjustRightInd w:val="0"/>
        <w:spacing w:before="29" w:line="288" w:lineRule="auto"/>
        <w:jc w:val="left"/>
        <w:rPr>
          <w:color w:val="000000"/>
          <w:sz w:val="24"/>
        </w:rPr>
      </w:pPr>
    </w:p>
    <w:p w:rsidR="005B4DD4" w:rsidRPr="00414345" w:rsidRDefault="005B4DD4" w:rsidP="005B4DD4">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§8 </w:t>
      </w:r>
      <w:r w:rsidRPr="00414345">
        <w:rPr>
          <w:color w:val="000000"/>
          <w:kern w:val="0"/>
          <w:sz w:val="24"/>
          <w:szCs w:val="24"/>
        </w:rPr>
        <w:t>影响投资者决策的其他重要信息</w:t>
      </w:r>
    </w:p>
    <w:p w:rsidR="005B4DD4" w:rsidRPr="009B6CCA" w:rsidRDefault="005B4DD4" w:rsidP="005B4DD4">
      <w:pPr>
        <w:autoSpaceDE w:val="0"/>
        <w:autoSpaceDN w:val="0"/>
        <w:adjustRightInd w:val="0"/>
        <w:spacing w:before="29" w:line="288" w:lineRule="auto"/>
        <w:ind w:firstLine="420"/>
        <w:jc w:val="left"/>
        <w:rPr>
          <w:color w:val="000000"/>
          <w:sz w:val="24"/>
        </w:rPr>
      </w:pPr>
      <w:r w:rsidRPr="009B6CCA">
        <w:rPr>
          <w:rFonts w:hint="eastAsia"/>
          <w:color w:val="000000"/>
          <w:sz w:val="24"/>
        </w:rPr>
        <w:t>本基金托管人</w:t>
      </w:r>
      <w:r w:rsidR="0083787B" w:rsidRPr="009B6CCA">
        <w:rPr>
          <w:rFonts w:hint="eastAsia"/>
          <w:color w:val="000000"/>
          <w:sz w:val="24"/>
        </w:rPr>
        <w:t>2014</w:t>
      </w:r>
      <w:r w:rsidR="0083787B" w:rsidRPr="009B6CCA">
        <w:rPr>
          <w:rFonts w:hint="eastAsia"/>
          <w:color w:val="000000"/>
          <w:sz w:val="24"/>
        </w:rPr>
        <w:t>年</w:t>
      </w:r>
      <w:r w:rsidR="0083787B">
        <w:rPr>
          <w:color w:val="000000"/>
          <w:sz w:val="24"/>
        </w:rPr>
        <w:t>11</w:t>
      </w:r>
      <w:r w:rsidRPr="009B6CCA">
        <w:rPr>
          <w:rFonts w:hint="eastAsia"/>
          <w:color w:val="000000"/>
          <w:sz w:val="24"/>
        </w:rPr>
        <w:t>月</w:t>
      </w:r>
      <w:r w:rsidR="0083787B">
        <w:rPr>
          <w:color w:val="000000"/>
          <w:sz w:val="24"/>
        </w:rPr>
        <w:t>3</w:t>
      </w:r>
      <w:bookmarkStart w:id="2" w:name="_GoBack"/>
      <w:bookmarkEnd w:id="2"/>
      <w:r w:rsidRPr="009B6CCA">
        <w:rPr>
          <w:rFonts w:hint="eastAsia"/>
          <w:color w:val="000000"/>
          <w:sz w:val="24"/>
        </w:rPr>
        <w:t>日发布公告，聘任赵观甫为中国建设银行投资托管业务部总经理。</w:t>
      </w:r>
    </w:p>
    <w:p w:rsidR="005B4DD4" w:rsidRPr="005B4DD4" w:rsidRDefault="005B4DD4" w:rsidP="00281564">
      <w:pPr>
        <w:autoSpaceDE w:val="0"/>
        <w:autoSpaceDN w:val="0"/>
        <w:adjustRightInd w:val="0"/>
        <w:spacing w:before="29" w:line="288" w:lineRule="auto"/>
        <w:jc w:val="left"/>
        <w:rPr>
          <w:color w:val="000000"/>
          <w:sz w:val="24"/>
        </w:rPr>
      </w:pPr>
    </w:p>
    <w:p w:rsidR="00C03EF8" w:rsidRPr="009268A2" w:rsidRDefault="009D74FC" w:rsidP="00470341">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5B4DD4">
        <w:rPr>
          <w:color w:val="000000"/>
          <w:kern w:val="0"/>
          <w:sz w:val="24"/>
          <w:szCs w:val="24"/>
        </w:rPr>
        <w:t>9</w:t>
      </w:r>
      <w:r w:rsidR="005B4DD4" w:rsidRPr="000E4C40">
        <w:rPr>
          <w:color w:val="000000"/>
          <w:kern w:val="0"/>
          <w:sz w:val="24"/>
          <w:szCs w:val="24"/>
        </w:rPr>
        <w:t xml:space="preserve">  </w:t>
      </w:r>
      <w:r w:rsidRPr="000E4C40">
        <w:rPr>
          <w:rFonts w:hAnsi="宋体"/>
          <w:color w:val="000000"/>
          <w:kern w:val="0"/>
          <w:sz w:val="24"/>
          <w:szCs w:val="24"/>
        </w:rPr>
        <w:t>备查文件目录</w:t>
      </w:r>
    </w:p>
    <w:p w:rsidR="00AB373C" w:rsidRPr="000E4C40" w:rsidRDefault="005B4DD4" w:rsidP="00281564">
      <w:pPr>
        <w:autoSpaceDE w:val="0"/>
        <w:autoSpaceDN w:val="0"/>
        <w:adjustRightInd w:val="0"/>
        <w:spacing w:before="29" w:line="288" w:lineRule="auto"/>
        <w:jc w:val="left"/>
        <w:rPr>
          <w:b/>
          <w:bCs/>
          <w:color w:val="000000"/>
          <w:kern w:val="0"/>
          <w:sz w:val="24"/>
        </w:rPr>
      </w:pPr>
      <w:r>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rsidR="00511FAF" w:rsidRDefault="0039440B">
      <w:pPr>
        <w:spacing w:before="29" w:line="288" w:lineRule="auto"/>
        <w:ind w:firstLineChars="200" w:firstLine="480"/>
        <w:rPr>
          <w:color w:val="000000"/>
          <w:sz w:val="24"/>
        </w:rPr>
      </w:pPr>
      <w:r>
        <w:rPr>
          <w:color w:val="000000"/>
          <w:sz w:val="24"/>
        </w:rPr>
        <w:t>1</w:t>
      </w:r>
      <w:r>
        <w:rPr>
          <w:color w:val="000000"/>
          <w:sz w:val="24"/>
        </w:rPr>
        <w:t>、中国证监会批准交银施罗德理财</w:t>
      </w:r>
      <w:r>
        <w:rPr>
          <w:color w:val="000000"/>
          <w:sz w:val="24"/>
        </w:rPr>
        <w:t>60</w:t>
      </w:r>
      <w:r>
        <w:rPr>
          <w:color w:val="000000"/>
          <w:sz w:val="24"/>
        </w:rPr>
        <w:t>天债券型证券投资基金募集的文件；</w:t>
      </w:r>
      <w:r>
        <w:rPr>
          <w:color w:val="000000"/>
          <w:sz w:val="24"/>
        </w:rPr>
        <w:t xml:space="preserve"> </w:t>
      </w:r>
    </w:p>
    <w:p w:rsidR="00511FAF" w:rsidRDefault="0039440B">
      <w:pPr>
        <w:spacing w:before="29" w:line="288" w:lineRule="auto"/>
        <w:ind w:firstLineChars="200" w:firstLine="480"/>
        <w:rPr>
          <w:color w:val="000000"/>
          <w:sz w:val="24"/>
        </w:rPr>
      </w:pPr>
      <w:r>
        <w:rPr>
          <w:color w:val="000000"/>
          <w:sz w:val="24"/>
        </w:rPr>
        <w:t>2</w:t>
      </w:r>
      <w:r>
        <w:rPr>
          <w:color w:val="000000"/>
          <w:sz w:val="24"/>
        </w:rPr>
        <w:t>、《交银施罗德理财</w:t>
      </w:r>
      <w:r>
        <w:rPr>
          <w:color w:val="000000"/>
          <w:sz w:val="24"/>
        </w:rPr>
        <w:t>60</w:t>
      </w:r>
      <w:r>
        <w:rPr>
          <w:color w:val="000000"/>
          <w:sz w:val="24"/>
        </w:rPr>
        <w:t>天债券型证券投资基金基金合同》；</w:t>
      </w:r>
      <w:r>
        <w:rPr>
          <w:color w:val="000000"/>
          <w:sz w:val="24"/>
        </w:rPr>
        <w:t xml:space="preserve"> </w:t>
      </w:r>
    </w:p>
    <w:p w:rsidR="00511FAF" w:rsidRDefault="0039440B">
      <w:pPr>
        <w:spacing w:before="29" w:line="288" w:lineRule="auto"/>
        <w:ind w:firstLineChars="200" w:firstLine="480"/>
        <w:rPr>
          <w:color w:val="000000"/>
          <w:sz w:val="24"/>
        </w:rPr>
      </w:pPr>
      <w:r>
        <w:rPr>
          <w:color w:val="000000"/>
          <w:sz w:val="24"/>
        </w:rPr>
        <w:t>3</w:t>
      </w:r>
      <w:r>
        <w:rPr>
          <w:color w:val="000000"/>
          <w:sz w:val="24"/>
        </w:rPr>
        <w:t>、《交银施罗德理财</w:t>
      </w:r>
      <w:r>
        <w:rPr>
          <w:color w:val="000000"/>
          <w:sz w:val="24"/>
        </w:rPr>
        <w:t>60</w:t>
      </w:r>
      <w:r>
        <w:rPr>
          <w:color w:val="000000"/>
          <w:sz w:val="24"/>
        </w:rPr>
        <w:t>天债券型证券投资基金招募说明书》；</w:t>
      </w:r>
      <w:r>
        <w:rPr>
          <w:color w:val="000000"/>
          <w:sz w:val="24"/>
        </w:rPr>
        <w:t xml:space="preserve"> </w:t>
      </w:r>
    </w:p>
    <w:p w:rsidR="00511FAF" w:rsidRDefault="0039440B">
      <w:pPr>
        <w:spacing w:before="29" w:line="288" w:lineRule="auto"/>
        <w:ind w:firstLineChars="200" w:firstLine="480"/>
        <w:rPr>
          <w:color w:val="000000"/>
          <w:sz w:val="24"/>
        </w:rPr>
      </w:pPr>
      <w:r>
        <w:rPr>
          <w:color w:val="000000"/>
          <w:sz w:val="24"/>
        </w:rPr>
        <w:t>4</w:t>
      </w:r>
      <w:r>
        <w:rPr>
          <w:color w:val="000000"/>
          <w:sz w:val="24"/>
        </w:rPr>
        <w:t>、《交银施罗德理财</w:t>
      </w:r>
      <w:r>
        <w:rPr>
          <w:color w:val="000000"/>
          <w:sz w:val="24"/>
        </w:rPr>
        <w:t>60</w:t>
      </w:r>
      <w:r>
        <w:rPr>
          <w:color w:val="000000"/>
          <w:sz w:val="24"/>
        </w:rPr>
        <w:t>天债券型证券投资基金托管协议》；</w:t>
      </w:r>
      <w:r>
        <w:rPr>
          <w:color w:val="000000"/>
          <w:sz w:val="24"/>
        </w:rPr>
        <w:t xml:space="preserve"> </w:t>
      </w:r>
    </w:p>
    <w:p w:rsidR="00511FAF" w:rsidRDefault="0039440B">
      <w:pPr>
        <w:spacing w:before="29" w:line="288" w:lineRule="auto"/>
        <w:ind w:firstLineChars="200" w:firstLine="480"/>
        <w:rPr>
          <w:color w:val="000000"/>
          <w:sz w:val="24"/>
        </w:rPr>
      </w:pPr>
      <w:r>
        <w:rPr>
          <w:color w:val="000000"/>
          <w:sz w:val="24"/>
        </w:rPr>
        <w:t>5</w:t>
      </w:r>
      <w:r>
        <w:rPr>
          <w:color w:val="000000"/>
          <w:sz w:val="24"/>
        </w:rPr>
        <w:t>、关于募集交银施罗德理财</w:t>
      </w:r>
      <w:r>
        <w:rPr>
          <w:color w:val="000000"/>
          <w:sz w:val="24"/>
        </w:rPr>
        <w:t>60</w:t>
      </w:r>
      <w:r>
        <w:rPr>
          <w:color w:val="000000"/>
          <w:sz w:val="24"/>
        </w:rPr>
        <w:t>天债券型证券投资基金之法律意见书；</w:t>
      </w:r>
      <w:r>
        <w:rPr>
          <w:color w:val="000000"/>
          <w:sz w:val="24"/>
        </w:rPr>
        <w:t xml:space="preserve"> </w:t>
      </w:r>
    </w:p>
    <w:p w:rsidR="00511FAF" w:rsidRDefault="0039440B">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511FAF" w:rsidRDefault="0039440B">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、报告期内交银施罗德理财</w:t>
      </w:r>
      <w:r w:rsidRPr="000E4C40">
        <w:rPr>
          <w:color w:val="000000"/>
          <w:sz w:val="24"/>
        </w:rPr>
        <w:t>60</w:t>
      </w:r>
      <w:r w:rsidRPr="000E4C40">
        <w:rPr>
          <w:color w:val="000000"/>
          <w:sz w:val="24"/>
        </w:rPr>
        <w:t>天债券型证券投资基金在指定报刊上各项公告的原稿。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5B4DD4" w:rsidP="00281564">
      <w:pPr>
        <w:autoSpaceDE w:val="0"/>
        <w:autoSpaceDN w:val="0"/>
        <w:adjustRightInd w:val="0"/>
        <w:spacing w:before="29" w:line="288" w:lineRule="auto"/>
        <w:jc w:val="left"/>
        <w:rPr>
          <w:b/>
          <w:bCs/>
          <w:color w:val="000000"/>
          <w:kern w:val="0"/>
          <w:sz w:val="24"/>
        </w:rPr>
      </w:pPr>
      <w:r>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5B4DD4" w:rsidP="00281564">
      <w:pPr>
        <w:autoSpaceDE w:val="0"/>
        <w:autoSpaceDN w:val="0"/>
        <w:adjustRightInd w:val="0"/>
        <w:spacing w:before="29" w:line="288" w:lineRule="auto"/>
        <w:jc w:val="left"/>
        <w:rPr>
          <w:b/>
          <w:bCs/>
          <w:color w:val="000000"/>
          <w:kern w:val="0"/>
          <w:sz w:val="24"/>
        </w:rPr>
      </w:pPr>
      <w:r>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rsidR="00511FAF" w:rsidRDefault="0039440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40B" w:rsidRDefault="0039440B">
      <w:r>
        <w:separator/>
      </w:r>
    </w:p>
  </w:endnote>
  <w:endnote w:type="continuationSeparator" w:id="0">
    <w:p w:rsidR="0039440B" w:rsidRDefault="0039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984D79">
      <w:rPr>
        <w:rFonts w:hint="eastAsia"/>
        <w:kern w:val="0"/>
        <w:szCs w:val="21"/>
      </w:rPr>
      <w:t xml:space="preserve"> </w:t>
    </w:r>
    <w:r w:rsidR="0039276A">
      <w:rPr>
        <w:kern w:val="0"/>
        <w:szCs w:val="21"/>
      </w:rPr>
      <w:fldChar w:fldCharType="begin"/>
    </w:r>
    <w:r>
      <w:rPr>
        <w:kern w:val="0"/>
        <w:szCs w:val="21"/>
      </w:rPr>
      <w:instrText xml:space="preserve"> PAGE </w:instrText>
    </w:r>
    <w:r w:rsidR="0039276A">
      <w:rPr>
        <w:kern w:val="0"/>
        <w:szCs w:val="21"/>
      </w:rPr>
      <w:fldChar w:fldCharType="separate"/>
    </w:r>
    <w:r w:rsidR="0083787B">
      <w:rPr>
        <w:noProof/>
        <w:kern w:val="0"/>
        <w:szCs w:val="21"/>
      </w:rPr>
      <w:t>13</w:t>
    </w:r>
    <w:r w:rsidR="0039276A">
      <w:rPr>
        <w:kern w:val="0"/>
        <w:szCs w:val="21"/>
      </w:rPr>
      <w:fldChar w:fldCharType="end"/>
    </w:r>
    <w:r w:rsidR="00984D79">
      <w:rPr>
        <w:rFonts w:hint="eastAsia"/>
        <w:kern w:val="0"/>
        <w:szCs w:val="21"/>
      </w:rPr>
      <w:t xml:space="preserve"> </w:t>
    </w:r>
    <w:r>
      <w:rPr>
        <w:rFonts w:hint="eastAsia"/>
        <w:kern w:val="0"/>
        <w:szCs w:val="21"/>
      </w:rPr>
      <w:t>页</w:t>
    </w:r>
    <w:r w:rsidR="00984D79">
      <w:rPr>
        <w:rFonts w:hint="eastAsia"/>
        <w:kern w:val="0"/>
        <w:szCs w:val="21"/>
      </w:rPr>
      <w:t xml:space="preserve"> </w:t>
    </w:r>
    <w:r>
      <w:rPr>
        <w:rFonts w:hint="eastAsia"/>
        <w:kern w:val="0"/>
        <w:szCs w:val="21"/>
      </w:rPr>
      <w:t>共</w:t>
    </w:r>
    <w:r w:rsidR="00984D79">
      <w:rPr>
        <w:rFonts w:hint="eastAsia"/>
        <w:kern w:val="0"/>
        <w:szCs w:val="21"/>
      </w:rPr>
      <w:t xml:space="preserve"> </w:t>
    </w:r>
    <w:r w:rsidR="0039276A">
      <w:rPr>
        <w:rFonts w:hint="eastAsia"/>
        <w:kern w:val="0"/>
        <w:szCs w:val="21"/>
      </w:rPr>
      <w:fldChar w:fldCharType="begin"/>
    </w:r>
    <w:r>
      <w:rPr>
        <w:kern w:val="0"/>
        <w:szCs w:val="21"/>
      </w:rPr>
      <w:instrText xml:space="preserve"> NUMPAGES </w:instrText>
    </w:r>
    <w:r w:rsidR="0039276A">
      <w:rPr>
        <w:rFonts w:hint="eastAsia"/>
        <w:kern w:val="0"/>
        <w:szCs w:val="21"/>
      </w:rPr>
      <w:fldChar w:fldCharType="separate"/>
    </w:r>
    <w:r w:rsidR="0083787B">
      <w:rPr>
        <w:noProof/>
        <w:kern w:val="0"/>
        <w:szCs w:val="21"/>
      </w:rPr>
      <w:t>14</w:t>
    </w:r>
    <w:r w:rsidR="0039276A">
      <w:rPr>
        <w:rFonts w:hint="eastAsia"/>
        <w:kern w:val="0"/>
        <w:szCs w:val="21"/>
      </w:rPr>
      <w:fldChar w:fldCharType="end"/>
    </w:r>
    <w:r w:rsidR="00984D7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40B" w:rsidRDefault="0039440B">
      <w:r>
        <w:separator/>
      </w:r>
    </w:p>
  </w:footnote>
  <w:footnote w:type="continuationSeparator" w:id="0">
    <w:p w:rsidR="0039440B" w:rsidRDefault="00394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911B4"/>
    <w:rsid w:val="000A2D74"/>
    <w:rsid w:val="000A7480"/>
    <w:rsid w:val="000B2044"/>
    <w:rsid w:val="000B2266"/>
    <w:rsid w:val="000B6615"/>
    <w:rsid w:val="000C469F"/>
    <w:rsid w:val="000D0F44"/>
    <w:rsid w:val="000D6294"/>
    <w:rsid w:val="000D66F0"/>
    <w:rsid w:val="000E0F6E"/>
    <w:rsid w:val="000E4C40"/>
    <w:rsid w:val="000F1795"/>
    <w:rsid w:val="000F2DA3"/>
    <w:rsid w:val="000F3C21"/>
    <w:rsid w:val="000F4826"/>
    <w:rsid w:val="000F5947"/>
    <w:rsid w:val="00101278"/>
    <w:rsid w:val="0010236C"/>
    <w:rsid w:val="001038EF"/>
    <w:rsid w:val="00103B93"/>
    <w:rsid w:val="001074D6"/>
    <w:rsid w:val="00113777"/>
    <w:rsid w:val="00114C97"/>
    <w:rsid w:val="00124BE3"/>
    <w:rsid w:val="0012707C"/>
    <w:rsid w:val="001302DB"/>
    <w:rsid w:val="00134628"/>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71E26"/>
    <w:rsid w:val="00373AAB"/>
    <w:rsid w:val="00383631"/>
    <w:rsid w:val="00384942"/>
    <w:rsid w:val="0039276A"/>
    <w:rsid w:val="0039440B"/>
    <w:rsid w:val="00394BC1"/>
    <w:rsid w:val="003A0EC1"/>
    <w:rsid w:val="003B36B4"/>
    <w:rsid w:val="003B6DC6"/>
    <w:rsid w:val="003C0E8C"/>
    <w:rsid w:val="003C1137"/>
    <w:rsid w:val="003C495A"/>
    <w:rsid w:val="003D1ECF"/>
    <w:rsid w:val="003D21F4"/>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1A70"/>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1FAF"/>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4DD4"/>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33555"/>
    <w:rsid w:val="008347B3"/>
    <w:rsid w:val="00834F7F"/>
    <w:rsid w:val="00835BDD"/>
    <w:rsid w:val="0083787B"/>
    <w:rsid w:val="008379E2"/>
    <w:rsid w:val="00844B21"/>
    <w:rsid w:val="00852119"/>
    <w:rsid w:val="0085498E"/>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75D2"/>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D90"/>
    <w:rsid w:val="00D66016"/>
    <w:rsid w:val="00D7682F"/>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5114E"/>
    <w:rsid w:val="00F53B1A"/>
    <w:rsid w:val="00F54568"/>
    <w:rsid w:val="00F57249"/>
    <w:rsid w:val="00F60094"/>
    <w:rsid w:val="00F62DE3"/>
    <w:rsid w:val="00F77131"/>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407B21AC-7833-472A-A80F-AFA1E809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D8235F9-5EFB-4FF6-81CE-2B7D3B3EC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14</Pages>
  <Words>1172</Words>
  <Characters>6682</Characters>
  <Application>Microsoft Office Word</Application>
  <DocSecurity>0</DocSecurity>
  <Lines>55</Lines>
  <Paragraphs>15</Paragraphs>
  <ScaleCrop>false</ScaleCrop>
  <Company>jysld</Company>
  <LinksUpToDate>false</LinksUpToDate>
  <CharactersWithSpaces>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305</cp:revision>
  <cp:lastPrinted>2009-01-22T10:11:00Z</cp:lastPrinted>
  <dcterms:created xsi:type="dcterms:W3CDTF">2012-11-21T05:49:00Z</dcterms:created>
  <dcterms:modified xsi:type="dcterms:W3CDTF">2015-01-20T06:49:00Z</dcterms:modified>
</cp:coreProperties>
</file>