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二〇一五年一月二十二日</w:t>
      </w:r>
    </w:p>
    <w:p w:rsidR="009238DB" w:rsidRPr="007F52FA" w:rsidRDefault="009238DB" w:rsidP="00A56A6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A56A6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162,018,201.74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129,725,123.09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32,293,078.65</w:t>
            </w:r>
            <w:r w:rsidRPr="007F52FA">
              <w:rPr>
                <w:color w:val="000000"/>
                <w:kern w:val="0"/>
                <w:sz w:val="24"/>
              </w:rPr>
              <w:t>份</w:t>
            </w:r>
          </w:p>
        </w:tc>
      </w:tr>
    </w:tbl>
    <w:p w:rsidR="00CF0100" w:rsidRDefault="0031122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A56A6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4,255,415.43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4,637,520.29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1,361,365.16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7,052,488.80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0.0462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137,970,753.21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33,960,357.78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1.052</w:t>
            </w:r>
          </w:p>
        </w:tc>
      </w:tr>
    </w:tbl>
    <w:p w:rsidR="00CF0100" w:rsidRDefault="0031122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F0100">
        <w:trPr>
          <w:jc w:val="center"/>
        </w:trPr>
        <w:tc>
          <w:tcPr>
            <w:tcW w:w="1266" w:type="dxa"/>
            <w:vAlign w:val="center"/>
          </w:tcPr>
          <w:p w:rsidR="00CF0100" w:rsidRDefault="0031122F">
            <w:pPr>
              <w:jc w:val="left"/>
            </w:pPr>
            <w:r>
              <w:rPr>
                <w:color w:val="000000"/>
                <w:sz w:val="24"/>
              </w:rPr>
              <w:lastRenderedPageBreak/>
              <w:t>过去三个月</w:t>
            </w:r>
          </w:p>
        </w:tc>
        <w:tc>
          <w:tcPr>
            <w:tcW w:w="1267" w:type="dxa"/>
            <w:vAlign w:val="center"/>
          </w:tcPr>
          <w:p w:rsidR="00CF0100" w:rsidRDefault="0031122F">
            <w:pPr>
              <w:jc w:val="center"/>
            </w:pPr>
            <w:r>
              <w:rPr>
                <w:color w:val="000000"/>
                <w:sz w:val="24"/>
              </w:rPr>
              <w:t>0.18%</w:t>
            </w:r>
          </w:p>
        </w:tc>
        <w:tc>
          <w:tcPr>
            <w:tcW w:w="1267" w:type="dxa"/>
            <w:vAlign w:val="center"/>
          </w:tcPr>
          <w:p w:rsidR="00CF0100" w:rsidRDefault="0031122F">
            <w:pPr>
              <w:jc w:val="center"/>
            </w:pPr>
            <w:r>
              <w:rPr>
                <w:color w:val="000000"/>
                <w:sz w:val="24"/>
              </w:rPr>
              <w:t>0.21%</w:t>
            </w:r>
          </w:p>
        </w:tc>
        <w:tc>
          <w:tcPr>
            <w:tcW w:w="1267" w:type="dxa"/>
            <w:vAlign w:val="center"/>
          </w:tcPr>
          <w:p w:rsidR="00CF0100" w:rsidRDefault="0031122F">
            <w:pPr>
              <w:jc w:val="center"/>
            </w:pPr>
            <w:r>
              <w:rPr>
                <w:color w:val="000000"/>
                <w:sz w:val="24"/>
              </w:rPr>
              <w:t>1.67%</w:t>
            </w:r>
          </w:p>
        </w:tc>
        <w:tc>
          <w:tcPr>
            <w:tcW w:w="1267" w:type="dxa"/>
            <w:vAlign w:val="center"/>
          </w:tcPr>
          <w:p w:rsidR="00CF0100" w:rsidRDefault="0031122F">
            <w:pPr>
              <w:jc w:val="center"/>
            </w:pPr>
            <w:r>
              <w:rPr>
                <w:color w:val="000000"/>
                <w:sz w:val="24"/>
              </w:rPr>
              <w:t>0.17%</w:t>
            </w:r>
          </w:p>
        </w:tc>
        <w:tc>
          <w:tcPr>
            <w:tcW w:w="1267" w:type="dxa"/>
            <w:vAlign w:val="center"/>
          </w:tcPr>
          <w:p w:rsidR="00CF0100" w:rsidRDefault="0031122F">
            <w:pPr>
              <w:jc w:val="center"/>
            </w:pPr>
            <w:r>
              <w:rPr>
                <w:color w:val="000000"/>
                <w:sz w:val="24"/>
              </w:rPr>
              <w:t>-1.49%</w:t>
            </w:r>
          </w:p>
        </w:tc>
        <w:tc>
          <w:tcPr>
            <w:tcW w:w="1267" w:type="dxa"/>
            <w:vAlign w:val="center"/>
          </w:tcPr>
          <w:p w:rsidR="00CF0100" w:rsidRDefault="0031122F">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F0100">
        <w:trPr>
          <w:jc w:val="center"/>
        </w:trPr>
        <w:tc>
          <w:tcPr>
            <w:tcW w:w="1266" w:type="dxa"/>
            <w:vAlign w:val="center"/>
          </w:tcPr>
          <w:p w:rsidR="00CF0100" w:rsidRDefault="0031122F">
            <w:pPr>
              <w:jc w:val="left"/>
            </w:pPr>
            <w:r>
              <w:rPr>
                <w:color w:val="000000"/>
                <w:sz w:val="24"/>
              </w:rPr>
              <w:t>过去三个月</w:t>
            </w:r>
          </w:p>
        </w:tc>
        <w:tc>
          <w:tcPr>
            <w:tcW w:w="1267" w:type="dxa"/>
            <w:vAlign w:val="center"/>
          </w:tcPr>
          <w:p w:rsidR="00CF0100" w:rsidRDefault="0031122F">
            <w:pPr>
              <w:jc w:val="center"/>
            </w:pPr>
            <w:r>
              <w:rPr>
                <w:color w:val="000000"/>
                <w:sz w:val="24"/>
              </w:rPr>
              <w:t>0.09%</w:t>
            </w:r>
          </w:p>
        </w:tc>
        <w:tc>
          <w:tcPr>
            <w:tcW w:w="1267" w:type="dxa"/>
            <w:vAlign w:val="center"/>
          </w:tcPr>
          <w:p w:rsidR="00CF0100" w:rsidRDefault="0031122F">
            <w:pPr>
              <w:jc w:val="center"/>
            </w:pPr>
            <w:r>
              <w:rPr>
                <w:color w:val="000000"/>
                <w:sz w:val="24"/>
              </w:rPr>
              <w:t>0.21%</w:t>
            </w:r>
          </w:p>
        </w:tc>
        <w:tc>
          <w:tcPr>
            <w:tcW w:w="1267" w:type="dxa"/>
            <w:vAlign w:val="center"/>
          </w:tcPr>
          <w:p w:rsidR="00CF0100" w:rsidRDefault="0031122F">
            <w:pPr>
              <w:jc w:val="center"/>
            </w:pPr>
            <w:r>
              <w:rPr>
                <w:color w:val="000000"/>
                <w:sz w:val="24"/>
              </w:rPr>
              <w:t>1.67%</w:t>
            </w:r>
          </w:p>
        </w:tc>
        <w:tc>
          <w:tcPr>
            <w:tcW w:w="1267" w:type="dxa"/>
            <w:vAlign w:val="center"/>
          </w:tcPr>
          <w:p w:rsidR="00CF0100" w:rsidRDefault="0031122F">
            <w:pPr>
              <w:jc w:val="center"/>
            </w:pPr>
            <w:r>
              <w:rPr>
                <w:color w:val="000000"/>
                <w:sz w:val="24"/>
              </w:rPr>
              <w:t>0.17%</w:t>
            </w:r>
          </w:p>
        </w:tc>
        <w:tc>
          <w:tcPr>
            <w:tcW w:w="1267" w:type="dxa"/>
            <w:vAlign w:val="center"/>
          </w:tcPr>
          <w:p w:rsidR="00CF0100" w:rsidRDefault="0031122F">
            <w:pPr>
              <w:jc w:val="center"/>
            </w:pPr>
            <w:r>
              <w:rPr>
                <w:color w:val="000000"/>
                <w:sz w:val="24"/>
              </w:rPr>
              <w:t>-1.58%</w:t>
            </w:r>
          </w:p>
        </w:tc>
        <w:tc>
          <w:tcPr>
            <w:tcW w:w="1267" w:type="dxa"/>
            <w:vAlign w:val="center"/>
          </w:tcPr>
          <w:p w:rsidR="00CF0100" w:rsidRDefault="0031122F">
            <w:pPr>
              <w:jc w:val="center"/>
            </w:pPr>
            <w:r>
              <w:rPr>
                <w:color w:val="000000"/>
                <w:sz w:val="24"/>
              </w:rPr>
              <w:t>0.04%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912FE0">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912FE0">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A56A6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F0100">
        <w:trPr>
          <w:jc w:val="center"/>
        </w:trPr>
        <w:tc>
          <w:tcPr>
            <w:tcW w:w="946" w:type="dxa"/>
            <w:vAlign w:val="center"/>
          </w:tcPr>
          <w:p w:rsidR="00CF0100" w:rsidRDefault="0031122F">
            <w:pPr>
              <w:jc w:val="center"/>
            </w:pPr>
            <w:r>
              <w:rPr>
                <w:color w:val="000000"/>
                <w:sz w:val="24"/>
              </w:rPr>
              <w:t>林洪钧</w:t>
            </w:r>
          </w:p>
        </w:tc>
        <w:tc>
          <w:tcPr>
            <w:tcW w:w="924" w:type="dxa"/>
            <w:vAlign w:val="center"/>
          </w:tcPr>
          <w:p w:rsidR="00CF0100" w:rsidRDefault="0031122F">
            <w:pPr>
              <w:jc w:val="center"/>
            </w:pPr>
            <w:r>
              <w:rPr>
                <w:color w:val="000000"/>
                <w:sz w:val="24"/>
              </w:rPr>
              <w:t>本基金、交银货币、交银增利债券、交银信用添利债券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天债券、交银现金宝货币的基金经理，公司固定收益部助理总经理</w:t>
            </w:r>
          </w:p>
        </w:tc>
        <w:tc>
          <w:tcPr>
            <w:tcW w:w="1202" w:type="dxa"/>
            <w:vAlign w:val="center"/>
          </w:tcPr>
          <w:p w:rsidR="00CF0100" w:rsidRDefault="0031122F">
            <w:pPr>
              <w:jc w:val="center"/>
            </w:pPr>
            <w:r>
              <w:rPr>
                <w:color w:val="000000"/>
                <w:sz w:val="24"/>
              </w:rPr>
              <w:t>2014-03-31</w:t>
            </w:r>
          </w:p>
        </w:tc>
        <w:tc>
          <w:tcPr>
            <w:tcW w:w="1300" w:type="dxa"/>
            <w:vAlign w:val="center"/>
          </w:tcPr>
          <w:p w:rsidR="00CF0100" w:rsidRDefault="0031122F">
            <w:pPr>
              <w:jc w:val="center"/>
            </w:pPr>
            <w:r>
              <w:rPr>
                <w:color w:val="000000"/>
                <w:sz w:val="24"/>
              </w:rPr>
              <w:t>-</w:t>
            </w:r>
          </w:p>
        </w:tc>
        <w:tc>
          <w:tcPr>
            <w:tcW w:w="1245" w:type="dxa"/>
            <w:vAlign w:val="center"/>
          </w:tcPr>
          <w:p w:rsidR="00CF0100" w:rsidRDefault="0031122F">
            <w:pPr>
              <w:jc w:val="center"/>
            </w:pPr>
            <w:r>
              <w:rPr>
                <w:color w:val="000000"/>
                <w:sz w:val="24"/>
              </w:rPr>
              <w:t>10</w:t>
            </w:r>
            <w:r>
              <w:rPr>
                <w:color w:val="000000"/>
                <w:sz w:val="24"/>
              </w:rPr>
              <w:t>年</w:t>
            </w:r>
          </w:p>
        </w:tc>
        <w:tc>
          <w:tcPr>
            <w:tcW w:w="3251" w:type="dxa"/>
            <w:vAlign w:val="center"/>
          </w:tcPr>
          <w:p w:rsidR="00CF0100" w:rsidRDefault="0031122F">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F0100" w:rsidRDefault="0031122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F0100" w:rsidRDefault="0031122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F0100" w:rsidRDefault="0031122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CF0100" w:rsidRDefault="0031122F">
      <w:pPr>
        <w:spacing w:before="29" w:line="288" w:lineRule="auto"/>
        <w:ind w:firstLineChars="200" w:firstLine="480"/>
        <w:rPr>
          <w:color w:val="000000"/>
          <w:sz w:val="24"/>
        </w:rPr>
      </w:pPr>
      <w:r>
        <w:rPr>
          <w:color w:val="000000"/>
          <w:sz w:val="24"/>
        </w:rPr>
        <w:t>本报告期内，经济增长动能仍较为疲弱，但在年底，信贷似乎出现了一丝宽松的迹象。</w:t>
      </w:r>
      <w:r>
        <w:rPr>
          <w:color w:val="000000"/>
          <w:sz w:val="24"/>
        </w:rPr>
        <w:t>10</w:t>
      </w:r>
      <w:r>
        <w:rPr>
          <w:color w:val="000000"/>
          <w:sz w:val="24"/>
        </w:rPr>
        <w:t>月新增信贷</w:t>
      </w:r>
      <w:r>
        <w:rPr>
          <w:color w:val="000000"/>
          <w:sz w:val="24"/>
        </w:rPr>
        <w:t>5483</w:t>
      </w:r>
      <w:r>
        <w:rPr>
          <w:color w:val="000000"/>
          <w:sz w:val="24"/>
        </w:rPr>
        <w:t>亿，社会融资规模</w:t>
      </w:r>
      <w:r>
        <w:rPr>
          <w:color w:val="000000"/>
          <w:sz w:val="24"/>
        </w:rPr>
        <w:t>6807</w:t>
      </w:r>
      <w:r>
        <w:rPr>
          <w:color w:val="000000"/>
          <w:sz w:val="24"/>
        </w:rPr>
        <w:t>亿；</w:t>
      </w:r>
      <w:r>
        <w:rPr>
          <w:color w:val="000000"/>
          <w:sz w:val="24"/>
        </w:rPr>
        <w:t>11</w:t>
      </w:r>
      <w:r>
        <w:rPr>
          <w:color w:val="000000"/>
          <w:sz w:val="24"/>
        </w:rPr>
        <w:t>月新增信贷</w:t>
      </w:r>
      <w:r>
        <w:rPr>
          <w:color w:val="000000"/>
          <w:sz w:val="24"/>
        </w:rPr>
        <w:t>8527</w:t>
      </w:r>
      <w:r>
        <w:rPr>
          <w:color w:val="000000"/>
          <w:sz w:val="24"/>
        </w:rPr>
        <w:t>亿，社会融资规模</w:t>
      </w:r>
      <w:r>
        <w:rPr>
          <w:color w:val="000000"/>
          <w:sz w:val="24"/>
        </w:rPr>
        <w:t>11463</w:t>
      </w:r>
      <w:r>
        <w:rPr>
          <w:color w:val="000000"/>
          <w:sz w:val="24"/>
        </w:rPr>
        <w:t>亿；工业增长依旧疲弱，</w:t>
      </w:r>
      <w:r>
        <w:rPr>
          <w:color w:val="000000"/>
          <w:sz w:val="24"/>
        </w:rPr>
        <w:t>10</w:t>
      </w:r>
      <w:r>
        <w:rPr>
          <w:color w:val="000000"/>
          <w:sz w:val="24"/>
        </w:rPr>
        <w:t>月工业增加值下滑至</w:t>
      </w:r>
      <w:r>
        <w:rPr>
          <w:color w:val="000000"/>
          <w:sz w:val="24"/>
        </w:rPr>
        <w:t>7.7%</w:t>
      </w:r>
      <w:r>
        <w:rPr>
          <w:color w:val="000000"/>
          <w:sz w:val="24"/>
        </w:rPr>
        <w:t>，</w:t>
      </w:r>
      <w:r>
        <w:rPr>
          <w:color w:val="000000"/>
          <w:sz w:val="24"/>
        </w:rPr>
        <w:t>11</w:t>
      </w:r>
      <w:r>
        <w:rPr>
          <w:color w:val="000000"/>
          <w:sz w:val="24"/>
        </w:rPr>
        <w:t>月继续下降至</w:t>
      </w:r>
      <w:r>
        <w:rPr>
          <w:color w:val="000000"/>
          <w:sz w:val="24"/>
        </w:rPr>
        <w:t>7.2%</w:t>
      </w:r>
      <w:r>
        <w:rPr>
          <w:color w:val="000000"/>
          <w:sz w:val="24"/>
        </w:rPr>
        <w:t>；同时</w:t>
      </w:r>
      <w:r>
        <w:rPr>
          <w:color w:val="000000"/>
          <w:sz w:val="24"/>
        </w:rPr>
        <w:t>PMI</w:t>
      </w:r>
      <w:r>
        <w:rPr>
          <w:color w:val="000000"/>
          <w:sz w:val="24"/>
        </w:rPr>
        <w:t>在四季度内连续三个月下滑，</w:t>
      </w:r>
      <w:r>
        <w:rPr>
          <w:color w:val="000000"/>
          <w:sz w:val="24"/>
        </w:rPr>
        <w:t>12</w:t>
      </w:r>
      <w:r>
        <w:rPr>
          <w:color w:val="000000"/>
          <w:sz w:val="24"/>
        </w:rPr>
        <w:t>月</w:t>
      </w:r>
      <w:r>
        <w:rPr>
          <w:color w:val="000000"/>
          <w:sz w:val="24"/>
        </w:rPr>
        <w:t>PMI50.1</w:t>
      </w:r>
      <w:r>
        <w:rPr>
          <w:color w:val="000000"/>
          <w:sz w:val="24"/>
        </w:rPr>
        <w:t>。货币政策层面，本报告期内受通缩压力影响，</w:t>
      </w:r>
      <w:r>
        <w:rPr>
          <w:color w:val="000000"/>
          <w:sz w:val="24"/>
        </w:rPr>
        <w:t>11</w:t>
      </w:r>
      <w:r>
        <w:rPr>
          <w:color w:val="000000"/>
          <w:sz w:val="24"/>
        </w:rPr>
        <w:t>月</w:t>
      </w:r>
      <w:r>
        <w:rPr>
          <w:color w:val="000000"/>
          <w:sz w:val="24"/>
        </w:rPr>
        <w:t>22</w:t>
      </w:r>
      <w:r>
        <w:rPr>
          <w:color w:val="000000"/>
          <w:sz w:val="24"/>
        </w:rPr>
        <w:t>日央行不对称降息；然而，在</w:t>
      </w:r>
      <w:r>
        <w:rPr>
          <w:color w:val="000000"/>
          <w:sz w:val="24"/>
        </w:rPr>
        <w:t>12</w:t>
      </w:r>
      <w:r>
        <w:rPr>
          <w:color w:val="000000"/>
          <w:sz w:val="24"/>
        </w:rPr>
        <w:t>月市场资金面较为紧张情况下，市场期待已久的降准并未出现，由此可见，央行仍维持较为稳健的货币政策。</w:t>
      </w:r>
    </w:p>
    <w:p w:rsidR="00CF0100" w:rsidRDefault="0031122F">
      <w:pPr>
        <w:spacing w:before="29" w:line="288" w:lineRule="auto"/>
        <w:ind w:firstLineChars="200" w:firstLine="480"/>
        <w:rPr>
          <w:color w:val="000000"/>
          <w:sz w:val="24"/>
        </w:rPr>
      </w:pPr>
      <w:r>
        <w:rPr>
          <w:color w:val="000000"/>
          <w:sz w:val="24"/>
        </w:rPr>
        <w:t>本报告期内，债券市场受资金面的扰动较为明显。在上半季度，债券市场收益率一路下行，</w:t>
      </w:r>
      <w:r>
        <w:rPr>
          <w:color w:val="000000"/>
          <w:sz w:val="24"/>
        </w:rPr>
        <w:t>11</w:t>
      </w:r>
      <w:r>
        <w:rPr>
          <w:color w:val="000000"/>
          <w:sz w:val="24"/>
        </w:rPr>
        <w:t>月</w:t>
      </w:r>
      <w:r>
        <w:rPr>
          <w:color w:val="000000"/>
          <w:sz w:val="24"/>
        </w:rPr>
        <w:t>22</w:t>
      </w:r>
      <w:r>
        <w:rPr>
          <w:color w:val="000000"/>
          <w:sz w:val="24"/>
        </w:rPr>
        <w:t>日降息使得</w:t>
      </w:r>
      <w:r>
        <w:rPr>
          <w:color w:val="000000"/>
          <w:sz w:val="24"/>
        </w:rPr>
        <w:t>10</w:t>
      </w:r>
      <w:r>
        <w:rPr>
          <w:color w:val="000000"/>
          <w:sz w:val="24"/>
        </w:rPr>
        <w:t>年国开债重回此前低点</w:t>
      </w:r>
      <w:r>
        <w:rPr>
          <w:color w:val="000000"/>
          <w:sz w:val="24"/>
        </w:rPr>
        <w:t>3.87%</w:t>
      </w:r>
      <w:r>
        <w:rPr>
          <w:color w:val="000000"/>
          <w:sz w:val="24"/>
        </w:rPr>
        <w:t>水平；然而此后，</w:t>
      </w:r>
      <w:r>
        <w:rPr>
          <w:color w:val="000000"/>
          <w:sz w:val="24"/>
        </w:rPr>
        <w:t>12</w:t>
      </w:r>
      <w:r>
        <w:rPr>
          <w:color w:val="000000"/>
          <w:sz w:val="24"/>
        </w:rPr>
        <w:t>月</w:t>
      </w:r>
      <w:r>
        <w:rPr>
          <w:color w:val="000000"/>
          <w:sz w:val="24"/>
        </w:rPr>
        <w:t>9</w:t>
      </w:r>
      <w:r>
        <w:rPr>
          <w:color w:val="000000"/>
          <w:sz w:val="24"/>
        </w:rPr>
        <w:t>日中证登对质押券调整的公告使得债券市场受到重挫，此后</w:t>
      </w:r>
      <w:r>
        <w:rPr>
          <w:color w:val="000000"/>
          <w:sz w:val="24"/>
        </w:rPr>
        <w:t>12</w:t>
      </w:r>
      <w:r>
        <w:rPr>
          <w:color w:val="000000"/>
          <w:sz w:val="24"/>
        </w:rPr>
        <w:t>月受</w:t>
      </w:r>
      <w:r>
        <w:rPr>
          <w:color w:val="000000"/>
          <w:sz w:val="24"/>
        </w:rPr>
        <w:t>IPO</w:t>
      </w:r>
      <w:r>
        <w:rPr>
          <w:color w:val="000000"/>
          <w:sz w:val="24"/>
        </w:rPr>
        <w:t>及年底因素影响，市场流动性一度极为紧张，债券收益率一路上行；另一方面，受权益市场的火爆也对债券收益率产生了一定的推升，同时延续三季度末市场对未来可能出现的宽信用的担忧，债券收益率的上行也反映了机构投资者对此的担忧。收益率曲线呈现极度平坦化的走势，甚至在年底出现了倒挂。本报告期内，中债总财富指数上涨</w:t>
      </w:r>
      <w:r>
        <w:rPr>
          <w:color w:val="000000"/>
          <w:sz w:val="24"/>
        </w:rPr>
        <w:t>3.22%</w:t>
      </w:r>
      <w:r>
        <w:rPr>
          <w:color w:val="000000"/>
          <w:sz w:val="24"/>
        </w:rPr>
        <w:t>，绝大部分收益发生在</w:t>
      </w:r>
      <w:r>
        <w:rPr>
          <w:color w:val="000000"/>
          <w:sz w:val="24"/>
        </w:rPr>
        <w:t>10</w:t>
      </w:r>
      <w:r>
        <w:rPr>
          <w:color w:val="000000"/>
          <w:sz w:val="24"/>
        </w:rPr>
        <w:t>月份及</w:t>
      </w:r>
      <w:r>
        <w:rPr>
          <w:color w:val="000000"/>
          <w:sz w:val="24"/>
        </w:rPr>
        <w:t>11</w:t>
      </w:r>
      <w:r>
        <w:rPr>
          <w:color w:val="000000"/>
          <w:sz w:val="24"/>
        </w:rPr>
        <w:t>月上半月。</w:t>
      </w:r>
    </w:p>
    <w:p w:rsidR="00CF0100" w:rsidRDefault="0031122F">
      <w:pPr>
        <w:spacing w:before="29" w:line="288" w:lineRule="auto"/>
        <w:ind w:firstLineChars="200" w:firstLine="480"/>
        <w:rPr>
          <w:color w:val="000000"/>
          <w:sz w:val="24"/>
        </w:rPr>
      </w:pPr>
      <w:r>
        <w:rPr>
          <w:color w:val="000000"/>
          <w:sz w:val="24"/>
        </w:rPr>
        <w:t>本基金在本报告期内债券仓位逐渐降低，基金净值回撤较大。</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2015</w:t>
      </w:r>
      <w:r w:rsidRPr="007F52FA">
        <w:rPr>
          <w:color w:val="000000"/>
          <w:sz w:val="24"/>
        </w:rPr>
        <w:t>年一季度，房地产在</w:t>
      </w:r>
      <w:r w:rsidRPr="007F52FA">
        <w:rPr>
          <w:color w:val="000000"/>
          <w:sz w:val="24"/>
        </w:rPr>
        <w:t>2014</w:t>
      </w:r>
      <w:r w:rsidRPr="007F52FA">
        <w:rPr>
          <w:color w:val="000000"/>
          <w:sz w:val="24"/>
        </w:rPr>
        <w:t>年四季度的数据让投资者对地产在</w:t>
      </w:r>
      <w:r w:rsidRPr="007F52FA">
        <w:rPr>
          <w:color w:val="000000"/>
          <w:sz w:val="24"/>
        </w:rPr>
        <w:t>2015</w:t>
      </w:r>
      <w:r w:rsidRPr="007F52FA">
        <w:rPr>
          <w:color w:val="000000"/>
          <w:sz w:val="24"/>
        </w:rPr>
        <w:t>年的表现充满了期待，年初宽信用的担忧仍在较大程度影响着债券市场。另一方面，债券市场资金面情况应比</w:t>
      </w:r>
      <w:r w:rsidRPr="007F52FA">
        <w:rPr>
          <w:color w:val="000000"/>
          <w:sz w:val="24"/>
        </w:rPr>
        <w:t>12</w:t>
      </w:r>
      <w:r w:rsidRPr="007F52FA">
        <w:rPr>
          <w:color w:val="000000"/>
          <w:sz w:val="24"/>
        </w:rPr>
        <w:t>月宽松，但受连续</w:t>
      </w:r>
      <w:r w:rsidRPr="007F52FA">
        <w:rPr>
          <w:color w:val="000000"/>
          <w:sz w:val="24"/>
        </w:rPr>
        <w:t>IPO</w:t>
      </w:r>
      <w:r w:rsidRPr="007F52FA">
        <w:rPr>
          <w:color w:val="000000"/>
          <w:sz w:val="24"/>
        </w:rPr>
        <w:t>影响，流动性情况可能仍无法非常乐观；同时，央行货币政策的态度仍较为稳健，仅仅期待降准等货币政策对债券市场的刺激可能未必现实，债券收益率重现四季度初大幅下行的可能性也较小。在经济仍较为疲弱，同时油价暴跌、通胀较低背景下，</w:t>
      </w:r>
      <w:r w:rsidRPr="007F52FA">
        <w:rPr>
          <w:color w:val="000000"/>
          <w:sz w:val="24"/>
        </w:rPr>
        <w:t>2015</w:t>
      </w:r>
      <w:r w:rsidRPr="007F52FA">
        <w:rPr>
          <w:color w:val="000000"/>
          <w:sz w:val="24"/>
        </w:rPr>
        <w:t>年一季度债券收益率仍可能小幅向下，而</w:t>
      </w:r>
      <w:r w:rsidRPr="007F52FA">
        <w:rPr>
          <w:color w:val="000000"/>
          <w:sz w:val="24"/>
        </w:rPr>
        <w:t>3</w:t>
      </w:r>
      <w:r w:rsidRPr="007F52FA">
        <w:rPr>
          <w:color w:val="000000"/>
          <w:sz w:val="24"/>
        </w:rPr>
        <w:t>年左右中短期的品种由于收益曲线的修复可能会有更好表现。总体说来，本基金对一季度债券市场的中短端较为乐观。组合管理方面，保持较短的久期，期待获取曲线结构修复的超额收益。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1.064</w:t>
      </w:r>
      <w:r w:rsidRPr="007F52FA">
        <w:rPr>
          <w:color w:val="000000"/>
          <w:sz w:val="24"/>
        </w:rPr>
        <w:t>元，本报告期份额净值增长率为</w:t>
      </w:r>
      <w:r w:rsidRPr="007F52FA">
        <w:rPr>
          <w:color w:val="000000"/>
          <w:sz w:val="24"/>
        </w:rPr>
        <w:t>0.18%</w:t>
      </w:r>
      <w:r w:rsidRPr="007F52FA">
        <w:rPr>
          <w:color w:val="000000"/>
          <w:sz w:val="24"/>
        </w:rPr>
        <w:t>，同期业绩比较基准增长率为</w:t>
      </w:r>
      <w:r w:rsidRPr="007F52FA">
        <w:rPr>
          <w:color w:val="000000"/>
          <w:sz w:val="24"/>
        </w:rPr>
        <w:t>1.67%</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1.052</w:t>
      </w:r>
      <w:r w:rsidRPr="007F52FA">
        <w:rPr>
          <w:color w:val="000000"/>
          <w:sz w:val="24"/>
        </w:rPr>
        <w:t>元，本报告期份额净值增长率为</w:t>
      </w:r>
      <w:r w:rsidRPr="007F52FA">
        <w:rPr>
          <w:color w:val="000000"/>
          <w:sz w:val="24"/>
        </w:rPr>
        <w:t>0.09%</w:t>
      </w:r>
      <w:r w:rsidRPr="007F52FA">
        <w:rPr>
          <w:color w:val="000000"/>
          <w:sz w:val="24"/>
        </w:rPr>
        <w:t>，同期业绩比较基准增长率为</w:t>
      </w:r>
      <w:r w:rsidRPr="007F52FA">
        <w:rPr>
          <w:color w:val="000000"/>
          <w:sz w:val="24"/>
        </w:rPr>
        <w:t>1.67%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A56A6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331,830,649.50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331,830,649.50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15,189,404.44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8,070,467.77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355,090,521.71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242,124,649.50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140.83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59,706,000.00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34.73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331,830,649.50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193.00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F0100">
        <w:trPr>
          <w:jc w:val="center"/>
        </w:trPr>
        <w:tc>
          <w:tcPr>
            <w:tcW w:w="1075" w:type="dxa"/>
            <w:vAlign w:val="center"/>
          </w:tcPr>
          <w:p w:rsidR="00CF0100" w:rsidRDefault="0031122F">
            <w:pPr>
              <w:jc w:val="center"/>
            </w:pPr>
            <w:r>
              <w:rPr>
                <w:color w:val="000000"/>
                <w:sz w:val="24"/>
              </w:rPr>
              <w:t>1</w:t>
            </w:r>
          </w:p>
        </w:tc>
        <w:tc>
          <w:tcPr>
            <w:tcW w:w="1533" w:type="dxa"/>
            <w:vAlign w:val="center"/>
          </w:tcPr>
          <w:p w:rsidR="00CF0100" w:rsidRDefault="0031122F">
            <w:pPr>
              <w:jc w:val="center"/>
            </w:pPr>
            <w:r>
              <w:rPr>
                <w:color w:val="000000"/>
                <w:sz w:val="24"/>
              </w:rPr>
              <w:t>140213</w:t>
            </w:r>
          </w:p>
        </w:tc>
        <w:tc>
          <w:tcPr>
            <w:tcW w:w="1533" w:type="dxa"/>
            <w:vAlign w:val="center"/>
          </w:tcPr>
          <w:p w:rsidR="00CF0100" w:rsidRDefault="0031122F">
            <w:pPr>
              <w:jc w:val="center"/>
            </w:pPr>
            <w:r>
              <w:rPr>
                <w:color w:val="000000"/>
                <w:sz w:val="24"/>
              </w:rPr>
              <w:t>14</w:t>
            </w:r>
            <w:r>
              <w:rPr>
                <w:color w:val="000000"/>
                <w:sz w:val="24"/>
              </w:rPr>
              <w:t>国开</w:t>
            </w:r>
            <w:r>
              <w:rPr>
                <w:color w:val="000000"/>
                <w:sz w:val="24"/>
              </w:rPr>
              <w:t>13</w:t>
            </w:r>
          </w:p>
        </w:tc>
        <w:tc>
          <w:tcPr>
            <w:tcW w:w="1394" w:type="dxa"/>
            <w:vAlign w:val="center"/>
          </w:tcPr>
          <w:p w:rsidR="00CF0100" w:rsidRDefault="0031122F">
            <w:pPr>
              <w:jc w:val="right"/>
            </w:pPr>
            <w:r>
              <w:rPr>
                <w:color w:val="000000"/>
                <w:sz w:val="24"/>
              </w:rPr>
              <w:t>300,000</w:t>
            </w:r>
          </w:p>
        </w:tc>
        <w:tc>
          <w:tcPr>
            <w:tcW w:w="1944" w:type="dxa"/>
            <w:vAlign w:val="center"/>
          </w:tcPr>
          <w:p w:rsidR="00CF0100" w:rsidRDefault="0031122F">
            <w:pPr>
              <w:jc w:val="right"/>
            </w:pPr>
            <w:r>
              <w:rPr>
                <w:color w:val="000000"/>
                <w:sz w:val="24"/>
              </w:rPr>
              <w:t>30,000,000.00</w:t>
            </w:r>
          </w:p>
        </w:tc>
        <w:tc>
          <w:tcPr>
            <w:tcW w:w="1389" w:type="dxa"/>
            <w:vAlign w:val="center"/>
          </w:tcPr>
          <w:p w:rsidR="00CF0100" w:rsidRDefault="0031122F">
            <w:pPr>
              <w:jc w:val="right"/>
            </w:pPr>
            <w:r>
              <w:rPr>
                <w:color w:val="000000"/>
                <w:sz w:val="24"/>
              </w:rPr>
              <w:t>17.45</w:t>
            </w:r>
          </w:p>
        </w:tc>
      </w:tr>
      <w:tr w:rsidR="00CF0100">
        <w:trPr>
          <w:jc w:val="center"/>
        </w:trPr>
        <w:tc>
          <w:tcPr>
            <w:tcW w:w="1075" w:type="dxa"/>
            <w:vAlign w:val="center"/>
          </w:tcPr>
          <w:p w:rsidR="00CF0100" w:rsidRDefault="0031122F">
            <w:pPr>
              <w:jc w:val="center"/>
            </w:pPr>
            <w:r>
              <w:rPr>
                <w:color w:val="000000"/>
                <w:sz w:val="24"/>
              </w:rPr>
              <w:t>2</w:t>
            </w:r>
          </w:p>
        </w:tc>
        <w:tc>
          <w:tcPr>
            <w:tcW w:w="1533" w:type="dxa"/>
            <w:vAlign w:val="center"/>
          </w:tcPr>
          <w:p w:rsidR="00CF0100" w:rsidRDefault="0031122F">
            <w:pPr>
              <w:jc w:val="center"/>
            </w:pPr>
            <w:r>
              <w:rPr>
                <w:color w:val="000000"/>
                <w:sz w:val="24"/>
              </w:rPr>
              <w:t>124845</w:t>
            </w:r>
          </w:p>
        </w:tc>
        <w:tc>
          <w:tcPr>
            <w:tcW w:w="1533" w:type="dxa"/>
            <w:vAlign w:val="center"/>
          </w:tcPr>
          <w:p w:rsidR="00CF0100" w:rsidRDefault="0031122F">
            <w:pPr>
              <w:jc w:val="center"/>
            </w:pPr>
            <w:r>
              <w:rPr>
                <w:color w:val="000000"/>
                <w:sz w:val="24"/>
              </w:rPr>
              <w:t>14</w:t>
            </w:r>
            <w:r>
              <w:rPr>
                <w:color w:val="000000"/>
                <w:sz w:val="24"/>
              </w:rPr>
              <w:t>晋开发</w:t>
            </w:r>
          </w:p>
        </w:tc>
        <w:tc>
          <w:tcPr>
            <w:tcW w:w="1394" w:type="dxa"/>
            <w:vAlign w:val="center"/>
          </w:tcPr>
          <w:p w:rsidR="00CF0100" w:rsidRDefault="0031122F">
            <w:pPr>
              <w:jc w:val="right"/>
            </w:pPr>
            <w:r>
              <w:rPr>
                <w:color w:val="000000"/>
                <w:sz w:val="24"/>
              </w:rPr>
              <w:t>200,000</w:t>
            </w:r>
          </w:p>
        </w:tc>
        <w:tc>
          <w:tcPr>
            <w:tcW w:w="1944" w:type="dxa"/>
            <w:vAlign w:val="center"/>
          </w:tcPr>
          <w:p w:rsidR="00CF0100" w:rsidRDefault="0031122F">
            <w:pPr>
              <w:jc w:val="right"/>
            </w:pPr>
            <w:r>
              <w:rPr>
                <w:color w:val="000000"/>
                <w:sz w:val="24"/>
              </w:rPr>
              <w:t>21,300,000.00</w:t>
            </w:r>
          </w:p>
        </w:tc>
        <w:tc>
          <w:tcPr>
            <w:tcW w:w="1389" w:type="dxa"/>
            <w:vAlign w:val="center"/>
          </w:tcPr>
          <w:p w:rsidR="00CF0100" w:rsidRDefault="0031122F">
            <w:pPr>
              <w:jc w:val="right"/>
            </w:pPr>
            <w:r>
              <w:rPr>
                <w:color w:val="000000"/>
                <w:sz w:val="24"/>
              </w:rPr>
              <w:t>12.39</w:t>
            </w:r>
          </w:p>
        </w:tc>
      </w:tr>
      <w:tr w:rsidR="00CF0100">
        <w:trPr>
          <w:jc w:val="center"/>
        </w:trPr>
        <w:tc>
          <w:tcPr>
            <w:tcW w:w="1075" w:type="dxa"/>
            <w:vAlign w:val="center"/>
          </w:tcPr>
          <w:p w:rsidR="00CF0100" w:rsidRDefault="0031122F">
            <w:pPr>
              <w:jc w:val="center"/>
            </w:pPr>
            <w:r>
              <w:rPr>
                <w:color w:val="000000"/>
                <w:sz w:val="24"/>
              </w:rPr>
              <w:t>3</w:t>
            </w:r>
          </w:p>
        </w:tc>
        <w:tc>
          <w:tcPr>
            <w:tcW w:w="1533" w:type="dxa"/>
            <w:vAlign w:val="center"/>
          </w:tcPr>
          <w:p w:rsidR="00CF0100" w:rsidRDefault="0031122F">
            <w:pPr>
              <w:jc w:val="center"/>
            </w:pPr>
            <w:r>
              <w:rPr>
                <w:color w:val="000000"/>
                <w:sz w:val="24"/>
              </w:rPr>
              <w:t>124711</w:t>
            </w:r>
          </w:p>
        </w:tc>
        <w:tc>
          <w:tcPr>
            <w:tcW w:w="1533" w:type="dxa"/>
            <w:vAlign w:val="center"/>
          </w:tcPr>
          <w:p w:rsidR="00CF0100" w:rsidRDefault="0031122F">
            <w:pPr>
              <w:jc w:val="center"/>
            </w:pPr>
            <w:r>
              <w:rPr>
                <w:color w:val="000000"/>
                <w:sz w:val="24"/>
              </w:rPr>
              <w:t>14</w:t>
            </w:r>
            <w:r>
              <w:rPr>
                <w:color w:val="000000"/>
                <w:sz w:val="24"/>
              </w:rPr>
              <w:t>象山债</w:t>
            </w:r>
          </w:p>
        </w:tc>
        <w:tc>
          <w:tcPr>
            <w:tcW w:w="1394" w:type="dxa"/>
            <w:vAlign w:val="center"/>
          </w:tcPr>
          <w:p w:rsidR="00CF0100" w:rsidRDefault="0031122F">
            <w:pPr>
              <w:jc w:val="right"/>
            </w:pPr>
            <w:r>
              <w:rPr>
                <w:color w:val="000000"/>
                <w:sz w:val="24"/>
              </w:rPr>
              <w:t>200,000</w:t>
            </w:r>
          </w:p>
        </w:tc>
        <w:tc>
          <w:tcPr>
            <w:tcW w:w="1944" w:type="dxa"/>
            <w:vAlign w:val="center"/>
          </w:tcPr>
          <w:p w:rsidR="00CF0100" w:rsidRDefault="0031122F">
            <w:pPr>
              <w:jc w:val="right"/>
            </w:pPr>
            <w:r>
              <w:rPr>
                <w:color w:val="000000"/>
                <w:sz w:val="24"/>
              </w:rPr>
              <w:t>21,140,000.00</w:t>
            </w:r>
          </w:p>
        </w:tc>
        <w:tc>
          <w:tcPr>
            <w:tcW w:w="1389" w:type="dxa"/>
            <w:vAlign w:val="center"/>
          </w:tcPr>
          <w:p w:rsidR="00CF0100" w:rsidRDefault="0031122F">
            <w:pPr>
              <w:jc w:val="right"/>
            </w:pPr>
            <w:r>
              <w:rPr>
                <w:color w:val="000000"/>
                <w:sz w:val="24"/>
              </w:rPr>
              <w:t>12.30</w:t>
            </w:r>
          </w:p>
        </w:tc>
      </w:tr>
      <w:tr w:rsidR="00CF0100">
        <w:trPr>
          <w:jc w:val="center"/>
        </w:trPr>
        <w:tc>
          <w:tcPr>
            <w:tcW w:w="1075" w:type="dxa"/>
            <w:vAlign w:val="center"/>
          </w:tcPr>
          <w:p w:rsidR="00CF0100" w:rsidRDefault="0031122F">
            <w:pPr>
              <w:jc w:val="center"/>
            </w:pPr>
            <w:r>
              <w:rPr>
                <w:color w:val="000000"/>
                <w:sz w:val="24"/>
              </w:rPr>
              <w:t>4</w:t>
            </w:r>
          </w:p>
        </w:tc>
        <w:tc>
          <w:tcPr>
            <w:tcW w:w="1533" w:type="dxa"/>
            <w:vAlign w:val="center"/>
          </w:tcPr>
          <w:p w:rsidR="00CF0100" w:rsidRDefault="0031122F">
            <w:pPr>
              <w:jc w:val="center"/>
            </w:pPr>
            <w:r>
              <w:rPr>
                <w:color w:val="000000"/>
                <w:sz w:val="24"/>
              </w:rPr>
              <w:t>122527</w:t>
            </w:r>
          </w:p>
        </w:tc>
        <w:tc>
          <w:tcPr>
            <w:tcW w:w="1533" w:type="dxa"/>
            <w:vAlign w:val="center"/>
          </w:tcPr>
          <w:p w:rsidR="00CF0100" w:rsidRDefault="0031122F">
            <w:pPr>
              <w:jc w:val="center"/>
            </w:pPr>
            <w:r>
              <w:rPr>
                <w:color w:val="000000"/>
                <w:sz w:val="24"/>
              </w:rPr>
              <w:t>12</w:t>
            </w:r>
            <w:r>
              <w:rPr>
                <w:color w:val="000000"/>
                <w:sz w:val="24"/>
              </w:rPr>
              <w:t>温国投</w:t>
            </w:r>
          </w:p>
        </w:tc>
        <w:tc>
          <w:tcPr>
            <w:tcW w:w="1394" w:type="dxa"/>
            <w:vAlign w:val="center"/>
          </w:tcPr>
          <w:p w:rsidR="00CF0100" w:rsidRDefault="0031122F">
            <w:pPr>
              <w:jc w:val="right"/>
            </w:pPr>
            <w:r>
              <w:rPr>
                <w:color w:val="000000"/>
                <w:sz w:val="24"/>
              </w:rPr>
              <w:t>200,000</w:t>
            </w:r>
          </w:p>
        </w:tc>
        <w:tc>
          <w:tcPr>
            <w:tcW w:w="1944" w:type="dxa"/>
            <w:vAlign w:val="center"/>
          </w:tcPr>
          <w:p w:rsidR="00CF0100" w:rsidRDefault="0031122F">
            <w:pPr>
              <w:jc w:val="right"/>
            </w:pPr>
            <w:r>
              <w:rPr>
                <w:color w:val="000000"/>
                <w:sz w:val="24"/>
              </w:rPr>
              <w:t>20,964,000.00</w:t>
            </w:r>
          </w:p>
        </w:tc>
        <w:tc>
          <w:tcPr>
            <w:tcW w:w="1389" w:type="dxa"/>
            <w:vAlign w:val="center"/>
          </w:tcPr>
          <w:p w:rsidR="00CF0100" w:rsidRDefault="0031122F">
            <w:pPr>
              <w:jc w:val="right"/>
            </w:pPr>
            <w:r>
              <w:rPr>
                <w:color w:val="000000"/>
                <w:sz w:val="24"/>
              </w:rPr>
              <w:t>12.19</w:t>
            </w:r>
          </w:p>
        </w:tc>
      </w:tr>
      <w:tr w:rsidR="00CF0100">
        <w:trPr>
          <w:jc w:val="center"/>
        </w:trPr>
        <w:tc>
          <w:tcPr>
            <w:tcW w:w="1075" w:type="dxa"/>
            <w:vAlign w:val="center"/>
          </w:tcPr>
          <w:p w:rsidR="00CF0100" w:rsidRDefault="0031122F">
            <w:pPr>
              <w:jc w:val="center"/>
            </w:pPr>
            <w:r>
              <w:rPr>
                <w:color w:val="000000"/>
                <w:sz w:val="24"/>
              </w:rPr>
              <w:t>5</w:t>
            </w:r>
          </w:p>
        </w:tc>
        <w:tc>
          <w:tcPr>
            <w:tcW w:w="1533" w:type="dxa"/>
            <w:vAlign w:val="center"/>
          </w:tcPr>
          <w:p w:rsidR="00CF0100" w:rsidRDefault="0031122F">
            <w:pPr>
              <w:jc w:val="center"/>
            </w:pPr>
            <w:r>
              <w:rPr>
                <w:color w:val="000000"/>
                <w:sz w:val="24"/>
              </w:rPr>
              <w:t>124508</w:t>
            </w:r>
          </w:p>
        </w:tc>
        <w:tc>
          <w:tcPr>
            <w:tcW w:w="1533" w:type="dxa"/>
            <w:vAlign w:val="center"/>
          </w:tcPr>
          <w:p w:rsidR="00CF0100" w:rsidRDefault="0031122F">
            <w:pPr>
              <w:jc w:val="center"/>
            </w:pPr>
            <w:r>
              <w:rPr>
                <w:color w:val="000000"/>
                <w:sz w:val="24"/>
              </w:rPr>
              <w:t>14</w:t>
            </w:r>
            <w:r>
              <w:rPr>
                <w:color w:val="000000"/>
                <w:sz w:val="24"/>
              </w:rPr>
              <w:t>滕州</w:t>
            </w:r>
            <w:r>
              <w:rPr>
                <w:color w:val="000000"/>
                <w:sz w:val="24"/>
              </w:rPr>
              <w:t>02</w:t>
            </w:r>
          </w:p>
        </w:tc>
        <w:tc>
          <w:tcPr>
            <w:tcW w:w="1394" w:type="dxa"/>
            <w:vAlign w:val="center"/>
          </w:tcPr>
          <w:p w:rsidR="00CF0100" w:rsidRDefault="0031122F">
            <w:pPr>
              <w:jc w:val="right"/>
            </w:pPr>
            <w:r>
              <w:rPr>
                <w:color w:val="000000"/>
                <w:sz w:val="24"/>
              </w:rPr>
              <w:t>200,000</w:t>
            </w:r>
          </w:p>
        </w:tc>
        <w:tc>
          <w:tcPr>
            <w:tcW w:w="1944" w:type="dxa"/>
            <w:vAlign w:val="center"/>
          </w:tcPr>
          <w:p w:rsidR="00CF0100" w:rsidRDefault="0031122F">
            <w:pPr>
              <w:jc w:val="right"/>
            </w:pPr>
            <w:r>
              <w:rPr>
                <w:color w:val="000000"/>
                <w:sz w:val="24"/>
              </w:rPr>
              <w:t>20,400,000.00</w:t>
            </w:r>
          </w:p>
        </w:tc>
        <w:tc>
          <w:tcPr>
            <w:tcW w:w="1389" w:type="dxa"/>
            <w:vAlign w:val="center"/>
          </w:tcPr>
          <w:p w:rsidR="00CF0100" w:rsidRDefault="0031122F">
            <w:pPr>
              <w:jc w:val="right"/>
            </w:pPr>
            <w:r>
              <w:rPr>
                <w:color w:val="000000"/>
                <w:sz w:val="24"/>
              </w:rPr>
              <w:t>11.87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0031122F">
        <w:rPr>
          <w:rFonts w:hint="eastAsia"/>
          <w:b/>
          <w:color w:val="000000"/>
          <w:kern w:val="0"/>
          <w:sz w:val="24"/>
        </w:rPr>
        <w:t xml:space="preserve"> </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31122F">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31,879.42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7,892,055.00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146,533.35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8,070,467.77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A56A6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157,272,248.17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155,311,707.79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116,490,528.50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183,620,347.20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144,037,653.58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306,638,976.34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129,725,123.09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32,293,078.65</w:t>
            </w:r>
          </w:p>
        </w:tc>
      </w:tr>
    </w:tbl>
    <w:p w:rsidR="00CF0100" w:rsidRDefault="0031122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A56A6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31" w:type="dxa"/>
        <w:tblInd w:w="108" w:type="dxa"/>
        <w:tblLayout w:type="fixed"/>
        <w:tblLook w:val="0000" w:firstRow="0" w:lastRow="0" w:firstColumn="0" w:lastColumn="0" w:noHBand="0" w:noVBand="0"/>
      </w:tblPr>
      <w:tblGrid>
        <w:gridCol w:w="5954"/>
        <w:gridCol w:w="2977"/>
      </w:tblGrid>
      <w:tr w:rsidR="003E1483" w:rsidRPr="00AE55CC" w:rsidTr="003E1483">
        <w:tc>
          <w:tcPr>
            <w:tcW w:w="5954"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977"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jc w:val="right"/>
              <w:rPr>
                <w:sz w:val="24"/>
              </w:rPr>
            </w:pPr>
            <w:r w:rsidRPr="00AE55CC">
              <w:rPr>
                <w:color w:val="000000"/>
                <w:sz w:val="24"/>
              </w:rPr>
              <w:t>10,072,734.64</w:t>
            </w:r>
          </w:p>
        </w:tc>
      </w:tr>
      <w:tr w:rsidR="003E1483" w:rsidRPr="00AE55CC" w:rsidTr="003E1483">
        <w:tc>
          <w:tcPr>
            <w:tcW w:w="5954"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977"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jc w:val="right"/>
              <w:rPr>
                <w:color w:val="000000"/>
                <w:kern w:val="0"/>
                <w:sz w:val="24"/>
              </w:rPr>
            </w:pPr>
            <w:r w:rsidRPr="00AE55CC">
              <w:rPr>
                <w:color w:val="000000"/>
                <w:sz w:val="24"/>
              </w:rPr>
              <w:t>235,784.99</w:t>
            </w:r>
          </w:p>
        </w:tc>
      </w:tr>
      <w:tr w:rsidR="003E1483" w:rsidRPr="00AE55CC" w:rsidTr="003E1483">
        <w:tc>
          <w:tcPr>
            <w:tcW w:w="5954"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977"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jc w:val="right"/>
              <w:rPr>
                <w:color w:val="000000"/>
                <w:kern w:val="0"/>
                <w:sz w:val="24"/>
              </w:rPr>
            </w:pPr>
            <w:r w:rsidRPr="00AE55CC">
              <w:rPr>
                <w:color w:val="000000"/>
                <w:sz w:val="24"/>
              </w:rPr>
              <w:t>-</w:t>
            </w:r>
          </w:p>
        </w:tc>
      </w:tr>
      <w:tr w:rsidR="003E1483" w:rsidRPr="00AE55CC" w:rsidTr="003E1483">
        <w:tc>
          <w:tcPr>
            <w:tcW w:w="5954"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adjustRightInd w:val="0"/>
              <w:snapToGrid w:val="0"/>
              <w:spacing w:line="360" w:lineRule="exact"/>
              <w:rPr>
                <w:color w:val="000000"/>
                <w:sz w:val="24"/>
              </w:rPr>
            </w:pPr>
            <w:r w:rsidRPr="00AE55CC">
              <w:rPr>
                <w:color w:val="000000"/>
                <w:sz w:val="24"/>
              </w:rPr>
              <w:t>报告期期末管理人持有的本基金份额</w:t>
            </w:r>
          </w:p>
        </w:tc>
        <w:tc>
          <w:tcPr>
            <w:tcW w:w="2977"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jc w:val="right"/>
              <w:rPr>
                <w:sz w:val="24"/>
              </w:rPr>
            </w:pPr>
            <w:r w:rsidRPr="00AE55CC">
              <w:rPr>
                <w:color w:val="000000"/>
                <w:sz w:val="24"/>
              </w:rPr>
              <w:t>10,308,519.63</w:t>
            </w:r>
          </w:p>
        </w:tc>
      </w:tr>
      <w:tr w:rsidR="003E1483" w:rsidRPr="00AE55CC" w:rsidTr="003E1483">
        <w:tc>
          <w:tcPr>
            <w:tcW w:w="5954"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977" w:type="dxa"/>
            <w:tcBorders>
              <w:top w:val="single" w:sz="8" w:space="0" w:color="000000"/>
              <w:left w:val="single" w:sz="8" w:space="0" w:color="000000"/>
              <w:bottom w:val="single" w:sz="8" w:space="0" w:color="000000"/>
              <w:right w:val="single" w:sz="8" w:space="0" w:color="000000"/>
            </w:tcBorders>
            <w:vAlign w:val="center"/>
          </w:tcPr>
          <w:p w:rsidR="003E1483" w:rsidRPr="00AE55CC" w:rsidRDefault="003E1483" w:rsidP="00175A82">
            <w:pPr>
              <w:jc w:val="right"/>
              <w:rPr>
                <w:color w:val="000000"/>
                <w:kern w:val="0"/>
                <w:sz w:val="24"/>
              </w:rPr>
            </w:pPr>
            <w:r w:rsidRPr="00AE55CC">
              <w:rPr>
                <w:color w:val="000000"/>
                <w:sz w:val="24"/>
              </w:rPr>
              <w:t>6.36</w:t>
            </w:r>
          </w:p>
        </w:tc>
      </w:tr>
    </w:tbl>
    <w:p w:rsidR="00CF0100" w:rsidRDefault="0031122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CF0100">
        <w:trPr>
          <w:jc w:val="center"/>
        </w:trPr>
        <w:tc>
          <w:tcPr>
            <w:tcW w:w="1032" w:type="dxa"/>
            <w:vAlign w:val="center"/>
          </w:tcPr>
          <w:p w:rsidR="00CF0100" w:rsidRDefault="0031122F">
            <w:pPr>
              <w:jc w:val="center"/>
            </w:pPr>
            <w:r>
              <w:rPr>
                <w:rFonts w:eastAsiaTheme="minorEastAsia"/>
                <w:color w:val="000000"/>
                <w:sz w:val="24"/>
              </w:rPr>
              <w:t>1</w:t>
            </w:r>
          </w:p>
        </w:tc>
        <w:tc>
          <w:tcPr>
            <w:tcW w:w="1776" w:type="dxa"/>
            <w:vAlign w:val="center"/>
          </w:tcPr>
          <w:p w:rsidR="00CF0100" w:rsidRDefault="0031122F">
            <w:pPr>
              <w:jc w:val="center"/>
            </w:pPr>
            <w:r>
              <w:rPr>
                <w:rFonts w:eastAsiaTheme="minorEastAsia"/>
                <w:color w:val="000000"/>
                <w:sz w:val="24"/>
              </w:rPr>
              <w:t>红利再投</w:t>
            </w:r>
          </w:p>
        </w:tc>
        <w:tc>
          <w:tcPr>
            <w:tcW w:w="1317" w:type="dxa"/>
            <w:vAlign w:val="center"/>
          </w:tcPr>
          <w:p w:rsidR="00CF0100" w:rsidRDefault="0031122F">
            <w:pPr>
              <w:jc w:val="center"/>
            </w:pPr>
            <w:r>
              <w:rPr>
                <w:rFonts w:eastAsiaTheme="minorEastAsia"/>
                <w:color w:val="000000"/>
                <w:sz w:val="24"/>
              </w:rPr>
              <w:t>2014-10-17</w:t>
            </w:r>
          </w:p>
        </w:tc>
        <w:tc>
          <w:tcPr>
            <w:tcW w:w="1633" w:type="dxa"/>
            <w:vAlign w:val="center"/>
          </w:tcPr>
          <w:p w:rsidR="00CF0100" w:rsidRDefault="0031122F">
            <w:pPr>
              <w:jc w:val="right"/>
            </w:pPr>
            <w:r>
              <w:rPr>
                <w:rFonts w:eastAsiaTheme="minorEastAsia"/>
                <w:color w:val="000000"/>
                <w:sz w:val="24"/>
              </w:rPr>
              <w:t>235,784.99</w:t>
            </w:r>
          </w:p>
        </w:tc>
        <w:tc>
          <w:tcPr>
            <w:tcW w:w="1767" w:type="dxa"/>
            <w:vAlign w:val="center"/>
          </w:tcPr>
          <w:p w:rsidR="00CF0100" w:rsidRDefault="0031122F">
            <w:pPr>
              <w:jc w:val="right"/>
            </w:pPr>
            <w:r>
              <w:rPr>
                <w:rFonts w:eastAsiaTheme="minorEastAsia"/>
                <w:color w:val="000000"/>
                <w:sz w:val="24"/>
              </w:rPr>
              <w:t>251,818.37</w:t>
            </w:r>
          </w:p>
        </w:tc>
        <w:tc>
          <w:tcPr>
            <w:tcW w:w="1343" w:type="dxa"/>
            <w:vAlign w:val="center"/>
          </w:tcPr>
          <w:p w:rsidR="00CF0100" w:rsidRDefault="0031122F">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235,784.99</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251,818.37</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A56A6B">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1156"/>
        <w:gridCol w:w="1312"/>
        <w:gridCol w:w="1064"/>
        <w:gridCol w:w="1456"/>
        <w:gridCol w:w="1493"/>
      </w:tblGrid>
      <w:tr w:rsidR="00B47574" w:rsidRPr="007F52FA" w:rsidTr="00735E32">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10,308,519.63</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6.36%</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10,003,472.22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6.17%</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不低于三年</w:t>
            </w:r>
          </w:p>
        </w:tc>
      </w:tr>
      <w:tr w:rsidR="00B47574" w:rsidRPr="007F52FA" w:rsidTr="00735E32">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735E32">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10,308,519.63</w:t>
            </w:r>
          </w:p>
        </w:tc>
        <w:tc>
          <w:tcPr>
            <w:tcW w:w="1314"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6.36%</w:t>
            </w:r>
          </w:p>
        </w:tc>
        <w:tc>
          <w:tcPr>
            <w:tcW w:w="106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10,003,472.22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6.17%</w:t>
            </w:r>
          </w:p>
        </w:tc>
        <w:tc>
          <w:tcPr>
            <w:tcW w:w="1495" w:type="dxa"/>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A56A6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CF0100" w:rsidRDefault="0031122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E8" w:rsidRDefault="001E05E8">
      <w:r>
        <w:separator/>
      </w:r>
    </w:p>
  </w:endnote>
  <w:endnote w:type="continuationSeparator" w:id="0">
    <w:p w:rsidR="001E05E8" w:rsidRDefault="001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A848C0">
      <w:rPr>
        <w:kern w:val="0"/>
        <w:szCs w:val="21"/>
      </w:rPr>
      <w:fldChar w:fldCharType="begin"/>
    </w:r>
    <w:r>
      <w:rPr>
        <w:kern w:val="0"/>
        <w:szCs w:val="21"/>
      </w:rPr>
      <w:instrText xml:space="preserve"> PAGE </w:instrText>
    </w:r>
    <w:r w:rsidR="00A848C0">
      <w:rPr>
        <w:kern w:val="0"/>
        <w:szCs w:val="21"/>
      </w:rPr>
      <w:fldChar w:fldCharType="separate"/>
    </w:r>
    <w:r w:rsidR="00912FE0">
      <w:rPr>
        <w:noProof/>
        <w:kern w:val="0"/>
        <w:szCs w:val="21"/>
      </w:rPr>
      <w:t>1</w:t>
    </w:r>
    <w:r w:rsidR="00A848C0">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A848C0">
      <w:rPr>
        <w:kern w:val="0"/>
        <w:szCs w:val="21"/>
      </w:rPr>
      <w:fldChar w:fldCharType="begin"/>
    </w:r>
    <w:r>
      <w:rPr>
        <w:kern w:val="0"/>
        <w:szCs w:val="21"/>
      </w:rPr>
      <w:instrText xml:space="preserve"> NUMPAGES </w:instrText>
    </w:r>
    <w:r w:rsidR="00A848C0">
      <w:rPr>
        <w:kern w:val="0"/>
        <w:szCs w:val="21"/>
      </w:rPr>
      <w:fldChar w:fldCharType="separate"/>
    </w:r>
    <w:r w:rsidR="00912FE0">
      <w:rPr>
        <w:noProof/>
        <w:kern w:val="0"/>
        <w:szCs w:val="21"/>
      </w:rPr>
      <w:t>13</w:t>
    </w:r>
    <w:r w:rsidR="00A848C0">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A848C0">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E8" w:rsidRDefault="001E05E8">
      <w:r>
        <w:separator/>
      </w:r>
    </w:p>
  </w:footnote>
  <w:footnote w:type="continuationSeparator" w:id="0">
    <w:p w:rsidR="001E05E8" w:rsidRDefault="001E0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912FE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B6C62"/>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5E8"/>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22F"/>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1483"/>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6F7A9A"/>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92"/>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2FE0"/>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5757B"/>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15D0"/>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6A6B"/>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48C0"/>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0100"/>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D4682C0F-6FF3-4AC9-AAF3-2969AB7E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3440-4A78-4E0D-89FE-9B719D2B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166</TotalTime>
  <Pages>13</Pages>
  <Words>1120</Words>
  <Characters>6389</Characters>
  <Application>Microsoft Office Word</Application>
  <DocSecurity>0</DocSecurity>
  <Lines>53</Lines>
  <Paragraphs>14</Paragraphs>
  <ScaleCrop>false</ScaleCrop>
  <Company>TRT. Ltd. Co.</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360</cp:revision>
  <cp:lastPrinted>2007-07-19T00:46:00Z</cp:lastPrinted>
  <dcterms:created xsi:type="dcterms:W3CDTF">2014-01-17T06:19:00Z</dcterms:created>
  <dcterms:modified xsi:type="dcterms:W3CDTF">2015-01-20T03:45:00Z</dcterms:modified>
</cp:coreProperties>
</file>