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交银施罗德阿尔法核心股票型证券投资基金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二〇一五年一月二十二日</w:t>
      </w:r>
    </w:p>
    <w:p w:rsidR="004061AC" w:rsidRPr="00414345" w:rsidRDefault="004061AC" w:rsidP="005E77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46569" w:rsidRDefault="005E777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46569" w:rsidRDefault="005E777B">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46569" w:rsidRDefault="005E777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46569" w:rsidRDefault="005E777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46569" w:rsidRDefault="005E777B">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5E77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交银阿尔法核心股票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3</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123,695,557.42</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中信标普全债指数收益率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本基金为一只主动股票型基金，风险与预期收益高于混合基金、债券基金和货币市场基金。属于承担较高</w:t>
            </w:r>
            <w:r w:rsidRPr="00414345">
              <w:rPr>
                <w:color w:val="000000"/>
                <w:kern w:val="0"/>
                <w:sz w:val="24"/>
                <w:szCs w:val="24"/>
              </w:rPr>
              <w:lastRenderedPageBreak/>
              <w:t>风险、预期收益较高的证券投资基金品种。</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5E77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E777B" w:rsidRPr="00414345" w:rsidTr="005E777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5E777B" w:rsidRPr="00414345" w:rsidTr="005E777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7,980,023.71</w:t>
            </w:r>
          </w:p>
        </w:tc>
      </w:tr>
      <w:tr w:rsidR="005E777B" w:rsidRPr="00414345" w:rsidTr="005E777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40,569,718.34</w:t>
            </w:r>
          </w:p>
        </w:tc>
      </w:tr>
      <w:tr w:rsidR="005E777B" w:rsidRPr="00414345" w:rsidTr="005E777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0.6028</w:t>
            </w:r>
          </w:p>
        </w:tc>
      </w:tr>
      <w:tr w:rsidR="005E777B" w:rsidRPr="00414345" w:rsidTr="005E777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204,270,769.10</w:t>
            </w:r>
          </w:p>
        </w:tc>
      </w:tr>
      <w:tr w:rsidR="005E777B" w:rsidRPr="00414345" w:rsidTr="005E777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1.651</w:t>
            </w:r>
          </w:p>
        </w:tc>
      </w:tr>
    </w:tbl>
    <w:p w:rsidR="00A46569" w:rsidRDefault="005E777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46569">
        <w:trPr>
          <w:jc w:val="center"/>
        </w:trPr>
        <w:tc>
          <w:tcPr>
            <w:tcW w:w="1701" w:type="dxa"/>
            <w:vAlign w:val="center"/>
          </w:tcPr>
          <w:p w:rsidR="00A46569" w:rsidRDefault="005E777B">
            <w:pPr>
              <w:jc w:val="left"/>
            </w:pPr>
            <w:r>
              <w:rPr>
                <w:color w:val="000000"/>
                <w:sz w:val="24"/>
                <w:szCs w:val="24"/>
              </w:rPr>
              <w:t>过去三个月</w:t>
            </w:r>
          </w:p>
        </w:tc>
        <w:tc>
          <w:tcPr>
            <w:tcW w:w="1045" w:type="dxa"/>
            <w:vAlign w:val="center"/>
          </w:tcPr>
          <w:p w:rsidR="00A46569" w:rsidRDefault="005E777B">
            <w:pPr>
              <w:jc w:val="center"/>
            </w:pPr>
            <w:r>
              <w:rPr>
                <w:color w:val="000000"/>
                <w:sz w:val="24"/>
                <w:szCs w:val="24"/>
              </w:rPr>
              <w:t>42.45%</w:t>
            </w:r>
          </w:p>
        </w:tc>
        <w:tc>
          <w:tcPr>
            <w:tcW w:w="1344" w:type="dxa"/>
            <w:vAlign w:val="center"/>
          </w:tcPr>
          <w:p w:rsidR="00A46569" w:rsidRDefault="005E777B">
            <w:pPr>
              <w:jc w:val="center"/>
            </w:pPr>
            <w:r>
              <w:rPr>
                <w:color w:val="000000"/>
                <w:sz w:val="24"/>
                <w:szCs w:val="24"/>
              </w:rPr>
              <w:t>1.58%</w:t>
            </w:r>
          </w:p>
        </w:tc>
        <w:tc>
          <w:tcPr>
            <w:tcW w:w="1194" w:type="dxa"/>
            <w:vAlign w:val="center"/>
          </w:tcPr>
          <w:p w:rsidR="00A46569" w:rsidRDefault="005E777B">
            <w:pPr>
              <w:jc w:val="center"/>
            </w:pPr>
            <w:r>
              <w:rPr>
                <w:color w:val="000000"/>
                <w:sz w:val="24"/>
                <w:szCs w:val="24"/>
              </w:rPr>
              <w:t>32.94%</w:t>
            </w:r>
          </w:p>
        </w:tc>
        <w:tc>
          <w:tcPr>
            <w:tcW w:w="1492" w:type="dxa"/>
            <w:vAlign w:val="center"/>
          </w:tcPr>
          <w:p w:rsidR="00A46569" w:rsidRDefault="005E777B">
            <w:pPr>
              <w:jc w:val="center"/>
            </w:pPr>
            <w:r>
              <w:rPr>
                <w:color w:val="000000"/>
                <w:sz w:val="24"/>
                <w:szCs w:val="24"/>
              </w:rPr>
              <w:t>1.26%</w:t>
            </w:r>
          </w:p>
        </w:tc>
        <w:tc>
          <w:tcPr>
            <w:tcW w:w="1194" w:type="dxa"/>
            <w:vAlign w:val="center"/>
          </w:tcPr>
          <w:p w:rsidR="00A46569" w:rsidRDefault="005E777B">
            <w:pPr>
              <w:jc w:val="center"/>
            </w:pPr>
            <w:r>
              <w:rPr>
                <w:color w:val="000000"/>
                <w:sz w:val="24"/>
                <w:szCs w:val="24"/>
              </w:rPr>
              <w:t>9.51%</w:t>
            </w:r>
          </w:p>
        </w:tc>
        <w:tc>
          <w:tcPr>
            <w:tcW w:w="898" w:type="dxa"/>
            <w:vAlign w:val="center"/>
          </w:tcPr>
          <w:p w:rsidR="00A46569" w:rsidRDefault="005E777B">
            <w:pPr>
              <w:jc w:val="center"/>
            </w:pPr>
            <w:r>
              <w:rPr>
                <w:color w:val="000000"/>
                <w:sz w:val="24"/>
                <w:szCs w:val="24"/>
              </w:rPr>
              <w:t>0.32%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交银施罗德阿尔法核心股票型证券投资基金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5E77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46569">
        <w:trPr>
          <w:jc w:val="center"/>
        </w:trPr>
        <w:tc>
          <w:tcPr>
            <w:tcW w:w="846" w:type="dxa"/>
            <w:vAlign w:val="center"/>
          </w:tcPr>
          <w:p w:rsidR="00A46569" w:rsidRDefault="005E777B">
            <w:pPr>
              <w:jc w:val="center"/>
            </w:pPr>
            <w:r>
              <w:rPr>
                <w:color w:val="000000"/>
                <w:sz w:val="24"/>
                <w:szCs w:val="24"/>
              </w:rPr>
              <w:t>龙向东</w:t>
            </w:r>
          </w:p>
        </w:tc>
        <w:tc>
          <w:tcPr>
            <w:tcW w:w="845" w:type="dxa"/>
            <w:vAlign w:val="center"/>
          </w:tcPr>
          <w:p w:rsidR="00A46569" w:rsidRDefault="005E777B">
            <w:pPr>
              <w:jc w:val="center"/>
            </w:pPr>
            <w:r>
              <w:rPr>
                <w:color w:val="000000"/>
                <w:sz w:val="24"/>
                <w:szCs w:val="24"/>
              </w:rPr>
              <w:t>本基金的基金经理，公司量化投资部总经理</w:t>
            </w:r>
          </w:p>
        </w:tc>
        <w:tc>
          <w:tcPr>
            <w:tcW w:w="1549" w:type="dxa"/>
            <w:vAlign w:val="center"/>
          </w:tcPr>
          <w:p w:rsidR="00A46569" w:rsidRDefault="005E777B">
            <w:pPr>
              <w:jc w:val="center"/>
            </w:pPr>
            <w:r>
              <w:rPr>
                <w:color w:val="000000"/>
                <w:sz w:val="24"/>
                <w:szCs w:val="24"/>
              </w:rPr>
              <w:t>2012-08-03</w:t>
            </w:r>
          </w:p>
        </w:tc>
        <w:tc>
          <w:tcPr>
            <w:tcW w:w="1548" w:type="dxa"/>
            <w:vAlign w:val="center"/>
          </w:tcPr>
          <w:p w:rsidR="00A46569" w:rsidRDefault="005E777B">
            <w:pPr>
              <w:jc w:val="center"/>
            </w:pPr>
            <w:r>
              <w:rPr>
                <w:color w:val="000000"/>
                <w:sz w:val="24"/>
                <w:szCs w:val="24"/>
              </w:rPr>
              <w:t>-</w:t>
            </w:r>
          </w:p>
        </w:tc>
        <w:tc>
          <w:tcPr>
            <w:tcW w:w="1407" w:type="dxa"/>
            <w:vAlign w:val="center"/>
          </w:tcPr>
          <w:p w:rsidR="00A46569" w:rsidRDefault="005E777B">
            <w:pPr>
              <w:jc w:val="center"/>
            </w:pPr>
            <w:r>
              <w:rPr>
                <w:color w:val="000000"/>
                <w:sz w:val="24"/>
                <w:szCs w:val="24"/>
              </w:rPr>
              <w:t>5</w:t>
            </w:r>
            <w:r>
              <w:rPr>
                <w:color w:val="000000"/>
                <w:sz w:val="24"/>
                <w:szCs w:val="24"/>
              </w:rPr>
              <w:t>年</w:t>
            </w:r>
          </w:p>
        </w:tc>
        <w:tc>
          <w:tcPr>
            <w:tcW w:w="2673" w:type="dxa"/>
            <w:vAlign w:val="center"/>
          </w:tcPr>
          <w:p w:rsidR="00A46569" w:rsidRDefault="005E777B">
            <w:r>
              <w:rPr>
                <w:color w:val="000000"/>
                <w:sz w:val="24"/>
                <w:szCs w:val="24"/>
              </w:rPr>
              <w:t>龙向东先生，中国人民大学经济学学士、经济学硕士，美国加州大学河滨分校经济学博士。历任英国剑桥大学商学院金融分析和政策中心研究员，美国雷曼兄弟公司（欧洲）量化分析师，日本野村国际</w:t>
            </w:r>
            <w:r>
              <w:rPr>
                <w:color w:val="000000"/>
                <w:sz w:val="24"/>
                <w:szCs w:val="24"/>
              </w:rPr>
              <w:t xml:space="preserve"> </w:t>
            </w:r>
            <w:r>
              <w:rPr>
                <w:color w:val="000000"/>
                <w:sz w:val="24"/>
                <w:szCs w:val="24"/>
              </w:rPr>
              <w:t>（欧洲）</w:t>
            </w:r>
            <w:r>
              <w:rPr>
                <w:color w:val="000000"/>
                <w:sz w:val="24"/>
                <w:szCs w:val="24"/>
              </w:rPr>
              <w:t xml:space="preserve"> </w:t>
            </w:r>
            <w:r>
              <w:rPr>
                <w:color w:val="000000"/>
                <w:sz w:val="24"/>
                <w:szCs w:val="24"/>
              </w:rPr>
              <w:t>量化分析师，北京健坤和创投资公司量化投资总监。</w:t>
            </w:r>
            <w:r>
              <w:rPr>
                <w:color w:val="000000"/>
                <w:sz w:val="24"/>
                <w:szCs w:val="24"/>
              </w:rPr>
              <w:t>2010</w:t>
            </w:r>
            <w:r>
              <w:rPr>
                <w:color w:val="000000"/>
                <w:sz w:val="24"/>
                <w:szCs w:val="24"/>
              </w:rPr>
              <w:t>年加入交银施罗德基金管理有限公司，历任量化投资部副总经理。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46569" w:rsidRDefault="005E777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46569" w:rsidRDefault="005E777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46569" w:rsidRDefault="005E777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46569" w:rsidRDefault="005E777B">
      <w:pPr>
        <w:spacing w:before="29" w:line="288" w:lineRule="auto"/>
        <w:ind w:firstLineChars="200" w:firstLine="480"/>
        <w:rPr>
          <w:color w:val="000000"/>
          <w:sz w:val="24"/>
          <w:szCs w:val="24"/>
        </w:rPr>
      </w:pPr>
      <w:r>
        <w:rPr>
          <w:color w:val="000000"/>
          <w:sz w:val="24"/>
          <w:szCs w:val="24"/>
        </w:rPr>
        <w:t>本报告期内，本基金业绩表现较好，主要根据</w:t>
      </w:r>
      <w:r>
        <w:rPr>
          <w:color w:val="000000"/>
          <w:sz w:val="24"/>
          <w:szCs w:val="24"/>
        </w:rPr>
        <w:t>DDM</w:t>
      </w:r>
      <w:r>
        <w:rPr>
          <w:color w:val="000000"/>
          <w:sz w:val="24"/>
          <w:szCs w:val="24"/>
        </w:rPr>
        <w:t>模型分析、抓住市场的核心驱动因素，并沿着这条主线动态配置风格、行业、主题。在增量资金入场的过程中，根据政治、经济新格局和边际新增资金的属性，紧抓大金融这条行业主线，并动态辅之以</w:t>
      </w:r>
      <w:r>
        <w:rPr>
          <w:color w:val="000000"/>
          <w:sz w:val="24"/>
          <w:szCs w:val="24"/>
        </w:rPr>
        <w:t>“</w:t>
      </w:r>
      <w:r>
        <w:rPr>
          <w:color w:val="000000"/>
          <w:sz w:val="24"/>
          <w:szCs w:val="24"/>
        </w:rPr>
        <w:t>一带一路</w:t>
      </w:r>
      <w:r>
        <w:rPr>
          <w:color w:val="000000"/>
          <w:sz w:val="24"/>
          <w:szCs w:val="24"/>
        </w:rPr>
        <w:t>”</w:t>
      </w:r>
      <w:r>
        <w:rPr>
          <w:color w:val="000000"/>
          <w:sz w:val="24"/>
          <w:szCs w:val="24"/>
        </w:rPr>
        <w:t>等方向的事件驱动型投资。</w:t>
      </w:r>
    </w:p>
    <w:p w:rsidR="00A46569" w:rsidRDefault="005E777B">
      <w:pPr>
        <w:spacing w:before="29" w:line="288" w:lineRule="auto"/>
        <w:ind w:firstLineChars="200" w:firstLine="480"/>
        <w:rPr>
          <w:color w:val="000000"/>
          <w:sz w:val="24"/>
          <w:szCs w:val="24"/>
        </w:rPr>
      </w:pPr>
      <w:r>
        <w:rPr>
          <w:color w:val="000000"/>
          <w:sz w:val="24"/>
          <w:szCs w:val="24"/>
        </w:rPr>
        <w:t>高频宏观数据尚未显示经济是否已底部企稳，但房地产市场成交量数据向好。</w:t>
      </w:r>
      <w:r>
        <w:rPr>
          <w:color w:val="000000"/>
          <w:sz w:val="24"/>
          <w:szCs w:val="24"/>
        </w:rPr>
        <w:t>CPI</w:t>
      </w:r>
      <w:r>
        <w:rPr>
          <w:color w:val="000000"/>
          <w:sz w:val="24"/>
          <w:szCs w:val="24"/>
        </w:rPr>
        <w:t>、</w:t>
      </w:r>
      <w:r>
        <w:rPr>
          <w:color w:val="000000"/>
          <w:sz w:val="24"/>
          <w:szCs w:val="24"/>
        </w:rPr>
        <w:t>PPI</w:t>
      </w:r>
      <w:r>
        <w:rPr>
          <w:color w:val="000000"/>
          <w:sz w:val="24"/>
          <w:szCs w:val="24"/>
        </w:rPr>
        <w:t>的当下水平给货币政策留下了较大操作空间；受出口变化影响，外汇占款正在发生结构性变化，人民币汇率的市场表现走弱与央行的主动引导方向略有差异，但保持双向波动的概率要大于大幅升值或贬值的可能。总体而言，目前央行以观察经济、市场为主，逆周期操作、大幅度主动干预的意愿、力度减弱，市场流动性整体略微宽松；财政政策在严控地方债务风险的同时需要提供对冲措施，</w:t>
      </w:r>
      <w:r>
        <w:rPr>
          <w:color w:val="000000"/>
          <w:sz w:val="24"/>
          <w:szCs w:val="24"/>
        </w:rPr>
        <w:t>PPP</w:t>
      </w:r>
      <w:r>
        <w:rPr>
          <w:color w:val="000000"/>
          <w:sz w:val="24"/>
          <w:szCs w:val="24"/>
        </w:rPr>
        <w:t>模式下支持的公共基础设施建设是一个一石二鸟的可能方案。</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不同于往年的春季躁动，在注册制、沪港通背景下，</w:t>
      </w:r>
      <w:r w:rsidRPr="00414345">
        <w:rPr>
          <w:color w:val="000000"/>
          <w:sz w:val="24"/>
          <w:szCs w:val="24"/>
        </w:rPr>
        <w:t>2015</w:t>
      </w:r>
      <w:r w:rsidRPr="00414345">
        <w:rPr>
          <w:color w:val="000000"/>
          <w:sz w:val="24"/>
          <w:szCs w:val="24"/>
        </w:rPr>
        <w:t>年年初的季节效应未必如往年一样侧重小盘效应；取而代之的很有可能是在国企改革带动下的大盘蓝筹风格；因为实体经济企稳尚需观察，传统意义上基于经济运行逻辑的周期股行业轮动变数较多，具体表现为补涨、节奏加快。或均衡配置，或小步快走式参与，可能不适合在单一行业上配置过重、行业风险暴露过大；此外，</w:t>
      </w:r>
      <w:r w:rsidRPr="00414345">
        <w:rPr>
          <w:color w:val="000000"/>
          <w:sz w:val="24"/>
          <w:szCs w:val="24"/>
        </w:rPr>
        <w:t>PPP</w:t>
      </w:r>
      <w:r w:rsidRPr="00414345">
        <w:rPr>
          <w:color w:val="000000"/>
          <w:sz w:val="24"/>
          <w:szCs w:val="24"/>
        </w:rPr>
        <w:t>模式相关投资标的亦应该高度关注。长期而言，代表中国经济未来的成长股有很大空间，但目前市场风格并不青睐此类风格，且经济转型效应、商业模式、盈利及其持续性都还需要观察，在短期更多以研究储备为主。</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1.651</w:t>
      </w:r>
      <w:r w:rsidRPr="00414345">
        <w:rPr>
          <w:color w:val="000000"/>
          <w:sz w:val="24"/>
          <w:szCs w:val="24"/>
        </w:rPr>
        <w:t>元，本报告期份额净值增长率为</w:t>
      </w:r>
      <w:r w:rsidRPr="00414345">
        <w:rPr>
          <w:color w:val="000000"/>
          <w:sz w:val="24"/>
          <w:szCs w:val="24"/>
        </w:rPr>
        <w:t>42.45%</w:t>
      </w:r>
      <w:r w:rsidRPr="00414345">
        <w:rPr>
          <w:color w:val="000000"/>
          <w:sz w:val="24"/>
          <w:szCs w:val="24"/>
        </w:rPr>
        <w:t>，同期业绩比较基准增长率为</w:t>
      </w:r>
      <w:r w:rsidRPr="00414345">
        <w:rPr>
          <w:color w:val="000000"/>
          <w:sz w:val="24"/>
          <w:szCs w:val="24"/>
        </w:rPr>
        <w:t>32.94%</w:t>
      </w:r>
      <w:r w:rsidR="008759CC">
        <w:rPr>
          <w:rFonts w:hint="eastAsia"/>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5E777B">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本基金自《公开募集证券投资基金运作管理办法》生效日（</w:t>
      </w:r>
      <w:r w:rsidRPr="002070B4">
        <w:rPr>
          <w:color w:val="000000"/>
          <w:sz w:val="24"/>
        </w:rPr>
        <w:t>2014</w:t>
      </w:r>
      <w:r w:rsidRPr="002070B4">
        <w:rPr>
          <w:color w:val="000000"/>
          <w:sz w:val="24"/>
        </w:rPr>
        <w:t>年</w:t>
      </w:r>
      <w:r w:rsidRPr="002070B4">
        <w:rPr>
          <w:color w:val="000000"/>
          <w:sz w:val="24"/>
        </w:rPr>
        <w:t>8</w:t>
      </w:r>
      <w:r w:rsidRPr="002070B4">
        <w:rPr>
          <w:color w:val="000000"/>
          <w:sz w:val="24"/>
        </w:rPr>
        <w:t>月</w:t>
      </w:r>
      <w:r w:rsidRPr="002070B4">
        <w:rPr>
          <w:color w:val="000000"/>
          <w:sz w:val="24"/>
        </w:rPr>
        <w:t>8</w:t>
      </w:r>
      <w:r w:rsidRPr="002070B4">
        <w:rPr>
          <w:color w:val="000000"/>
          <w:sz w:val="24"/>
        </w:rPr>
        <w:t>日）起至</w:t>
      </w:r>
      <w:r w:rsidRPr="002070B4">
        <w:rPr>
          <w:color w:val="000000"/>
          <w:sz w:val="24"/>
        </w:rPr>
        <w:t>2014</w:t>
      </w:r>
      <w:r w:rsidRPr="002070B4">
        <w:rPr>
          <w:color w:val="000000"/>
          <w:sz w:val="24"/>
        </w:rPr>
        <w:t>年</w:t>
      </w:r>
      <w:r w:rsidRPr="002070B4">
        <w:rPr>
          <w:color w:val="000000"/>
          <w:sz w:val="24"/>
        </w:rPr>
        <w:t>10</w:t>
      </w:r>
      <w:r w:rsidRPr="002070B4">
        <w:rPr>
          <w:color w:val="000000"/>
          <w:sz w:val="24"/>
        </w:rPr>
        <w:t>月</w:t>
      </w:r>
      <w:r w:rsidRPr="002070B4">
        <w:rPr>
          <w:color w:val="000000"/>
          <w:sz w:val="24"/>
        </w:rPr>
        <w:t>28</w:t>
      </w:r>
      <w:r w:rsidRPr="002070B4">
        <w:rPr>
          <w:color w:val="000000"/>
          <w:sz w:val="24"/>
        </w:rPr>
        <w:t>日止基金资产净值低于五千万元。</w:t>
      </w:r>
    </w:p>
    <w:p w:rsidR="004061AC" w:rsidRPr="00414345" w:rsidRDefault="004061AC" w:rsidP="005E77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147,894,089.28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71.58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147,894,089.28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71.58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50,840,103.88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24.61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7,886,065.41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3.82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206,620,258.57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4,123,467.16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38,541,151.21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1,694,673.44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8,776,206.36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1,964,039.24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8,342,555.22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1,514,242.50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60,350,411.45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18,857,638.73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530,036.47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632,752.00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878,423.50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747,422.00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941,070.00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147,894,089.28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72.40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46569">
        <w:trPr>
          <w:jc w:val="center"/>
        </w:trPr>
        <w:tc>
          <w:tcPr>
            <w:tcW w:w="855" w:type="dxa"/>
            <w:vAlign w:val="center"/>
          </w:tcPr>
          <w:p w:rsidR="00A46569" w:rsidRDefault="005E777B">
            <w:pPr>
              <w:jc w:val="center"/>
            </w:pPr>
            <w:r>
              <w:rPr>
                <w:color w:val="000000"/>
                <w:sz w:val="24"/>
                <w:szCs w:val="24"/>
              </w:rPr>
              <w:t>1</w:t>
            </w:r>
          </w:p>
        </w:tc>
        <w:tc>
          <w:tcPr>
            <w:tcW w:w="1334" w:type="dxa"/>
            <w:vAlign w:val="center"/>
          </w:tcPr>
          <w:p w:rsidR="00A46569" w:rsidRDefault="005E777B">
            <w:pPr>
              <w:jc w:val="center"/>
            </w:pPr>
            <w:r>
              <w:rPr>
                <w:color w:val="000000"/>
                <w:sz w:val="24"/>
                <w:szCs w:val="24"/>
              </w:rPr>
              <w:t>601166</w:t>
            </w:r>
          </w:p>
        </w:tc>
        <w:tc>
          <w:tcPr>
            <w:tcW w:w="1777" w:type="dxa"/>
            <w:vAlign w:val="center"/>
          </w:tcPr>
          <w:p w:rsidR="00A46569" w:rsidRDefault="005E777B">
            <w:pPr>
              <w:jc w:val="center"/>
            </w:pPr>
            <w:r>
              <w:rPr>
                <w:color w:val="000000"/>
                <w:sz w:val="24"/>
                <w:szCs w:val="24"/>
              </w:rPr>
              <w:t>兴业银行</w:t>
            </w:r>
          </w:p>
        </w:tc>
        <w:tc>
          <w:tcPr>
            <w:tcW w:w="1334" w:type="dxa"/>
            <w:vAlign w:val="center"/>
          </w:tcPr>
          <w:p w:rsidR="00A46569" w:rsidRDefault="005E777B">
            <w:pPr>
              <w:jc w:val="right"/>
            </w:pPr>
            <w:r>
              <w:rPr>
                <w:color w:val="000000"/>
                <w:sz w:val="24"/>
                <w:szCs w:val="24"/>
              </w:rPr>
              <w:t>512,500</w:t>
            </w:r>
          </w:p>
        </w:tc>
        <w:tc>
          <w:tcPr>
            <w:tcW w:w="1924" w:type="dxa"/>
            <w:vAlign w:val="center"/>
          </w:tcPr>
          <w:p w:rsidR="00A46569" w:rsidRDefault="005E777B">
            <w:pPr>
              <w:jc w:val="right"/>
            </w:pPr>
            <w:r>
              <w:rPr>
                <w:color w:val="000000"/>
                <w:sz w:val="24"/>
                <w:szCs w:val="24"/>
              </w:rPr>
              <w:t>8,456,250.00</w:t>
            </w:r>
          </w:p>
        </w:tc>
        <w:tc>
          <w:tcPr>
            <w:tcW w:w="1644" w:type="dxa"/>
            <w:vAlign w:val="center"/>
          </w:tcPr>
          <w:p w:rsidR="00A46569" w:rsidRDefault="005E777B">
            <w:pPr>
              <w:jc w:val="right"/>
            </w:pPr>
            <w:r>
              <w:rPr>
                <w:color w:val="000000"/>
                <w:sz w:val="24"/>
                <w:szCs w:val="24"/>
              </w:rPr>
              <w:t>4.14</w:t>
            </w:r>
          </w:p>
        </w:tc>
      </w:tr>
      <w:tr w:rsidR="00A46569">
        <w:trPr>
          <w:jc w:val="center"/>
        </w:trPr>
        <w:tc>
          <w:tcPr>
            <w:tcW w:w="855" w:type="dxa"/>
            <w:vAlign w:val="center"/>
          </w:tcPr>
          <w:p w:rsidR="00A46569" w:rsidRDefault="005E777B">
            <w:pPr>
              <w:jc w:val="center"/>
            </w:pPr>
            <w:r>
              <w:rPr>
                <w:color w:val="000000"/>
                <w:sz w:val="24"/>
                <w:szCs w:val="24"/>
              </w:rPr>
              <w:t>2</w:t>
            </w:r>
          </w:p>
        </w:tc>
        <w:tc>
          <w:tcPr>
            <w:tcW w:w="1334" w:type="dxa"/>
            <w:vAlign w:val="center"/>
          </w:tcPr>
          <w:p w:rsidR="00A46569" w:rsidRDefault="005E777B">
            <w:pPr>
              <w:jc w:val="center"/>
            </w:pPr>
            <w:r>
              <w:rPr>
                <w:color w:val="000000"/>
                <w:sz w:val="24"/>
                <w:szCs w:val="24"/>
              </w:rPr>
              <w:t>000024</w:t>
            </w:r>
          </w:p>
        </w:tc>
        <w:tc>
          <w:tcPr>
            <w:tcW w:w="1777" w:type="dxa"/>
            <w:vAlign w:val="center"/>
          </w:tcPr>
          <w:p w:rsidR="00A46569" w:rsidRDefault="005E777B">
            <w:pPr>
              <w:jc w:val="center"/>
            </w:pPr>
            <w:r>
              <w:rPr>
                <w:color w:val="000000"/>
                <w:sz w:val="24"/>
                <w:szCs w:val="24"/>
              </w:rPr>
              <w:t>招商地产</w:t>
            </w:r>
          </w:p>
        </w:tc>
        <w:tc>
          <w:tcPr>
            <w:tcW w:w="1334" w:type="dxa"/>
            <w:vAlign w:val="center"/>
          </w:tcPr>
          <w:p w:rsidR="00A46569" w:rsidRDefault="005E777B">
            <w:pPr>
              <w:jc w:val="right"/>
            </w:pPr>
            <w:r>
              <w:rPr>
                <w:color w:val="000000"/>
                <w:sz w:val="24"/>
                <w:szCs w:val="24"/>
              </w:rPr>
              <w:t>295,300</w:t>
            </w:r>
          </w:p>
        </w:tc>
        <w:tc>
          <w:tcPr>
            <w:tcW w:w="1924" w:type="dxa"/>
            <w:vAlign w:val="center"/>
          </w:tcPr>
          <w:p w:rsidR="00A46569" w:rsidRDefault="005E777B">
            <w:pPr>
              <w:jc w:val="right"/>
            </w:pPr>
            <w:r>
              <w:rPr>
                <w:color w:val="000000"/>
                <w:sz w:val="24"/>
                <w:szCs w:val="24"/>
              </w:rPr>
              <w:t>7,792,967.00</w:t>
            </w:r>
          </w:p>
        </w:tc>
        <w:tc>
          <w:tcPr>
            <w:tcW w:w="1644" w:type="dxa"/>
            <w:vAlign w:val="center"/>
          </w:tcPr>
          <w:p w:rsidR="00A46569" w:rsidRDefault="005E777B">
            <w:pPr>
              <w:jc w:val="right"/>
            </w:pPr>
            <w:r>
              <w:rPr>
                <w:color w:val="000000"/>
                <w:sz w:val="24"/>
                <w:szCs w:val="24"/>
              </w:rPr>
              <w:t>3.82</w:t>
            </w:r>
          </w:p>
        </w:tc>
      </w:tr>
      <w:tr w:rsidR="00A46569">
        <w:trPr>
          <w:jc w:val="center"/>
        </w:trPr>
        <w:tc>
          <w:tcPr>
            <w:tcW w:w="855" w:type="dxa"/>
            <w:vAlign w:val="center"/>
          </w:tcPr>
          <w:p w:rsidR="00A46569" w:rsidRDefault="005E777B">
            <w:pPr>
              <w:jc w:val="center"/>
            </w:pPr>
            <w:r>
              <w:rPr>
                <w:color w:val="000000"/>
                <w:sz w:val="24"/>
                <w:szCs w:val="24"/>
              </w:rPr>
              <w:t>3</w:t>
            </w:r>
          </w:p>
        </w:tc>
        <w:tc>
          <w:tcPr>
            <w:tcW w:w="1334" w:type="dxa"/>
            <w:vAlign w:val="center"/>
          </w:tcPr>
          <w:p w:rsidR="00A46569" w:rsidRDefault="005E777B">
            <w:pPr>
              <w:jc w:val="center"/>
            </w:pPr>
            <w:r>
              <w:rPr>
                <w:color w:val="000000"/>
                <w:sz w:val="24"/>
                <w:szCs w:val="24"/>
              </w:rPr>
              <w:t>601688</w:t>
            </w:r>
          </w:p>
        </w:tc>
        <w:tc>
          <w:tcPr>
            <w:tcW w:w="1777" w:type="dxa"/>
            <w:vAlign w:val="center"/>
          </w:tcPr>
          <w:p w:rsidR="00A46569" w:rsidRDefault="005E777B">
            <w:pPr>
              <w:jc w:val="center"/>
            </w:pPr>
            <w:r>
              <w:rPr>
                <w:color w:val="000000"/>
                <w:sz w:val="24"/>
                <w:szCs w:val="24"/>
              </w:rPr>
              <w:t>华泰证券</w:t>
            </w:r>
          </w:p>
        </w:tc>
        <w:tc>
          <w:tcPr>
            <w:tcW w:w="1334" w:type="dxa"/>
            <w:vAlign w:val="center"/>
          </w:tcPr>
          <w:p w:rsidR="00A46569" w:rsidRDefault="005E777B">
            <w:pPr>
              <w:jc w:val="right"/>
            </w:pPr>
            <w:r>
              <w:rPr>
                <w:color w:val="000000"/>
                <w:sz w:val="24"/>
                <w:szCs w:val="24"/>
              </w:rPr>
              <w:t>284,700</w:t>
            </w:r>
          </w:p>
        </w:tc>
        <w:tc>
          <w:tcPr>
            <w:tcW w:w="1924" w:type="dxa"/>
            <w:vAlign w:val="center"/>
          </w:tcPr>
          <w:p w:rsidR="00A46569" w:rsidRDefault="005E777B">
            <w:pPr>
              <w:jc w:val="right"/>
            </w:pPr>
            <w:r>
              <w:rPr>
                <w:color w:val="000000"/>
                <w:sz w:val="24"/>
                <w:szCs w:val="24"/>
              </w:rPr>
              <w:t>6,966,609.00</w:t>
            </w:r>
          </w:p>
        </w:tc>
        <w:tc>
          <w:tcPr>
            <w:tcW w:w="1644" w:type="dxa"/>
            <w:vAlign w:val="center"/>
          </w:tcPr>
          <w:p w:rsidR="00A46569" w:rsidRDefault="005E777B">
            <w:pPr>
              <w:jc w:val="right"/>
            </w:pPr>
            <w:r>
              <w:rPr>
                <w:color w:val="000000"/>
                <w:sz w:val="24"/>
                <w:szCs w:val="24"/>
              </w:rPr>
              <w:t>3.41</w:t>
            </w:r>
          </w:p>
        </w:tc>
      </w:tr>
      <w:tr w:rsidR="00A46569">
        <w:trPr>
          <w:jc w:val="center"/>
        </w:trPr>
        <w:tc>
          <w:tcPr>
            <w:tcW w:w="855" w:type="dxa"/>
            <w:vAlign w:val="center"/>
          </w:tcPr>
          <w:p w:rsidR="00A46569" w:rsidRDefault="005E777B">
            <w:pPr>
              <w:jc w:val="center"/>
            </w:pPr>
            <w:r>
              <w:rPr>
                <w:color w:val="000000"/>
                <w:sz w:val="24"/>
                <w:szCs w:val="24"/>
              </w:rPr>
              <w:t>4</w:t>
            </w:r>
          </w:p>
        </w:tc>
        <w:tc>
          <w:tcPr>
            <w:tcW w:w="1334" w:type="dxa"/>
            <w:vAlign w:val="center"/>
          </w:tcPr>
          <w:p w:rsidR="00A46569" w:rsidRDefault="005E777B">
            <w:pPr>
              <w:jc w:val="center"/>
            </w:pPr>
            <w:r>
              <w:rPr>
                <w:color w:val="000000"/>
                <w:sz w:val="24"/>
                <w:szCs w:val="24"/>
              </w:rPr>
              <w:t>600000</w:t>
            </w:r>
          </w:p>
        </w:tc>
        <w:tc>
          <w:tcPr>
            <w:tcW w:w="1777" w:type="dxa"/>
            <w:vAlign w:val="center"/>
          </w:tcPr>
          <w:p w:rsidR="00A46569" w:rsidRDefault="005E777B">
            <w:pPr>
              <w:jc w:val="center"/>
            </w:pPr>
            <w:r>
              <w:rPr>
                <w:color w:val="000000"/>
                <w:sz w:val="24"/>
                <w:szCs w:val="24"/>
              </w:rPr>
              <w:t>浦发银行</w:t>
            </w:r>
          </w:p>
        </w:tc>
        <w:tc>
          <w:tcPr>
            <w:tcW w:w="1334" w:type="dxa"/>
            <w:vAlign w:val="center"/>
          </w:tcPr>
          <w:p w:rsidR="00A46569" w:rsidRDefault="005E777B">
            <w:pPr>
              <w:jc w:val="right"/>
            </w:pPr>
            <w:r>
              <w:rPr>
                <w:color w:val="000000"/>
                <w:sz w:val="24"/>
                <w:szCs w:val="24"/>
              </w:rPr>
              <w:t>433,734</w:t>
            </w:r>
          </w:p>
        </w:tc>
        <w:tc>
          <w:tcPr>
            <w:tcW w:w="1924" w:type="dxa"/>
            <w:vAlign w:val="center"/>
          </w:tcPr>
          <w:p w:rsidR="00A46569" w:rsidRDefault="005E777B">
            <w:pPr>
              <w:jc w:val="right"/>
            </w:pPr>
            <w:r>
              <w:rPr>
                <w:color w:val="000000"/>
                <w:sz w:val="24"/>
                <w:szCs w:val="24"/>
              </w:rPr>
              <w:t>6,805,286.46</w:t>
            </w:r>
          </w:p>
        </w:tc>
        <w:tc>
          <w:tcPr>
            <w:tcW w:w="1644" w:type="dxa"/>
            <w:vAlign w:val="center"/>
          </w:tcPr>
          <w:p w:rsidR="00A46569" w:rsidRDefault="005E777B">
            <w:pPr>
              <w:jc w:val="right"/>
            </w:pPr>
            <w:r>
              <w:rPr>
                <w:color w:val="000000"/>
                <w:sz w:val="24"/>
                <w:szCs w:val="24"/>
              </w:rPr>
              <w:t>3.33</w:t>
            </w:r>
          </w:p>
        </w:tc>
      </w:tr>
      <w:tr w:rsidR="00A46569">
        <w:trPr>
          <w:jc w:val="center"/>
        </w:trPr>
        <w:tc>
          <w:tcPr>
            <w:tcW w:w="855" w:type="dxa"/>
            <w:vAlign w:val="center"/>
          </w:tcPr>
          <w:p w:rsidR="00A46569" w:rsidRDefault="005E777B">
            <w:pPr>
              <w:jc w:val="center"/>
            </w:pPr>
            <w:r>
              <w:rPr>
                <w:color w:val="000000"/>
                <w:sz w:val="24"/>
                <w:szCs w:val="24"/>
              </w:rPr>
              <w:t>5</w:t>
            </w:r>
          </w:p>
        </w:tc>
        <w:tc>
          <w:tcPr>
            <w:tcW w:w="1334" w:type="dxa"/>
            <w:vAlign w:val="center"/>
          </w:tcPr>
          <w:p w:rsidR="00A46569" w:rsidRDefault="005E777B">
            <w:pPr>
              <w:jc w:val="center"/>
            </w:pPr>
            <w:r>
              <w:rPr>
                <w:color w:val="000000"/>
                <w:sz w:val="24"/>
                <w:szCs w:val="24"/>
              </w:rPr>
              <w:t>600030</w:t>
            </w:r>
          </w:p>
        </w:tc>
        <w:tc>
          <w:tcPr>
            <w:tcW w:w="1777" w:type="dxa"/>
            <w:vAlign w:val="center"/>
          </w:tcPr>
          <w:p w:rsidR="00A46569" w:rsidRDefault="005E777B">
            <w:pPr>
              <w:jc w:val="center"/>
            </w:pPr>
            <w:r>
              <w:rPr>
                <w:color w:val="000000"/>
                <w:sz w:val="24"/>
                <w:szCs w:val="24"/>
              </w:rPr>
              <w:t>中信证券</w:t>
            </w:r>
          </w:p>
        </w:tc>
        <w:tc>
          <w:tcPr>
            <w:tcW w:w="1334" w:type="dxa"/>
            <w:vAlign w:val="center"/>
          </w:tcPr>
          <w:p w:rsidR="00A46569" w:rsidRDefault="005E777B">
            <w:pPr>
              <w:jc w:val="right"/>
            </w:pPr>
            <w:r>
              <w:rPr>
                <w:color w:val="000000"/>
                <w:sz w:val="24"/>
                <w:szCs w:val="24"/>
              </w:rPr>
              <w:t>184,100</w:t>
            </w:r>
          </w:p>
        </w:tc>
        <w:tc>
          <w:tcPr>
            <w:tcW w:w="1924" w:type="dxa"/>
            <w:vAlign w:val="center"/>
          </w:tcPr>
          <w:p w:rsidR="00A46569" w:rsidRDefault="005E777B">
            <w:pPr>
              <w:jc w:val="right"/>
            </w:pPr>
            <w:r>
              <w:rPr>
                <w:color w:val="000000"/>
                <w:sz w:val="24"/>
                <w:szCs w:val="24"/>
              </w:rPr>
              <w:t>6,240,990.00</w:t>
            </w:r>
          </w:p>
        </w:tc>
        <w:tc>
          <w:tcPr>
            <w:tcW w:w="1644" w:type="dxa"/>
            <w:vAlign w:val="center"/>
          </w:tcPr>
          <w:p w:rsidR="00A46569" w:rsidRDefault="005E777B">
            <w:pPr>
              <w:jc w:val="right"/>
            </w:pPr>
            <w:r>
              <w:rPr>
                <w:color w:val="000000"/>
                <w:sz w:val="24"/>
                <w:szCs w:val="24"/>
              </w:rPr>
              <w:t>3.06</w:t>
            </w:r>
          </w:p>
        </w:tc>
      </w:tr>
      <w:tr w:rsidR="00A46569">
        <w:trPr>
          <w:jc w:val="center"/>
        </w:trPr>
        <w:tc>
          <w:tcPr>
            <w:tcW w:w="855" w:type="dxa"/>
            <w:vAlign w:val="center"/>
          </w:tcPr>
          <w:p w:rsidR="00A46569" w:rsidRDefault="005E777B">
            <w:pPr>
              <w:jc w:val="center"/>
            </w:pPr>
            <w:r>
              <w:rPr>
                <w:color w:val="000000"/>
                <w:sz w:val="24"/>
                <w:szCs w:val="24"/>
              </w:rPr>
              <w:t>6</w:t>
            </w:r>
          </w:p>
        </w:tc>
        <w:tc>
          <w:tcPr>
            <w:tcW w:w="1334" w:type="dxa"/>
            <w:vAlign w:val="center"/>
          </w:tcPr>
          <w:p w:rsidR="00A46569" w:rsidRDefault="005E777B">
            <w:pPr>
              <w:jc w:val="center"/>
            </w:pPr>
            <w:r>
              <w:rPr>
                <w:color w:val="000000"/>
                <w:sz w:val="24"/>
                <w:szCs w:val="24"/>
              </w:rPr>
              <w:t>000528</w:t>
            </w:r>
          </w:p>
        </w:tc>
        <w:tc>
          <w:tcPr>
            <w:tcW w:w="1777" w:type="dxa"/>
            <w:vAlign w:val="center"/>
          </w:tcPr>
          <w:p w:rsidR="00A46569" w:rsidRDefault="005E777B">
            <w:pPr>
              <w:jc w:val="center"/>
            </w:pPr>
            <w:r>
              <w:rPr>
                <w:color w:val="000000"/>
                <w:sz w:val="24"/>
                <w:szCs w:val="24"/>
              </w:rPr>
              <w:t>柳</w:t>
            </w:r>
            <w:r>
              <w:rPr>
                <w:color w:val="000000"/>
                <w:sz w:val="24"/>
                <w:szCs w:val="24"/>
              </w:rPr>
              <w:t xml:space="preserve">    </w:t>
            </w:r>
            <w:r>
              <w:rPr>
                <w:color w:val="000000"/>
                <w:sz w:val="24"/>
                <w:szCs w:val="24"/>
              </w:rPr>
              <w:t>工</w:t>
            </w:r>
          </w:p>
        </w:tc>
        <w:tc>
          <w:tcPr>
            <w:tcW w:w="1334" w:type="dxa"/>
            <w:vAlign w:val="center"/>
          </w:tcPr>
          <w:p w:rsidR="00A46569" w:rsidRDefault="005E777B">
            <w:pPr>
              <w:jc w:val="right"/>
            </w:pPr>
            <w:r>
              <w:rPr>
                <w:color w:val="000000"/>
                <w:sz w:val="24"/>
                <w:szCs w:val="24"/>
              </w:rPr>
              <w:t>438,637</w:t>
            </w:r>
          </w:p>
        </w:tc>
        <w:tc>
          <w:tcPr>
            <w:tcW w:w="1924" w:type="dxa"/>
            <w:vAlign w:val="center"/>
          </w:tcPr>
          <w:p w:rsidR="00A46569" w:rsidRDefault="005E777B">
            <w:pPr>
              <w:jc w:val="right"/>
            </w:pPr>
            <w:r>
              <w:rPr>
                <w:color w:val="000000"/>
                <w:sz w:val="24"/>
                <w:szCs w:val="24"/>
              </w:rPr>
              <w:t>5,518,053.46</w:t>
            </w:r>
          </w:p>
        </w:tc>
        <w:tc>
          <w:tcPr>
            <w:tcW w:w="1644" w:type="dxa"/>
            <w:vAlign w:val="center"/>
          </w:tcPr>
          <w:p w:rsidR="00A46569" w:rsidRDefault="005E777B">
            <w:pPr>
              <w:jc w:val="right"/>
            </w:pPr>
            <w:r>
              <w:rPr>
                <w:color w:val="000000"/>
                <w:sz w:val="24"/>
                <w:szCs w:val="24"/>
              </w:rPr>
              <w:t>2.70</w:t>
            </w:r>
          </w:p>
        </w:tc>
      </w:tr>
      <w:tr w:rsidR="00A46569">
        <w:trPr>
          <w:jc w:val="center"/>
        </w:trPr>
        <w:tc>
          <w:tcPr>
            <w:tcW w:w="855" w:type="dxa"/>
            <w:vAlign w:val="center"/>
          </w:tcPr>
          <w:p w:rsidR="00A46569" w:rsidRDefault="005E777B">
            <w:pPr>
              <w:jc w:val="center"/>
            </w:pPr>
            <w:r>
              <w:rPr>
                <w:color w:val="000000"/>
                <w:sz w:val="24"/>
                <w:szCs w:val="24"/>
              </w:rPr>
              <w:t>7</w:t>
            </w:r>
          </w:p>
        </w:tc>
        <w:tc>
          <w:tcPr>
            <w:tcW w:w="1334" w:type="dxa"/>
            <w:vAlign w:val="center"/>
          </w:tcPr>
          <w:p w:rsidR="00A46569" w:rsidRDefault="005E777B">
            <w:pPr>
              <w:jc w:val="center"/>
            </w:pPr>
            <w:r>
              <w:rPr>
                <w:color w:val="000000"/>
                <w:sz w:val="24"/>
                <w:szCs w:val="24"/>
              </w:rPr>
              <w:t>600048</w:t>
            </w:r>
          </w:p>
        </w:tc>
        <w:tc>
          <w:tcPr>
            <w:tcW w:w="1777" w:type="dxa"/>
            <w:vAlign w:val="center"/>
          </w:tcPr>
          <w:p w:rsidR="00A46569" w:rsidRDefault="005E777B">
            <w:pPr>
              <w:jc w:val="center"/>
            </w:pPr>
            <w:r>
              <w:rPr>
                <w:color w:val="000000"/>
                <w:sz w:val="24"/>
                <w:szCs w:val="24"/>
              </w:rPr>
              <w:t>保利地产</w:t>
            </w:r>
          </w:p>
        </w:tc>
        <w:tc>
          <w:tcPr>
            <w:tcW w:w="1334" w:type="dxa"/>
            <w:vAlign w:val="center"/>
          </w:tcPr>
          <w:p w:rsidR="00A46569" w:rsidRDefault="005E777B">
            <w:pPr>
              <w:jc w:val="right"/>
            </w:pPr>
            <w:r>
              <w:rPr>
                <w:color w:val="000000"/>
                <w:sz w:val="24"/>
                <w:szCs w:val="24"/>
              </w:rPr>
              <w:t>436,374</w:t>
            </w:r>
          </w:p>
        </w:tc>
        <w:tc>
          <w:tcPr>
            <w:tcW w:w="1924" w:type="dxa"/>
            <w:vAlign w:val="center"/>
          </w:tcPr>
          <w:p w:rsidR="00A46569" w:rsidRDefault="005E777B">
            <w:pPr>
              <w:jc w:val="right"/>
            </w:pPr>
            <w:r>
              <w:rPr>
                <w:color w:val="000000"/>
                <w:sz w:val="24"/>
                <w:szCs w:val="24"/>
              </w:rPr>
              <w:t>4,721,566.68</w:t>
            </w:r>
          </w:p>
        </w:tc>
        <w:tc>
          <w:tcPr>
            <w:tcW w:w="1644" w:type="dxa"/>
            <w:vAlign w:val="center"/>
          </w:tcPr>
          <w:p w:rsidR="00A46569" w:rsidRDefault="005E777B">
            <w:pPr>
              <w:jc w:val="right"/>
            </w:pPr>
            <w:r>
              <w:rPr>
                <w:color w:val="000000"/>
                <w:sz w:val="24"/>
                <w:szCs w:val="24"/>
              </w:rPr>
              <w:t>2.31</w:t>
            </w:r>
          </w:p>
        </w:tc>
      </w:tr>
      <w:tr w:rsidR="00A46569">
        <w:trPr>
          <w:jc w:val="center"/>
        </w:trPr>
        <w:tc>
          <w:tcPr>
            <w:tcW w:w="855" w:type="dxa"/>
            <w:vAlign w:val="center"/>
          </w:tcPr>
          <w:p w:rsidR="00A46569" w:rsidRDefault="005E777B">
            <w:pPr>
              <w:jc w:val="center"/>
            </w:pPr>
            <w:r>
              <w:rPr>
                <w:color w:val="000000"/>
                <w:sz w:val="24"/>
                <w:szCs w:val="24"/>
              </w:rPr>
              <w:t>8</w:t>
            </w:r>
          </w:p>
        </w:tc>
        <w:tc>
          <w:tcPr>
            <w:tcW w:w="1334" w:type="dxa"/>
            <w:vAlign w:val="center"/>
          </w:tcPr>
          <w:p w:rsidR="00A46569" w:rsidRDefault="005E777B">
            <w:pPr>
              <w:jc w:val="center"/>
            </w:pPr>
            <w:r>
              <w:rPr>
                <w:color w:val="000000"/>
                <w:sz w:val="24"/>
                <w:szCs w:val="24"/>
              </w:rPr>
              <w:t>000157</w:t>
            </w:r>
          </w:p>
        </w:tc>
        <w:tc>
          <w:tcPr>
            <w:tcW w:w="1777" w:type="dxa"/>
            <w:vAlign w:val="center"/>
          </w:tcPr>
          <w:p w:rsidR="00A46569" w:rsidRDefault="005E777B">
            <w:pPr>
              <w:jc w:val="center"/>
            </w:pPr>
            <w:r>
              <w:rPr>
                <w:color w:val="000000"/>
                <w:sz w:val="24"/>
                <w:szCs w:val="24"/>
              </w:rPr>
              <w:t>中联重科</w:t>
            </w:r>
          </w:p>
        </w:tc>
        <w:tc>
          <w:tcPr>
            <w:tcW w:w="1334" w:type="dxa"/>
            <w:vAlign w:val="center"/>
          </w:tcPr>
          <w:p w:rsidR="00A46569" w:rsidRDefault="005E777B">
            <w:pPr>
              <w:jc w:val="right"/>
            </w:pPr>
            <w:r>
              <w:rPr>
                <w:color w:val="000000"/>
                <w:sz w:val="24"/>
                <w:szCs w:val="24"/>
              </w:rPr>
              <w:t>636,000</w:t>
            </w:r>
          </w:p>
        </w:tc>
        <w:tc>
          <w:tcPr>
            <w:tcW w:w="1924" w:type="dxa"/>
            <w:vAlign w:val="center"/>
          </w:tcPr>
          <w:p w:rsidR="00A46569" w:rsidRDefault="005E777B">
            <w:pPr>
              <w:jc w:val="right"/>
            </w:pPr>
            <w:r>
              <w:rPr>
                <w:color w:val="000000"/>
                <w:sz w:val="24"/>
                <w:szCs w:val="24"/>
              </w:rPr>
              <w:t>4,490,160.00</w:t>
            </w:r>
          </w:p>
        </w:tc>
        <w:tc>
          <w:tcPr>
            <w:tcW w:w="1644" w:type="dxa"/>
            <w:vAlign w:val="center"/>
          </w:tcPr>
          <w:p w:rsidR="00A46569" w:rsidRDefault="005E777B">
            <w:pPr>
              <w:jc w:val="right"/>
            </w:pPr>
            <w:r>
              <w:rPr>
                <w:color w:val="000000"/>
                <w:sz w:val="24"/>
                <w:szCs w:val="24"/>
              </w:rPr>
              <w:t>2.20</w:t>
            </w:r>
          </w:p>
        </w:tc>
      </w:tr>
      <w:tr w:rsidR="00A46569">
        <w:trPr>
          <w:jc w:val="center"/>
        </w:trPr>
        <w:tc>
          <w:tcPr>
            <w:tcW w:w="855" w:type="dxa"/>
            <w:vAlign w:val="center"/>
          </w:tcPr>
          <w:p w:rsidR="00A46569" w:rsidRDefault="005E777B">
            <w:pPr>
              <w:jc w:val="center"/>
            </w:pPr>
            <w:r>
              <w:rPr>
                <w:color w:val="000000"/>
                <w:sz w:val="24"/>
                <w:szCs w:val="24"/>
              </w:rPr>
              <w:t>9</w:t>
            </w:r>
          </w:p>
        </w:tc>
        <w:tc>
          <w:tcPr>
            <w:tcW w:w="1334" w:type="dxa"/>
            <w:vAlign w:val="center"/>
          </w:tcPr>
          <w:p w:rsidR="00A46569" w:rsidRDefault="005E777B">
            <w:pPr>
              <w:jc w:val="center"/>
            </w:pPr>
            <w:r>
              <w:rPr>
                <w:color w:val="000000"/>
                <w:sz w:val="24"/>
                <w:szCs w:val="24"/>
              </w:rPr>
              <w:t>601336</w:t>
            </w:r>
          </w:p>
        </w:tc>
        <w:tc>
          <w:tcPr>
            <w:tcW w:w="1777" w:type="dxa"/>
            <w:vAlign w:val="center"/>
          </w:tcPr>
          <w:p w:rsidR="00A46569" w:rsidRDefault="005E777B">
            <w:pPr>
              <w:jc w:val="center"/>
            </w:pPr>
            <w:r>
              <w:rPr>
                <w:color w:val="000000"/>
                <w:sz w:val="24"/>
                <w:szCs w:val="24"/>
              </w:rPr>
              <w:t>新华保险</w:t>
            </w:r>
          </w:p>
        </w:tc>
        <w:tc>
          <w:tcPr>
            <w:tcW w:w="1334" w:type="dxa"/>
            <w:vAlign w:val="center"/>
          </w:tcPr>
          <w:p w:rsidR="00A46569" w:rsidRDefault="005E777B">
            <w:pPr>
              <w:jc w:val="right"/>
            </w:pPr>
            <w:r>
              <w:rPr>
                <w:color w:val="000000"/>
                <w:sz w:val="24"/>
                <w:szCs w:val="24"/>
              </w:rPr>
              <w:t>86,846</w:t>
            </w:r>
          </w:p>
        </w:tc>
        <w:tc>
          <w:tcPr>
            <w:tcW w:w="1924" w:type="dxa"/>
            <w:vAlign w:val="center"/>
          </w:tcPr>
          <w:p w:rsidR="00A46569" w:rsidRDefault="005E777B">
            <w:pPr>
              <w:jc w:val="right"/>
            </w:pPr>
            <w:r>
              <w:rPr>
                <w:color w:val="000000"/>
                <w:sz w:val="24"/>
                <w:szCs w:val="24"/>
              </w:rPr>
              <w:t>4,304,087.76</w:t>
            </w:r>
          </w:p>
        </w:tc>
        <w:tc>
          <w:tcPr>
            <w:tcW w:w="1644" w:type="dxa"/>
            <w:vAlign w:val="center"/>
          </w:tcPr>
          <w:p w:rsidR="00A46569" w:rsidRDefault="005E777B">
            <w:pPr>
              <w:jc w:val="right"/>
            </w:pPr>
            <w:r>
              <w:rPr>
                <w:color w:val="000000"/>
                <w:sz w:val="24"/>
                <w:szCs w:val="24"/>
              </w:rPr>
              <w:t>2.11</w:t>
            </w:r>
          </w:p>
        </w:tc>
      </w:tr>
      <w:tr w:rsidR="00A46569">
        <w:trPr>
          <w:jc w:val="center"/>
        </w:trPr>
        <w:tc>
          <w:tcPr>
            <w:tcW w:w="855" w:type="dxa"/>
            <w:vAlign w:val="center"/>
          </w:tcPr>
          <w:p w:rsidR="00A46569" w:rsidRDefault="005E777B">
            <w:pPr>
              <w:jc w:val="center"/>
            </w:pPr>
            <w:r>
              <w:rPr>
                <w:color w:val="000000"/>
                <w:sz w:val="24"/>
                <w:szCs w:val="24"/>
              </w:rPr>
              <w:t>10</w:t>
            </w:r>
          </w:p>
        </w:tc>
        <w:tc>
          <w:tcPr>
            <w:tcW w:w="1334" w:type="dxa"/>
            <w:vAlign w:val="center"/>
          </w:tcPr>
          <w:p w:rsidR="00A46569" w:rsidRDefault="005E777B">
            <w:pPr>
              <w:jc w:val="center"/>
            </w:pPr>
            <w:r>
              <w:rPr>
                <w:color w:val="000000"/>
                <w:sz w:val="24"/>
                <w:szCs w:val="24"/>
              </w:rPr>
              <w:t>601988</w:t>
            </w:r>
          </w:p>
        </w:tc>
        <w:tc>
          <w:tcPr>
            <w:tcW w:w="1777" w:type="dxa"/>
            <w:vAlign w:val="center"/>
          </w:tcPr>
          <w:p w:rsidR="00A46569" w:rsidRDefault="005E777B">
            <w:pPr>
              <w:jc w:val="center"/>
            </w:pPr>
            <w:r>
              <w:rPr>
                <w:color w:val="000000"/>
                <w:sz w:val="24"/>
                <w:szCs w:val="24"/>
              </w:rPr>
              <w:t>中国银行</w:t>
            </w:r>
          </w:p>
        </w:tc>
        <w:tc>
          <w:tcPr>
            <w:tcW w:w="1334" w:type="dxa"/>
            <w:vAlign w:val="center"/>
          </w:tcPr>
          <w:p w:rsidR="00A46569" w:rsidRDefault="005E777B">
            <w:pPr>
              <w:jc w:val="right"/>
            </w:pPr>
            <w:r>
              <w:rPr>
                <w:color w:val="000000"/>
                <w:sz w:val="24"/>
                <w:szCs w:val="24"/>
              </w:rPr>
              <w:t>1,030,300</w:t>
            </w:r>
          </w:p>
        </w:tc>
        <w:tc>
          <w:tcPr>
            <w:tcW w:w="1924" w:type="dxa"/>
            <w:vAlign w:val="center"/>
          </w:tcPr>
          <w:p w:rsidR="00A46569" w:rsidRDefault="005E777B">
            <w:pPr>
              <w:jc w:val="right"/>
            </w:pPr>
            <w:r>
              <w:rPr>
                <w:color w:val="000000"/>
                <w:sz w:val="24"/>
                <w:szCs w:val="24"/>
              </w:rPr>
              <w:t>4,275,745.00</w:t>
            </w:r>
          </w:p>
        </w:tc>
        <w:tc>
          <w:tcPr>
            <w:tcW w:w="1644" w:type="dxa"/>
            <w:vAlign w:val="center"/>
          </w:tcPr>
          <w:p w:rsidR="00A46569" w:rsidRDefault="005E777B">
            <w:pPr>
              <w:jc w:val="right"/>
            </w:pPr>
            <w:r>
              <w:rPr>
                <w:color w:val="000000"/>
                <w:sz w:val="24"/>
                <w:szCs w:val="24"/>
              </w:rPr>
              <w:t>2.09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15,710.03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3,329,022.06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10,135.15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4,531,198.17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7,886,065.41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30,418,962.33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121,707,942.61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28,431,347.52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123,695,557.42</w:t>
            </w:r>
          </w:p>
        </w:tc>
      </w:tr>
    </w:tbl>
    <w:p w:rsidR="00A46569" w:rsidRDefault="005E777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5E77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20,005,300.00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20,005,300.00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16.17</w:t>
            </w:r>
          </w:p>
        </w:tc>
      </w:tr>
    </w:tbl>
    <w:p w:rsidR="00A46569" w:rsidRDefault="005E777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5E77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391B14" w:rsidP="00B30E0C">
      <w:pPr>
        <w:spacing w:before="29" w:line="288" w:lineRule="auto"/>
        <w:rPr>
          <w:color w:val="000000"/>
          <w:sz w:val="24"/>
          <w:szCs w:val="24"/>
        </w:rPr>
      </w:pPr>
      <w:r>
        <w:rPr>
          <w:color w:val="000000"/>
          <w:sz w:val="24"/>
          <w:szCs w:val="24"/>
        </w:rPr>
        <w:t>1</w:t>
      </w:r>
      <w:r>
        <w:rPr>
          <w:rFonts w:hint="eastAsia"/>
          <w:color w:val="000000"/>
          <w:sz w:val="24"/>
          <w:szCs w:val="24"/>
        </w:rPr>
        <w:t>、</w:t>
      </w:r>
      <w:r w:rsidR="004061AC" w:rsidRPr="00414345">
        <w:rPr>
          <w:color w:val="000000"/>
          <w:sz w:val="24"/>
          <w:szCs w:val="24"/>
        </w:rPr>
        <w:t>依据中国证监会《关于进一步规范证券投资基金估值业务的指导意见》（证监会公告</w:t>
      </w:r>
      <w:r w:rsidR="004061AC" w:rsidRPr="00414345">
        <w:rPr>
          <w:color w:val="000000"/>
          <w:sz w:val="24"/>
          <w:szCs w:val="24"/>
        </w:rPr>
        <w:t>[2008]38</w:t>
      </w:r>
      <w:r w:rsidR="004061AC" w:rsidRPr="00414345">
        <w:rPr>
          <w:color w:val="000000"/>
          <w:sz w:val="24"/>
          <w:szCs w:val="24"/>
        </w:rPr>
        <w:t>号）的有关规定和《关于发布中基协（</w:t>
      </w:r>
      <w:r w:rsidR="004061AC" w:rsidRPr="00414345">
        <w:rPr>
          <w:color w:val="000000"/>
          <w:sz w:val="24"/>
          <w:szCs w:val="24"/>
        </w:rPr>
        <w:t>AMAC</w:t>
      </w:r>
      <w:r w:rsidR="004061AC" w:rsidRPr="00414345">
        <w:rPr>
          <w:color w:val="000000"/>
          <w:sz w:val="24"/>
          <w:szCs w:val="24"/>
        </w:rPr>
        <w:t>）基金行业股票估值指数的通知》的指导意见，经与基金托管人协商一致，本基金对其所持有的东华软件（证券代码：</w:t>
      </w:r>
      <w:r w:rsidR="004061AC" w:rsidRPr="00414345">
        <w:rPr>
          <w:color w:val="000000"/>
          <w:sz w:val="24"/>
          <w:szCs w:val="24"/>
        </w:rPr>
        <w:t>002065</w:t>
      </w:r>
      <w:r w:rsidR="004061AC" w:rsidRPr="00414345">
        <w:rPr>
          <w:color w:val="000000"/>
          <w:sz w:val="24"/>
          <w:szCs w:val="24"/>
        </w:rPr>
        <w:t>）股票自</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9</w:t>
      </w:r>
      <w:r w:rsidR="004061AC" w:rsidRPr="00414345">
        <w:rPr>
          <w:color w:val="000000"/>
          <w:sz w:val="24"/>
          <w:szCs w:val="24"/>
        </w:rPr>
        <w:t>月</w:t>
      </w:r>
      <w:r w:rsidR="004061AC" w:rsidRPr="00414345">
        <w:rPr>
          <w:color w:val="000000"/>
          <w:sz w:val="24"/>
          <w:szCs w:val="24"/>
        </w:rPr>
        <w:t>25</w:t>
      </w:r>
      <w:r w:rsidR="004061AC" w:rsidRPr="00414345">
        <w:rPr>
          <w:color w:val="000000"/>
          <w:sz w:val="24"/>
          <w:szCs w:val="24"/>
        </w:rPr>
        <w:t>日起按照指数收益法进行估值，并已于</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11</w:t>
      </w:r>
      <w:r w:rsidR="004061AC" w:rsidRPr="00414345">
        <w:rPr>
          <w:color w:val="000000"/>
          <w:sz w:val="24"/>
          <w:szCs w:val="24"/>
        </w:rPr>
        <w:t>月</w:t>
      </w:r>
      <w:r w:rsidR="004061AC" w:rsidRPr="00414345">
        <w:rPr>
          <w:color w:val="000000"/>
          <w:sz w:val="24"/>
          <w:szCs w:val="24"/>
        </w:rPr>
        <w:t>19</w:t>
      </w:r>
      <w:r w:rsidR="004061AC" w:rsidRPr="00414345">
        <w:rPr>
          <w:color w:val="000000"/>
          <w:sz w:val="24"/>
          <w:szCs w:val="24"/>
        </w:rPr>
        <w:t>日恢复按市场价格进行估值；本基金对其所持有的中航飞机（证券代码：</w:t>
      </w:r>
      <w:r w:rsidR="004061AC" w:rsidRPr="00414345">
        <w:rPr>
          <w:color w:val="000000"/>
          <w:sz w:val="24"/>
          <w:szCs w:val="24"/>
        </w:rPr>
        <w:t>000768</w:t>
      </w:r>
      <w:r w:rsidR="004061AC" w:rsidRPr="00414345">
        <w:rPr>
          <w:color w:val="000000"/>
          <w:sz w:val="24"/>
          <w:szCs w:val="24"/>
        </w:rPr>
        <w:t>）股票自</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10</w:t>
      </w:r>
      <w:r w:rsidR="004061AC" w:rsidRPr="00414345">
        <w:rPr>
          <w:color w:val="000000"/>
          <w:sz w:val="24"/>
          <w:szCs w:val="24"/>
        </w:rPr>
        <w:t>月</w:t>
      </w:r>
      <w:r w:rsidR="004061AC" w:rsidRPr="00414345">
        <w:rPr>
          <w:color w:val="000000"/>
          <w:sz w:val="24"/>
          <w:szCs w:val="24"/>
        </w:rPr>
        <w:t>8</w:t>
      </w:r>
      <w:r w:rsidR="004061AC" w:rsidRPr="00414345">
        <w:rPr>
          <w:color w:val="000000"/>
          <w:sz w:val="24"/>
          <w:szCs w:val="24"/>
        </w:rPr>
        <w:t>日起按照指数收益法进行估值，并已于</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10</w:t>
      </w:r>
      <w:r w:rsidR="004061AC" w:rsidRPr="00414345">
        <w:rPr>
          <w:color w:val="000000"/>
          <w:sz w:val="24"/>
          <w:szCs w:val="24"/>
        </w:rPr>
        <w:t>月</w:t>
      </w:r>
      <w:r w:rsidR="004061AC" w:rsidRPr="00414345">
        <w:rPr>
          <w:color w:val="000000"/>
          <w:sz w:val="24"/>
          <w:szCs w:val="24"/>
        </w:rPr>
        <w:t>17</w:t>
      </w:r>
      <w:r w:rsidR="004061AC" w:rsidRPr="00414345">
        <w:rPr>
          <w:color w:val="000000"/>
          <w:sz w:val="24"/>
          <w:szCs w:val="24"/>
        </w:rPr>
        <w:t>日起恢复按市场价格进行估值；本基金对其所持有的中国南车（证券代码：</w:t>
      </w:r>
      <w:r w:rsidR="004061AC" w:rsidRPr="00414345">
        <w:rPr>
          <w:color w:val="000000"/>
          <w:sz w:val="24"/>
          <w:szCs w:val="24"/>
        </w:rPr>
        <w:t>601766</w:t>
      </w:r>
      <w:r w:rsidR="004061AC" w:rsidRPr="00414345">
        <w:rPr>
          <w:color w:val="000000"/>
          <w:sz w:val="24"/>
          <w:szCs w:val="24"/>
        </w:rPr>
        <w:t>）股票自</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12</w:t>
      </w:r>
      <w:r w:rsidR="004061AC" w:rsidRPr="00414345">
        <w:rPr>
          <w:color w:val="000000"/>
          <w:sz w:val="24"/>
          <w:szCs w:val="24"/>
        </w:rPr>
        <w:t>月</w:t>
      </w:r>
      <w:r w:rsidR="004061AC" w:rsidRPr="00414345">
        <w:rPr>
          <w:color w:val="000000"/>
          <w:sz w:val="24"/>
          <w:szCs w:val="24"/>
        </w:rPr>
        <w:t>8</w:t>
      </w:r>
      <w:r w:rsidR="004061AC" w:rsidRPr="00414345">
        <w:rPr>
          <w:color w:val="000000"/>
          <w:sz w:val="24"/>
          <w:szCs w:val="24"/>
        </w:rPr>
        <w:t>日起按照指数收益法进行估值，并已于</w:t>
      </w:r>
      <w:r w:rsidR="004061AC" w:rsidRPr="00414345">
        <w:rPr>
          <w:color w:val="000000"/>
          <w:sz w:val="24"/>
          <w:szCs w:val="24"/>
        </w:rPr>
        <w:t>2015</w:t>
      </w:r>
      <w:r w:rsidR="004061AC" w:rsidRPr="00414345">
        <w:rPr>
          <w:color w:val="000000"/>
          <w:sz w:val="24"/>
          <w:szCs w:val="24"/>
        </w:rPr>
        <w:t>年</w:t>
      </w:r>
      <w:r w:rsidR="004061AC" w:rsidRPr="00414345">
        <w:rPr>
          <w:color w:val="000000"/>
          <w:sz w:val="24"/>
          <w:szCs w:val="24"/>
        </w:rPr>
        <w:t>1</w:t>
      </w:r>
      <w:r w:rsidR="004061AC" w:rsidRPr="00414345">
        <w:rPr>
          <w:color w:val="000000"/>
          <w:sz w:val="24"/>
          <w:szCs w:val="24"/>
        </w:rPr>
        <w:t>月</w:t>
      </w:r>
      <w:r w:rsidR="004061AC" w:rsidRPr="00414345">
        <w:rPr>
          <w:color w:val="000000"/>
          <w:sz w:val="24"/>
          <w:szCs w:val="24"/>
        </w:rPr>
        <w:t>5</w:t>
      </w:r>
      <w:r w:rsidR="004061AC" w:rsidRPr="00414345">
        <w:rPr>
          <w:color w:val="000000"/>
          <w:sz w:val="24"/>
          <w:szCs w:val="24"/>
        </w:rPr>
        <w:t>日起恢复按市场价格进行估值；本基金对其所持有的龙元建设（证券代码：</w:t>
      </w:r>
      <w:r w:rsidR="004061AC" w:rsidRPr="00414345">
        <w:rPr>
          <w:color w:val="000000"/>
          <w:sz w:val="24"/>
          <w:szCs w:val="24"/>
        </w:rPr>
        <w:t>600491</w:t>
      </w:r>
      <w:r w:rsidR="004061AC" w:rsidRPr="00414345">
        <w:rPr>
          <w:color w:val="000000"/>
          <w:sz w:val="24"/>
          <w:szCs w:val="24"/>
        </w:rPr>
        <w:t>）股票自</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12</w:t>
      </w:r>
      <w:r w:rsidR="004061AC" w:rsidRPr="00414345">
        <w:rPr>
          <w:color w:val="000000"/>
          <w:sz w:val="24"/>
          <w:szCs w:val="24"/>
        </w:rPr>
        <w:t>月</w:t>
      </w:r>
      <w:r w:rsidR="004061AC" w:rsidRPr="00414345">
        <w:rPr>
          <w:color w:val="000000"/>
          <w:sz w:val="24"/>
          <w:szCs w:val="24"/>
        </w:rPr>
        <w:t>19</w:t>
      </w:r>
      <w:r w:rsidR="004061AC" w:rsidRPr="00414345">
        <w:rPr>
          <w:color w:val="000000"/>
          <w:sz w:val="24"/>
          <w:szCs w:val="24"/>
        </w:rPr>
        <w:t>日起按照指数收益法进行估值，并已于</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12</w:t>
      </w:r>
      <w:r w:rsidR="004061AC" w:rsidRPr="00414345">
        <w:rPr>
          <w:color w:val="000000"/>
          <w:sz w:val="24"/>
          <w:szCs w:val="24"/>
        </w:rPr>
        <w:t>月</w:t>
      </w:r>
      <w:r w:rsidR="004061AC" w:rsidRPr="00414345">
        <w:rPr>
          <w:color w:val="000000"/>
          <w:sz w:val="24"/>
          <w:szCs w:val="24"/>
        </w:rPr>
        <w:t>26</w:t>
      </w:r>
      <w:r w:rsidR="004061AC" w:rsidRPr="00414345">
        <w:rPr>
          <w:color w:val="000000"/>
          <w:sz w:val="24"/>
          <w:szCs w:val="24"/>
        </w:rPr>
        <w:t>日起恢复按市场价格进行估值。</w:t>
      </w:r>
    </w:p>
    <w:p w:rsidR="006423B0" w:rsidRDefault="00391B14" w:rsidP="00B30E0C">
      <w:pPr>
        <w:spacing w:before="29" w:line="288" w:lineRule="auto"/>
        <w:rPr>
          <w:color w:val="000000"/>
          <w:sz w:val="24"/>
          <w:szCs w:val="24"/>
        </w:rPr>
      </w:pPr>
      <w:r>
        <w:rPr>
          <w:rFonts w:hint="eastAsia"/>
          <w:color w:val="000000"/>
          <w:sz w:val="24"/>
          <w:szCs w:val="24"/>
        </w:rPr>
        <w:t>2</w:t>
      </w:r>
      <w:r>
        <w:rPr>
          <w:rFonts w:hint="eastAsia"/>
          <w:color w:val="000000"/>
          <w:sz w:val="24"/>
          <w:szCs w:val="24"/>
        </w:rPr>
        <w:t>、</w:t>
      </w:r>
      <w:r w:rsidR="006423B0">
        <w:rPr>
          <w:rFonts w:hint="eastAsia"/>
          <w:color w:val="000000"/>
          <w:sz w:val="24"/>
          <w:szCs w:val="24"/>
        </w:rPr>
        <w:t>本基金托管人</w:t>
      </w:r>
      <w:r w:rsidR="006423B0">
        <w:rPr>
          <w:color w:val="000000"/>
          <w:sz w:val="24"/>
          <w:szCs w:val="24"/>
        </w:rPr>
        <w:t>2014</w:t>
      </w:r>
      <w:r w:rsidR="006423B0">
        <w:rPr>
          <w:rFonts w:hint="eastAsia"/>
          <w:color w:val="000000"/>
          <w:sz w:val="24"/>
          <w:szCs w:val="24"/>
        </w:rPr>
        <w:t>年</w:t>
      </w:r>
      <w:r w:rsidR="00F24A9A">
        <w:rPr>
          <w:color w:val="000000"/>
          <w:sz w:val="24"/>
          <w:szCs w:val="24"/>
        </w:rPr>
        <w:t>11</w:t>
      </w:r>
      <w:r w:rsidR="006423B0">
        <w:rPr>
          <w:rFonts w:hint="eastAsia"/>
          <w:color w:val="000000"/>
          <w:sz w:val="24"/>
          <w:szCs w:val="24"/>
        </w:rPr>
        <w:t>月</w:t>
      </w:r>
      <w:r w:rsidR="00F24A9A">
        <w:rPr>
          <w:color w:val="000000"/>
          <w:sz w:val="24"/>
          <w:szCs w:val="24"/>
        </w:rPr>
        <w:t>3</w:t>
      </w:r>
      <w:bookmarkStart w:id="0" w:name="_GoBack"/>
      <w:bookmarkEnd w:id="0"/>
      <w:r w:rsidR="006423B0">
        <w:rPr>
          <w:rFonts w:hint="eastAsia"/>
          <w:color w:val="000000"/>
          <w:sz w:val="24"/>
          <w:szCs w:val="24"/>
        </w:rPr>
        <w:t>日发布公告，聘任赵观甫为中国建设银行投资托管业务部总经理。</w:t>
      </w:r>
    </w:p>
    <w:p w:rsidR="00ED6E80" w:rsidRPr="006423B0" w:rsidRDefault="00ED6E80" w:rsidP="00C15CAC">
      <w:pPr>
        <w:spacing w:before="29" w:line="288" w:lineRule="auto"/>
        <w:ind w:firstLineChars="200" w:firstLine="480"/>
        <w:rPr>
          <w:color w:val="000000"/>
          <w:sz w:val="24"/>
          <w:szCs w:val="24"/>
        </w:rPr>
      </w:pPr>
    </w:p>
    <w:p w:rsidR="00B22DEE" w:rsidRPr="00E02660" w:rsidRDefault="004061AC" w:rsidP="005E77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A46569" w:rsidRDefault="005E777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、中国证监会核准交银施罗德阿尔法核心股票型证券投资基金募集的文件；</w:t>
      </w:r>
      <w:r>
        <w:rPr>
          <w:color w:val="000000"/>
          <w:sz w:val="24"/>
          <w:szCs w:val="24"/>
        </w:rPr>
        <w:t xml:space="preserve"> </w:t>
      </w:r>
    </w:p>
    <w:p w:rsidR="00A46569" w:rsidRDefault="005E777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、《交银施罗德阿尔法核心股票型证券投资基金基金合同》；</w:t>
      </w:r>
      <w:r>
        <w:rPr>
          <w:color w:val="000000"/>
          <w:sz w:val="24"/>
          <w:szCs w:val="24"/>
        </w:rPr>
        <w:t xml:space="preserve"> </w:t>
      </w:r>
    </w:p>
    <w:p w:rsidR="00A46569" w:rsidRDefault="005E777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、《交银施罗德阿尔法核心股票型证券投资基金招募说明书》；</w:t>
      </w:r>
      <w:r>
        <w:rPr>
          <w:color w:val="000000"/>
          <w:sz w:val="24"/>
          <w:szCs w:val="24"/>
        </w:rPr>
        <w:t xml:space="preserve"> </w:t>
      </w:r>
    </w:p>
    <w:p w:rsidR="00A46569" w:rsidRDefault="005E777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、《交银施罗德阿尔法核心股票型证券投资基金托管协议》；</w:t>
      </w:r>
    </w:p>
    <w:p w:rsidR="00A46569" w:rsidRDefault="005E777B">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、关于募集交银施罗德阿尔法核心股票型证券投资基金之法律意见书；</w:t>
      </w:r>
    </w:p>
    <w:p w:rsidR="00A46569" w:rsidRDefault="005E777B">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A46569" w:rsidRDefault="005E777B">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、报告期内交银施罗德阿尔法核心股票型证券投资基金在指定报刊上各项公告的原稿。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A46569" w:rsidRDefault="005E777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349" w:rsidRDefault="00583349" w:rsidP="00876D65">
      <w:r>
        <w:separator/>
      </w:r>
    </w:p>
  </w:endnote>
  <w:endnote w:type="continuationSeparator" w:id="0">
    <w:p w:rsidR="00583349" w:rsidRDefault="0058334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A46569">
      <w:rPr>
        <w:kern w:val="0"/>
        <w:szCs w:val="21"/>
      </w:rPr>
      <w:fldChar w:fldCharType="begin"/>
    </w:r>
    <w:r>
      <w:rPr>
        <w:kern w:val="0"/>
        <w:szCs w:val="21"/>
      </w:rPr>
      <w:instrText xml:space="preserve"> PAGE </w:instrText>
    </w:r>
    <w:r w:rsidR="00A46569">
      <w:rPr>
        <w:kern w:val="0"/>
        <w:szCs w:val="21"/>
      </w:rPr>
      <w:fldChar w:fldCharType="separate"/>
    </w:r>
    <w:r w:rsidR="00F24A9A">
      <w:rPr>
        <w:noProof/>
        <w:kern w:val="0"/>
        <w:szCs w:val="21"/>
      </w:rPr>
      <w:t>10</w:t>
    </w:r>
    <w:r w:rsidR="00A46569">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A46569">
      <w:rPr>
        <w:kern w:val="0"/>
        <w:szCs w:val="21"/>
      </w:rPr>
      <w:fldChar w:fldCharType="begin"/>
    </w:r>
    <w:r>
      <w:rPr>
        <w:kern w:val="0"/>
        <w:szCs w:val="21"/>
      </w:rPr>
      <w:instrText xml:space="preserve"> NUMPAGES </w:instrText>
    </w:r>
    <w:r w:rsidR="00A46569">
      <w:rPr>
        <w:kern w:val="0"/>
        <w:szCs w:val="21"/>
      </w:rPr>
      <w:fldChar w:fldCharType="separate"/>
    </w:r>
    <w:r w:rsidR="00F24A9A">
      <w:rPr>
        <w:noProof/>
        <w:kern w:val="0"/>
        <w:szCs w:val="21"/>
      </w:rPr>
      <w:t>11</w:t>
    </w:r>
    <w:r w:rsidR="00A46569">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349" w:rsidRDefault="00583349" w:rsidP="00876D65">
      <w:r>
        <w:separator/>
      </w:r>
    </w:p>
  </w:footnote>
  <w:footnote w:type="continuationSeparator" w:id="0">
    <w:p w:rsidR="00583349" w:rsidRDefault="0058334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1B14"/>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3349"/>
    <w:rsid w:val="00585263"/>
    <w:rsid w:val="005866D3"/>
    <w:rsid w:val="0059076B"/>
    <w:rsid w:val="005910BF"/>
    <w:rsid w:val="005A0F1F"/>
    <w:rsid w:val="005A6675"/>
    <w:rsid w:val="005B09FA"/>
    <w:rsid w:val="005B2E9C"/>
    <w:rsid w:val="005B3CC0"/>
    <w:rsid w:val="005B4F93"/>
    <w:rsid w:val="005B73D2"/>
    <w:rsid w:val="005D2B36"/>
    <w:rsid w:val="005E475E"/>
    <w:rsid w:val="005E777B"/>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23B0"/>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9CC"/>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46569"/>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0E0C"/>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A9A"/>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30AD657-FFA4-4ACE-9BD9-0C5F0D98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3245">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187835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671AE-0C61-4086-9C1C-F79B160C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11</Pages>
  <Words>1078</Words>
  <Characters>6151</Characters>
  <Application>Microsoft Office Word</Application>
  <DocSecurity>0</DocSecurity>
  <Lines>51</Lines>
  <Paragraphs>14</Paragraphs>
  <ScaleCrop>false</ScaleCrop>
  <Company/>
  <LinksUpToDate>false</LinksUpToDate>
  <CharactersWithSpaces>7215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563</cp:revision>
  <dcterms:created xsi:type="dcterms:W3CDTF">2012-10-16T06:07:00Z</dcterms:created>
  <dcterms:modified xsi:type="dcterms:W3CDTF">2015-01-20T06:49:00Z</dcterms:modified>
</cp:coreProperties>
</file>