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交银施罗德荣安保本混合型证券投资基金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201333">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149F7" w:rsidRDefault="00F5457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149F7" w:rsidRDefault="00F54571">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149F7" w:rsidRDefault="00F5457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149F7" w:rsidRDefault="00F5457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149F7" w:rsidRDefault="00F5457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20133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交银荣安保本混合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754,326,864.01</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本基金在追求保本周期到期时本金安全的基础上，通过稳健资产与风险资产的动态配置和有效的组合管理，力争实现保本周期内基金资产的稳定增长。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20133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54571" w:rsidRPr="00414345" w:rsidTr="00F5457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54571" w:rsidRPr="00414345" w:rsidTr="00F545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73,102,936.44</w:t>
            </w:r>
          </w:p>
        </w:tc>
      </w:tr>
      <w:tr w:rsidR="00F54571" w:rsidRPr="00414345" w:rsidTr="00F545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80,281,899.55</w:t>
            </w:r>
          </w:p>
        </w:tc>
      </w:tr>
      <w:tr w:rsidR="00F54571" w:rsidRPr="00414345" w:rsidTr="00F545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0.1023</w:t>
            </w:r>
          </w:p>
        </w:tc>
      </w:tr>
      <w:tr w:rsidR="00F54571" w:rsidRPr="00414345" w:rsidTr="00F5457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853,166,701.46</w:t>
            </w:r>
          </w:p>
        </w:tc>
      </w:tr>
      <w:tr w:rsidR="00F54571" w:rsidRPr="00414345" w:rsidTr="00F5457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1.131</w:t>
            </w:r>
          </w:p>
        </w:tc>
      </w:tr>
    </w:tbl>
    <w:p w:rsidR="00C149F7" w:rsidRDefault="00F545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149F7">
        <w:trPr>
          <w:jc w:val="center"/>
        </w:trPr>
        <w:tc>
          <w:tcPr>
            <w:tcW w:w="1701" w:type="dxa"/>
            <w:vAlign w:val="center"/>
          </w:tcPr>
          <w:p w:rsidR="00C149F7" w:rsidRDefault="00F54571">
            <w:pPr>
              <w:jc w:val="left"/>
            </w:pPr>
            <w:r>
              <w:rPr>
                <w:color w:val="000000"/>
                <w:sz w:val="24"/>
                <w:szCs w:val="24"/>
              </w:rPr>
              <w:t>过去三个月</w:t>
            </w:r>
          </w:p>
        </w:tc>
        <w:tc>
          <w:tcPr>
            <w:tcW w:w="1045" w:type="dxa"/>
            <w:vAlign w:val="center"/>
          </w:tcPr>
          <w:p w:rsidR="00C149F7" w:rsidRDefault="00F54571">
            <w:pPr>
              <w:jc w:val="center"/>
            </w:pPr>
            <w:r>
              <w:rPr>
                <w:color w:val="000000"/>
                <w:sz w:val="24"/>
                <w:szCs w:val="24"/>
              </w:rPr>
              <w:t>10.00%</w:t>
            </w:r>
          </w:p>
        </w:tc>
        <w:tc>
          <w:tcPr>
            <w:tcW w:w="1344" w:type="dxa"/>
            <w:vAlign w:val="center"/>
          </w:tcPr>
          <w:p w:rsidR="00C149F7" w:rsidRDefault="00F54571">
            <w:pPr>
              <w:jc w:val="center"/>
            </w:pPr>
            <w:r>
              <w:rPr>
                <w:color w:val="000000"/>
                <w:sz w:val="24"/>
                <w:szCs w:val="24"/>
              </w:rPr>
              <w:t>0.62%</w:t>
            </w:r>
          </w:p>
        </w:tc>
        <w:tc>
          <w:tcPr>
            <w:tcW w:w="1194" w:type="dxa"/>
            <w:vAlign w:val="center"/>
          </w:tcPr>
          <w:p w:rsidR="00C149F7" w:rsidRDefault="00F54571">
            <w:pPr>
              <w:jc w:val="center"/>
            </w:pPr>
            <w:r>
              <w:rPr>
                <w:color w:val="000000"/>
                <w:sz w:val="24"/>
                <w:szCs w:val="24"/>
              </w:rPr>
              <w:t>1.06%</w:t>
            </w:r>
          </w:p>
        </w:tc>
        <w:tc>
          <w:tcPr>
            <w:tcW w:w="1492" w:type="dxa"/>
            <w:vAlign w:val="center"/>
          </w:tcPr>
          <w:p w:rsidR="00C149F7" w:rsidRDefault="00F54571">
            <w:pPr>
              <w:jc w:val="center"/>
            </w:pPr>
            <w:r>
              <w:rPr>
                <w:color w:val="000000"/>
                <w:sz w:val="24"/>
                <w:szCs w:val="24"/>
              </w:rPr>
              <w:t>0.01%</w:t>
            </w:r>
          </w:p>
        </w:tc>
        <w:tc>
          <w:tcPr>
            <w:tcW w:w="1194" w:type="dxa"/>
            <w:vAlign w:val="center"/>
          </w:tcPr>
          <w:p w:rsidR="00C149F7" w:rsidRDefault="00F54571">
            <w:pPr>
              <w:jc w:val="center"/>
            </w:pPr>
            <w:r>
              <w:rPr>
                <w:color w:val="000000"/>
                <w:sz w:val="24"/>
                <w:szCs w:val="24"/>
              </w:rPr>
              <w:t>8.94%</w:t>
            </w:r>
          </w:p>
        </w:tc>
        <w:tc>
          <w:tcPr>
            <w:tcW w:w="898" w:type="dxa"/>
            <w:vAlign w:val="center"/>
          </w:tcPr>
          <w:p w:rsidR="00C149F7" w:rsidRDefault="00F54571">
            <w:pPr>
              <w:jc w:val="center"/>
            </w:pPr>
            <w:r>
              <w:rPr>
                <w:color w:val="000000"/>
                <w:sz w:val="24"/>
                <w:szCs w:val="24"/>
              </w:rPr>
              <w:t>0.61%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交银施罗德荣安保本混合型证券投资基金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20133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149F7">
        <w:trPr>
          <w:jc w:val="center"/>
        </w:trPr>
        <w:tc>
          <w:tcPr>
            <w:tcW w:w="846" w:type="dxa"/>
            <w:vAlign w:val="center"/>
          </w:tcPr>
          <w:p w:rsidR="00C149F7" w:rsidRDefault="00F54571">
            <w:pPr>
              <w:jc w:val="center"/>
            </w:pPr>
            <w:r>
              <w:rPr>
                <w:color w:val="000000"/>
                <w:sz w:val="24"/>
                <w:szCs w:val="24"/>
              </w:rPr>
              <w:t>项廷锋</w:t>
            </w:r>
          </w:p>
        </w:tc>
        <w:tc>
          <w:tcPr>
            <w:tcW w:w="845" w:type="dxa"/>
            <w:vAlign w:val="center"/>
          </w:tcPr>
          <w:p w:rsidR="00C149F7" w:rsidRDefault="00F54571">
            <w:pPr>
              <w:jc w:val="center"/>
            </w:pPr>
            <w:r>
              <w:rPr>
                <w:color w:val="000000"/>
                <w:sz w:val="24"/>
                <w:szCs w:val="24"/>
              </w:rPr>
              <w:t>本基金、交银双利债券、交银荣祥保本混合、交银荣泰保本混合、交银周期回报灵活配置混合的基金经理，公司投资总监</w:t>
            </w:r>
          </w:p>
        </w:tc>
        <w:tc>
          <w:tcPr>
            <w:tcW w:w="1549" w:type="dxa"/>
            <w:vAlign w:val="center"/>
          </w:tcPr>
          <w:p w:rsidR="00C149F7" w:rsidRDefault="00F54571">
            <w:pPr>
              <w:jc w:val="center"/>
            </w:pPr>
            <w:r>
              <w:rPr>
                <w:color w:val="000000"/>
                <w:sz w:val="24"/>
                <w:szCs w:val="24"/>
              </w:rPr>
              <w:t>2012-06-20</w:t>
            </w:r>
          </w:p>
        </w:tc>
        <w:tc>
          <w:tcPr>
            <w:tcW w:w="1548" w:type="dxa"/>
            <w:vAlign w:val="center"/>
          </w:tcPr>
          <w:p w:rsidR="00C149F7" w:rsidRDefault="00F54571">
            <w:pPr>
              <w:jc w:val="center"/>
            </w:pPr>
            <w:r>
              <w:rPr>
                <w:color w:val="000000"/>
                <w:sz w:val="24"/>
                <w:szCs w:val="24"/>
              </w:rPr>
              <w:t>-</w:t>
            </w:r>
          </w:p>
        </w:tc>
        <w:tc>
          <w:tcPr>
            <w:tcW w:w="1407" w:type="dxa"/>
            <w:vAlign w:val="center"/>
          </w:tcPr>
          <w:p w:rsidR="00C149F7" w:rsidRDefault="00F54571">
            <w:pPr>
              <w:jc w:val="center"/>
            </w:pPr>
            <w:r>
              <w:rPr>
                <w:color w:val="000000"/>
                <w:sz w:val="24"/>
                <w:szCs w:val="24"/>
              </w:rPr>
              <w:t>15</w:t>
            </w:r>
            <w:r>
              <w:rPr>
                <w:color w:val="000000"/>
                <w:sz w:val="24"/>
                <w:szCs w:val="24"/>
              </w:rPr>
              <w:t>年</w:t>
            </w:r>
          </w:p>
        </w:tc>
        <w:tc>
          <w:tcPr>
            <w:tcW w:w="2673" w:type="dxa"/>
            <w:vAlign w:val="center"/>
          </w:tcPr>
          <w:p w:rsidR="00C149F7" w:rsidRDefault="00F54571">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149F7" w:rsidRDefault="00F5457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149F7" w:rsidRDefault="00F5457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149F7" w:rsidRDefault="00F5457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149F7" w:rsidRDefault="00F54571">
      <w:pPr>
        <w:spacing w:before="29" w:line="288" w:lineRule="auto"/>
        <w:ind w:firstLineChars="200" w:firstLine="480"/>
        <w:rPr>
          <w:color w:val="000000"/>
          <w:sz w:val="24"/>
          <w:szCs w:val="24"/>
        </w:rPr>
      </w:pPr>
      <w:r>
        <w:rPr>
          <w:color w:val="000000"/>
          <w:sz w:val="24"/>
          <w:szCs w:val="24"/>
        </w:rPr>
        <w:t>本报告期内，随着改革的持续升温和市场建设的实质性推进，具有</w:t>
      </w:r>
      <w:r>
        <w:rPr>
          <w:color w:val="000000"/>
          <w:sz w:val="24"/>
          <w:szCs w:val="24"/>
        </w:rPr>
        <w:t>“</w:t>
      </w:r>
      <w:r>
        <w:rPr>
          <w:color w:val="000000"/>
          <w:sz w:val="24"/>
          <w:szCs w:val="24"/>
        </w:rPr>
        <w:t>罕见投资价值</w:t>
      </w:r>
      <w:r>
        <w:rPr>
          <w:color w:val="000000"/>
          <w:sz w:val="24"/>
          <w:szCs w:val="24"/>
        </w:rPr>
        <w:t>”</w:t>
      </w:r>
      <w:r>
        <w:rPr>
          <w:color w:val="000000"/>
          <w:sz w:val="24"/>
          <w:szCs w:val="24"/>
        </w:rPr>
        <w:t>的蓝筹股迎来了一轮报复性的估值修复行情，上证综指上涨</w:t>
      </w:r>
      <w:r>
        <w:rPr>
          <w:color w:val="000000"/>
          <w:sz w:val="24"/>
          <w:szCs w:val="24"/>
        </w:rPr>
        <w:t>36.84%</w:t>
      </w:r>
      <w:r>
        <w:rPr>
          <w:color w:val="000000"/>
          <w:sz w:val="24"/>
          <w:szCs w:val="24"/>
        </w:rPr>
        <w:t>。与此同时，创业板、中小板股票开始价值回归，创业板指数和中小板指数分别下跌了</w:t>
      </w:r>
      <w:r>
        <w:rPr>
          <w:color w:val="000000"/>
          <w:sz w:val="24"/>
          <w:szCs w:val="24"/>
        </w:rPr>
        <w:t>4.49%</w:t>
      </w:r>
      <w:r>
        <w:rPr>
          <w:color w:val="000000"/>
          <w:sz w:val="24"/>
          <w:szCs w:val="24"/>
        </w:rPr>
        <w:t>和</w:t>
      </w:r>
      <w:r>
        <w:rPr>
          <w:color w:val="000000"/>
          <w:sz w:val="24"/>
          <w:szCs w:val="24"/>
        </w:rPr>
        <w:t>2.56%</w:t>
      </w:r>
      <w:r>
        <w:rPr>
          <w:color w:val="000000"/>
          <w:sz w:val="24"/>
          <w:szCs w:val="24"/>
        </w:rPr>
        <w:t>，蓝筹股表现出了一定的相对价值。</w:t>
      </w:r>
    </w:p>
    <w:p w:rsidR="00C149F7" w:rsidRDefault="00F54571">
      <w:pPr>
        <w:spacing w:before="29" w:line="288" w:lineRule="auto"/>
        <w:ind w:firstLineChars="200" w:firstLine="480"/>
        <w:rPr>
          <w:color w:val="000000"/>
          <w:sz w:val="24"/>
          <w:szCs w:val="24"/>
        </w:rPr>
      </w:pPr>
      <w:r>
        <w:rPr>
          <w:color w:val="000000"/>
          <w:sz w:val="24"/>
          <w:szCs w:val="24"/>
        </w:rPr>
        <w:t>债券市场方面，央行降息后银行纷纷上调上浮比例使得实际揽存利率不降反升，债券收益率尤其是信用债收益率也已回到降息之前的水平，如降息前</w:t>
      </w:r>
      <w:r>
        <w:rPr>
          <w:color w:val="000000"/>
          <w:sz w:val="24"/>
          <w:szCs w:val="24"/>
        </w:rPr>
        <w:t>5</w:t>
      </w:r>
      <w:r>
        <w:rPr>
          <w:color w:val="000000"/>
          <w:sz w:val="24"/>
          <w:szCs w:val="24"/>
        </w:rPr>
        <w:t>年期</w:t>
      </w:r>
      <w:r>
        <w:rPr>
          <w:color w:val="000000"/>
          <w:sz w:val="24"/>
          <w:szCs w:val="24"/>
        </w:rPr>
        <w:t>AAA</w:t>
      </w:r>
      <w:r>
        <w:rPr>
          <w:color w:val="000000"/>
          <w:sz w:val="24"/>
          <w:szCs w:val="24"/>
        </w:rPr>
        <w:t>的企业债收益率为</w:t>
      </w:r>
      <w:r>
        <w:rPr>
          <w:color w:val="000000"/>
          <w:sz w:val="24"/>
          <w:szCs w:val="24"/>
        </w:rPr>
        <w:t>4.69%</w:t>
      </w:r>
      <w:r>
        <w:rPr>
          <w:color w:val="000000"/>
          <w:sz w:val="24"/>
          <w:szCs w:val="24"/>
        </w:rPr>
        <w:t>，年底上升到</w:t>
      </w:r>
      <w:r>
        <w:rPr>
          <w:color w:val="000000"/>
          <w:sz w:val="24"/>
          <w:szCs w:val="24"/>
        </w:rPr>
        <w:t>4.81%</w:t>
      </w:r>
      <w:r>
        <w:rPr>
          <w:color w:val="000000"/>
          <w:sz w:val="24"/>
          <w:szCs w:val="24"/>
        </w:rPr>
        <w:t>，充分表明在系列结构性问题解决前，社会融资成本已难以实质性下降。而持续上涨大半年时间已偏低的整体收益率和较高的杠杆运用，使得流动性风险暂成债券投资者需要面临和解决的主要问题。</w:t>
      </w:r>
    </w:p>
    <w:p w:rsidR="00C149F7" w:rsidRDefault="00F54571">
      <w:pPr>
        <w:spacing w:before="29" w:line="288" w:lineRule="auto"/>
        <w:ind w:firstLineChars="200" w:firstLine="480"/>
        <w:rPr>
          <w:color w:val="000000"/>
          <w:sz w:val="24"/>
          <w:szCs w:val="24"/>
        </w:rPr>
      </w:pPr>
      <w:r>
        <w:rPr>
          <w:color w:val="000000"/>
          <w:sz w:val="24"/>
          <w:szCs w:val="24"/>
        </w:rPr>
        <w:t>就组合管理而言，策略上逐步加大了蓝筹类股票的配置，但对蓝筹股的估值修复行情预期不足，从而影响了基金净值表现。债券投资方面，鉴于本基金还有半年时间将结束第一个保本周期，策略上增加了协议存款的配置比例。</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一季度，鉴于蓝筹股的报复性反弹、创业板与中小板股票的价值回归，两者估值上的差异是否会继续强化，将更多取决于基本面，策略上需要精选个股。债券市场方面，我们总体持中性偏乐观的观点，策略上需密切关注股票市场融资、再融资引致的风险与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00F54571">
        <w:rPr>
          <w:rFonts w:hint="eastAsia"/>
          <w:color w:val="000000"/>
          <w:sz w:val="24"/>
          <w:szCs w:val="24"/>
        </w:rPr>
        <w:t>12</w:t>
      </w:r>
      <w:r w:rsidRPr="00414345">
        <w:rPr>
          <w:color w:val="000000"/>
          <w:sz w:val="24"/>
          <w:szCs w:val="24"/>
        </w:rPr>
        <w:t>月</w:t>
      </w:r>
      <w:r w:rsidR="00F54571">
        <w:rPr>
          <w:rFonts w:hint="eastAsia"/>
          <w:color w:val="000000"/>
          <w:sz w:val="24"/>
          <w:szCs w:val="24"/>
        </w:rPr>
        <w:t>31</w:t>
      </w:r>
      <w:r w:rsidRPr="00414345">
        <w:rPr>
          <w:color w:val="000000"/>
          <w:sz w:val="24"/>
          <w:szCs w:val="24"/>
        </w:rPr>
        <w:t>日，本基金份额净值为</w:t>
      </w:r>
      <w:r w:rsidRPr="00414345">
        <w:rPr>
          <w:color w:val="000000"/>
          <w:sz w:val="24"/>
          <w:szCs w:val="24"/>
        </w:rPr>
        <w:t>1.</w:t>
      </w:r>
      <w:r w:rsidR="00F54571">
        <w:rPr>
          <w:rFonts w:hint="eastAsia"/>
          <w:color w:val="000000"/>
          <w:sz w:val="24"/>
          <w:szCs w:val="24"/>
        </w:rPr>
        <w:t>131</w:t>
      </w:r>
      <w:r w:rsidRPr="00414345">
        <w:rPr>
          <w:color w:val="000000"/>
          <w:sz w:val="24"/>
          <w:szCs w:val="24"/>
        </w:rPr>
        <w:t>元，本报告期份额净值增长率为</w:t>
      </w:r>
      <w:r w:rsidR="00446784">
        <w:rPr>
          <w:rFonts w:hint="eastAsia"/>
          <w:color w:val="000000"/>
          <w:sz w:val="24"/>
          <w:szCs w:val="24"/>
        </w:rPr>
        <w:t>10.00</w:t>
      </w:r>
      <w:r w:rsidRPr="00414345">
        <w:rPr>
          <w:color w:val="000000"/>
          <w:sz w:val="24"/>
          <w:szCs w:val="24"/>
        </w:rPr>
        <w:t>%</w:t>
      </w:r>
      <w:r w:rsidRPr="00414345">
        <w:rPr>
          <w:color w:val="000000"/>
          <w:sz w:val="24"/>
          <w:szCs w:val="24"/>
        </w:rPr>
        <w:t>，同期业绩比较基准增长率为</w:t>
      </w:r>
      <w:r w:rsidRPr="00414345">
        <w:rPr>
          <w:color w:val="000000"/>
          <w:sz w:val="24"/>
          <w:szCs w:val="24"/>
        </w:rPr>
        <w:t>1.0</w:t>
      </w:r>
      <w:r w:rsidR="00446784">
        <w:rPr>
          <w:rFonts w:hint="eastAsia"/>
          <w:color w:val="000000"/>
          <w:sz w:val="24"/>
          <w:szCs w:val="24"/>
        </w:rPr>
        <w:t>6</w:t>
      </w:r>
      <w:r w:rsidRPr="00414345">
        <w:rPr>
          <w:color w:val="000000"/>
          <w:sz w:val="24"/>
          <w:szCs w:val="24"/>
        </w:rPr>
        <w:t>%</w:t>
      </w:r>
      <w:r w:rsidRPr="00414345">
        <w:rPr>
          <w:color w:val="000000"/>
          <w:sz w:val="24"/>
          <w:szCs w:val="24"/>
        </w:rPr>
        <w:t>。</w:t>
      </w:r>
    </w:p>
    <w:p w:rsidR="00446784" w:rsidRDefault="00446784" w:rsidP="00C15CAC">
      <w:pPr>
        <w:spacing w:before="29" w:line="288" w:lineRule="auto"/>
        <w:ind w:firstLineChars="200" w:firstLine="480"/>
        <w:rPr>
          <w:color w:val="000000"/>
          <w:sz w:val="24"/>
          <w:szCs w:val="24"/>
        </w:rPr>
      </w:pPr>
    </w:p>
    <w:p w:rsidR="00446784" w:rsidRPr="002070B4" w:rsidRDefault="00446784" w:rsidP="0044678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Pr>
          <w:rFonts w:hint="eastAsia"/>
          <w:b/>
          <w:color w:val="000000"/>
          <w:kern w:val="0"/>
          <w:sz w:val="24"/>
        </w:rPr>
        <w:t xml:space="preserve"> </w:t>
      </w:r>
      <w:r w:rsidRPr="002070B4">
        <w:rPr>
          <w:rFonts w:hint="eastAsia"/>
          <w:b/>
          <w:color w:val="000000"/>
          <w:kern w:val="0"/>
          <w:sz w:val="24"/>
        </w:rPr>
        <w:t>报告期内基金持有人数或基金资产净值预警说明</w:t>
      </w:r>
    </w:p>
    <w:p w:rsidR="00446784" w:rsidRPr="00414345" w:rsidRDefault="00446784" w:rsidP="00446784">
      <w:pPr>
        <w:spacing w:before="29" w:line="288" w:lineRule="auto"/>
        <w:ind w:firstLineChars="200" w:firstLine="480"/>
        <w:rPr>
          <w:color w:val="000000"/>
          <w:sz w:val="24"/>
          <w:szCs w:val="24"/>
        </w:rPr>
      </w:pPr>
      <w:r w:rsidRPr="002070B4">
        <w:rPr>
          <w:color w:val="000000"/>
          <w:sz w:val="24"/>
        </w:rPr>
        <w:t>本基金本报告期内无需预警说明。</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20133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303,997,907.14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34.71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303,997,907.14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34.71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197,212,918.80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197,212,918.80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22.52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128,999,113.50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14.73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238,354,647.48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7,244,723.19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0.83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875,809,310.11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1,693,000.00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142,619,423.96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15,552,263.94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15,288,799.90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5,355,500.00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5,421,000.00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0.29</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7,009,800.00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69,473,670.00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29,859,929.34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913,520.00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303,997,907.14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149F7">
        <w:trPr>
          <w:jc w:val="center"/>
        </w:trPr>
        <w:tc>
          <w:tcPr>
            <w:tcW w:w="855" w:type="dxa"/>
            <w:vAlign w:val="center"/>
          </w:tcPr>
          <w:p w:rsidR="00C149F7" w:rsidRDefault="00F54571">
            <w:pPr>
              <w:jc w:val="center"/>
            </w:pPr>
            <w:r>
              <w:rPr>
                <w:color w:val="000000"/>
                <w:sz w:val="24"/>
                <w:szCs w:val="24"/>
              </w:rPr>
              <w:t>1</w:t>
            </w:r>
          </w:p>
        </w:tc>
        <w:tc>
          <w:tcPr>
            <w:tcW w:w="1334" w:type="dxa"/>
            <w:vAlign w:val="center"/>
          </w:tcPr>
          <w:p w:rsidR="00C149F7" w:rsidRDefault="00F54571">
            <w:pPr>
              <w:jc w:val="center"/>
            </w:pPr>
            <w:r>
              <w:rPr>
                <w:color w:val="000000"/>
                <w:sz w:val="24"/>
                <w:szCs w:val="24"/>
              </w:rPr>
              <w:t>601688</w:t>
            </w:r>
          </w:p>
        </w:tc>
        <w:tc>
          <w:tcPr>
            <w:tcW w:w="1777" w:type="dxa"/>
            <w:vAlign w:val="center"/>
          </w:tcPr>
          <w:p w:rsidR="00C149F7" w:rsidRDefault="00F54571">
            <w:pPr>
              <w:jc w:val="center"/>
            </w:pPr>
            <w:r>
              <w:rPr>
                <w:color w:val="000000"/>
                <w:sz w:val="24"/>
                <w:szCs w:val="24"/>
              </w:rPr>
              <w:t>华泰证券</w:t>
            </w:r>
          </w:p>
        </w:tc>
        <w:tc>
          <w:tcPr>
            <w:tcW w:w="1334" w:type="dxa"/>
            <w:vAlign w:val="center"/>
          </w:tcPr>
          <w:p w:rsidR="00C149F7" w:rsidRDefault="00F54571">
            <w:pPr>
              <w:jc w:val="right"/>
            </w:pPr>
            <w:r>
              <w:rPr>
                <w:color w:val="000000"/>
                <w:sz w:val="24"/>
                <w:szCs w:val="24"/>
              </w:rPr>
              <w:t>900,000</w:t>
            </w:r>
          </w:p>
        </w:tc>
        <w:tc>
          <w:tcPr>
            <w:tcW w:w="1924" w:type="dxa"/>
            <w:vAlign w:val="center"/>
          </w:tcPr>
          <w:p w:rsidR="00C149F7" w:rsidRDefault="00F54571">
            <w:pPr>
              <w:jc w:val="right"/>
            </w:pPr>
            <w:r>
              <w:rPr>
                <w:color w:val="000000"/>
                <w:sz w:val="24"/>
                <w:szCs w:val="24"/>
              </w:rPr>
              <w:t>22,023,000.00</w:t>
            </w:r>
          </w:p>
        </w:tc>
        <w:tc>
          <w:tcPr>
            <w:tcW w:w="1644" w:type="dxa"/>
            <w:vAlign w:val="center"/>
          </w:tcPr>
          <w:p w:rsidR="00C149F7" w:rsidRDefault="00F54571">
            <w:pPr>
              <w:jc w:val="right"/>
            </w:pPr>
            <w:r>
              <w:rPr>
                <w:color w:val="000000"/>
                <w:sz w:val="24"/>
                <w:szCs w:val="24"/>
              </w:rPr>
              <w:t>2.58</w:t>
            </w:r>
          </w:p>
        </w:tc>
      </w:tr>
      <w:tr w:rsidR="00C149F7">
        <w:trPr>
          <w:jc w:val="center"/>
        </w:trPr>
        <w:tc>
          <w:tcPr>
            <w:tcW w:w="855" w:type="dxa"/>
            <w:vAlign w:val="center"/>
          </w:tcPr>
          <w:p w:rsidR="00C149F7" w:rsidRDefault="00F54571">
            <w:pPr>
              <w:jc w:val="center"/>
            </w:pPr>
            <w:r>
              <w:rPr>
                <w:color w:val="000000"/>
                <w:sz w:val="24"/>
                <w:szCs w:val="24"/>
              </w:rPr>
              <w:t>2</w:t>
            </w:r>
          </w:p>
        </w:tc>
        <w:tc>
          <w:tcPr>
            <w:tcW w:w="1334" w:type="dxa"/>
            <w:vAlign w:val="center"/>
          </w:tcPr>
          <w:p w:rsidR="00C149F7" w:rsidRDefault="00F54571">
            <w:pPr>
              <w:jc w:val="center"/>
            </w:pPr>
            <w:r>
              <w:rPr>
                <w:color w:val="000000"/>
                <w:sz w:val="24"/>
                <w:szCs w:val="24"/>
              </w:rPr>
              <w:t>000783</w:t>
            </w:r>
          </w:p>
        </w:tc>
        <w:tc>
          <w:tcPr>
            <w:tcW w:w="1777" w:type="dxa"/>
            <w:vAlign w:val="center"/>
          </w:tcPr>
          <w:p w:rsidR="00C149F7" w:rsidRDefault="00F54571">
            <w:pPr>
              <w:jc w:val="center"/>
            </w:pPr>
            <w:r>
              <w:rPr>
                <w:color w:val="000000"/>
                <w:sz w:val="24"/>
                <w:szCs w:val="24"/>
              </w:rPr>
              <w:t>长江证券</w:t>
            </w:r>
          </w:p>
        </w:tc>
        <w:tc>
          <w:tcPr>
            <w:tcW w:w="1334" w:type="dxa"/>
            <w:vAlign w:val="center"/>
          </w:tcPr>
          <w:p w:rsidR="00C149F7" w:rsidRDefault="00F54571">
            <w:pPr>
              <w:jc w:val="right"/>
            </w:pPr>
            <w:r>
              <w:rPr>
                <w:color w:val="000000"/>
                <w:sz w:val="24"/>
                <w:szCs w:val="24"/>
              </w:rPr>
              <w:t>1,200,000</w:t>
            </w:r>
          </w:p>
        </w:tc>
        <w:tc>
          <w:tcPr>
            <w:tcW w:w="1924" w:type="dxa"/>
            <w:vAlign w:val="center"/>
          </w:tcPr>
          <w:p w:rsidR="00C149F7" w:rsidRDefault="00F54571">
            <w:pPr>
              <w:jc w:val="right"/>
            </w:pPr>
            <w:r>
              <w:rPr>
                <w:color w:val="000000"/>
                <w:sz w:val="24"/>
                <w:szCs w:val="24"/>
              </w:rPr>
              <w:t>20,184,000.00</w:t>
            </w:r>
          </w:p>
        </w:tc>
        <w:tc>
          <w:tcPr>
            <w:tcW w:w="1644" w:type="dxa"/>
            <w:vAlign w:val="center"/>
          </w:tcPr>
          <w:p w:rsidR="00C149F7" w:rsidRDefault="00F54571">
            <w:pPr>
              <w:jc w:val="right"/>
            </w:pPr>
            <w:r>
              <w:rPr>
                <w:color w:val="000000"/>
                <w:sz w:val="24"/>
                <w:szCs w:val="24"/>
              </w:rPr>
              <w:t>2.37</w:t>
            </w:r>
          </w:p>
        </w:tc>
      </w:tr>
      <w:tr w:rsidR="00C149F7">
        <w:trPr>
          <w:jc w:val="center"/>
        </w:trPr>
        <w:tc>
          <w:tcPr>
            <w:tcW w:w="855" w:type="dxa"/>
            <w:vAlign w:val="center"/>
          </w:tcPr>
          <w:p w:rsidR="00C149F7" w:rsidRDefault="00F54571">
            <w:pPr>
              <w:jc w:val="center"/>
            </w:pPr>
            <w:r>
              <w:rPr>
                <w:color w:val="000000"/>
                <w:sz w:val="24"/>
                <w:szCs w:val="24"/>
              </w:rPr>
              <w:t>3</w:t>
            </w:r>
          </w:p>
        </w:tc>
        <w:tc>
          <w:tcPr>
            <w:tcW w:w="1334" w:type="dxa"/>
            <w:vAlign w:val="center"/>
          </w:tcPr>
          <w:p w:rsidR="00C149F7" w:rsidRDefault="00F54571">
            <w:pPr>
              <w:jc w:val="center"/>
            </w:pPr>
            <w:r>
              <w:rPr>
                <w:color w:val="000000"/>
                <w:sz w:val="24"/>
                <w:szCs w:val="24"/>
              </w:rPr>
              <w:t>601989</w:t>
            </w:r>
          </w:p>
        </w:tc>
        <w:tc>
          <w:tcPr>
            <w:tcW w:w="1777" w:type="dxa"/>
            <w:vAlign w:val="center"/>
          </w:tcPr>
          <w:p w:rsidR="00C149F7" w:rsidRDefault="00F54571">
            <w:pPr>
              <w:jc w:val="center"/>
            </w:pPr>
            <w:r>
              <w:rPr>
                <w:color w:val="000000"/>
                <w:sz w:val="24"/>
                <w:szCs w:val="24"/>
              </w:rPr>
              <w:t>中国重工</w:t>
            </w:r>
          </w:p>
        </w:tc>
        <w:tc>
          <w:tcPr>
            <w:tcW w:w="1334" w:type="dxa"/>
            <w:vAlign w:val="center"/>
          </w:tcPr>
          <w:p w:rsidR="00C149F7" w:rsidRDefault="00F54571">
            <w:pPr>
              <w:jc w:val="right"/>
            </w:pPr>
            <w:r>
              <w:rPr>
                <w:color w:val="000000"/>
                <w:sz w:val="24"/>
                <w:szCs w:val="24"/>
              </w:rPr>
              <w:t>2,000,000</w:t>
            </w:r>
          </w:p>
        </w:tc>
        <w:tc>
          <w:tcPr>
            <w:tcW w:w="1924" w:type="dxa"/>
            <w:vAlign w:val="center"/>
          </w:tcPr>
          <w:p w:rsidR="00C149F7" w:rsidRDefault="00F54571">
            <w:pPr>
              <w:jc w:val="right"/>
            </w:pPr>
            <w:r>
              <w:rPr>
                <w:color w:val="000000"/>
                <w:sz w:val="24"/>
                <w:szCs w:val="24"/>
              </w:rPr>
              <w:t>18,420,000.00</w:t>
            </w:r>
          </w:p>
        </w:tc>
        <w:tc>
          <w:tcPr>
            <w:tcW w:w="1644" w:type="dxa"/>
            <w:vAlign w:val="center"/>
          </w:tcPr>
          <w:p w:rsidR="00C149F7" w:rsidRDefault="00F54571">
            <w:pPr>
              <w:jc w:val="right"/>
            </w:pPr>
            <w:r>
              <w:rPr>
                <w:color w:val="000000"/>
                <w:sz w:val="24"/>
                <w:szCs w:val="24"/>
              </w:rPr>
              <w:t>2.16</w:t>
            </w:r>
          </w:p>
        </w:tc>
      </w:tr>
      <w:tr w:rsidR="00C149F7">
        <w:trPr>
          <w:jc w:val="center"/>
        </w:trPr>
        <w:tc>
          <w:tcPr>
            <w:tcW w:w="855" w:type="dxa"/>
            <w:vAlign w:val="center"/>
          </w:tcPr>
          <w:p w:rsidR="00C149F7" w:rsidRDefault="00F54571">
            <w:pPr>
              <w:jc w:val="center"/>
            </w:pPr>
            <w:r>
              <w:rPr>
                <w:color w:val="000000"/>
                <w:sz w:val="24"/>
                <w:szCs w:val="24"/>
              </w:rPr>
              <w:t>4</w:t>
            </w:r>
          </w:p>
        </w:tc>
        <w:tc>
          <w:tcPr>
            <w:tcW w:w="1334" w:type="dxa"/>
            <w:vAlign w:val="center"/>
          </w:tcPr>
          <w:p w:rsidR="00C149F7" w:rsidRDefault="00F54571">
            <w:pPr>
              <w:jc w:val="center"/>
            </w:pPr>
            <w:r>
              <w:rPr>
                <w:color w:val="000000"/>
                <w:sz w:val="24"/>
                <w:szCs w:val="24"/>
              </w:rPr>
              <w:t>600133</w:t>
            </w:r>
          </w:p>
        </w:tc>
        <w:tc>
          <w:tcPr>
            <w:tcW w:w="1777" w:type="dxa"/>
            <w:vAlign w:val="center"/>
          </w:tcPr>
          <w:p w:rsidR="00C149F7" w:rsidRDefault="00F54571">
            <w:pPr>
              <w:jc w:val="center"/>
            </w:pPr>
            <w:r>
              <w:rPr>
                <w:color w:val="000000"/>
                <w:sz w:val="24"/>
                <w:szCs w:val="24"/>
              </w:rPr>
              <w:t>东湖高新</w:t>
            </w:r>
          </w:p>
        </w:tc>
        <w:tc>
          <w:tcPr>
            <w:tcW w:w="1334" w:type="dxa"/>
            <w:vAlign w:val="center"/>
          </w:tcPr>
          <w:p w:rsidR="00C149F7" w:rsidRDefault="00F54571">
            <w:pPr>
              <w:jc w:val="right"/>
            </w:pPr>
            <w:r>
              <w:rPr>
                <w:color w:val="000000"/>
                <w:sz w:val="24"/>
                <w:szCs w:val="24"/>
              </w:rPr>
              <w:t>1,830,994</w:t>
            </w:r>
          </w:p>
        </w:tc>
        <w:tc>
          <w:tcPr>
            <w:tcW w:w="1924" w:type="dxa"/>
            <w:vAlign w:val="center"/>
          </w:tcPr>
          <w:p w:rsidR="00C149F7" w:rsidRDefault="00F54571">
            <w:pPr>
              <w:jc w:val="right"/>
            </w:pPr>
            <w:r>
              <w:rPr>
                <w:color w:val="000000"/>
                <w:sz w:val="24"/>
                <w:szCs w:val="24"/>
              </w:rPr>
              <w:t>15,288,799.90</w:t>
            </w:r>
          </w:p>
        </w:tc>
        <w:tc>
          <w:tcPr>
            <w:tcW w:w="1644" w:type="dxa"/>
            <w:vAlign w:val="center"/>
          </w:tcPr>
          <w:p w:rsidR="00C149F7" w:rsidRDefault="00F54571">
            <w:pPr>
              <w:jc w:val="right"/>
            </w:pPr>
            <w:r>
              <w:rPr>
                <w:color w:val="000000"/>
                <w:sz w:val="24"/>
                <w:szCs w:val="24"/>
              </w:rPr>
              <w:t>1.79</w:t>
            </w:r>
          </w:p>
        </w:tc>
      </w:tr>
      <w:tr w:rsidR="00C149F7">
        <w:trPr>
          <w:jc w:val="center"/>
        </w:trPr>
        <w:tc>
          <w:tcPr>
            <w:tcW w:w="855" w:type="dxa"/>
            <w:vAlign w:val="center"/>
          </w:tcPr>
          <w:p w:rsidR="00C149F7" w:rsidRDefault="00F54571">
            <w:pPr>
              <w:jc w:val="center"/>
            </w:pPr>
            <w:r>
              <w:rPr>
                <w:color w:val="000000"/>
                <w:sz w:val="24"/>
                <w:szCs w:val="24"/>
              </w:rPr>
              <w:t>5</w:t>
            </w:r>
          </w:p>
        </w:tc>
        <w:tc>
          <w:tcPr>
            <w:tcW w:w="1334" w:type="dxa"/>
            <w:vAlign w:val="center"/>
          </w:tcPr>
          <w:p w:rsidR="00C149F7" w:rsidRDefault="00F54571">
            <w:pPr>
              <w:jc w:val="center"/>
            </w:pPr>
            <w:r>
              <w:rPr>
                <w:color w:val="000000"/>
                <w:sz w:val="24"/>
                <w:szCs w:val="24"/>
              </w:rPr>
              <w:t>000768</w:t>
            </w:r>
          </w:p>
        </w:tc>
        <w:tc>
          <w:tcPr>
            <w:tcW w:w="1777" w:type="dxa"/>
            <w:vAlign w:val="center"/>
          </w:tcPr>
          <w:p w:rsidR="00C149F7" w:rsidRDefault="00F54571">
            <w:pPr>
              <w:jc w:val="center"/>
            </w:pPr>
            <w:r>
              <w:rPr>
                <w:color w:val="000000"/>
                <w:sz w:val="24"/>
                <w:szCs w:val="24"/>
              </w:rPr>
              <w:t>中航飞机</w:t>
            </w:r>
          </w:p>
        </w:tc>
        <w:tc>
          <w:tcPr>
            <w:tcW w:w="1334" w:type="dxa"/>
            <w:vAlign w:val="center"/>
          </w:tcPr>
          <w:p w:rsidR="00C149F7" w:rsidRDefault="00F54571">
            <w:pPr>
              <w:jc w:val="right"/>
            </w:pPr>
            <w:r>
              <w:rPr>
                <w:color w:val="000000"/>
                <w:sz w:val="24"/>
                <w:szCs w:val="24"/>
              </w:rPr>
              <w:t>701,400</w:t>
            </w:r>
          </w:p>
        </w:tc>
        <w:tc>
          <w:tcPr>
            <w:tcW w:w="1924" w:type="dxa"/>
            <w:vAlign w:val="center"/>
          </w:tcPr>
          <w:p w:rsidR="00C149F7" w:rsidRDefault="00F54571">
            <w:pPr>
              <w:jc w:val="right"/>
            </w:pPr>
            <w:r>
              <w:rPr>
                <w:color w:val="000000"/>
                <w:sz w:val="24"/>
                <w:szCs w:val="24"/>
              </w:rPr>
              <w:t>13,284,516.00</w:t>
            </w:r>
          </w:p>
        </w:tc>
        <w:tc>
          <w:tcPr>
            <w:tcW w:w="1644" w:type="dxa"/>
            <w:vAlign w:val="center"/>
          </w:tcPr>
          <w:p w:rsidR="00C149F7" w:rsidRDefault="00F54571">
            <w:pPr>
              <w:jc w:val="right"/>
            </w:pPr>
            <w:r>
              <w:rPr>
                <w:color w:val="000000"/>
                <w:sz w:val="24"/>
                <w:szCs w:val="24"/>
              </w:rPr>
              <w:t>1.56</w:t>
            </w:r>
          </w:p>
        </w:tc>
      </w:tr>
      <w:tr w:rsidR="00C149F7">
        <w:trPr>
          <w:jc w:val="center"/>
        </w:trPr>
        <w:tc>
          <w:tcPr>
            <w:tcW w:w="855" w:type="dxa"/>
            <w:vAlign w:val="center"/>
          </w:tcPr>
          <w:p w:rsidR="00C149F7" w:rsidRDefault="00F54571">
            <w:pPr>
              <w:jc w:val="center"/>
            </w:pPr>
            <w:r>
              <w:rPr>
                <w:color w:val="000000"/>
                <w:sz w:val="24"/>
                <w:szCs w:val="24"/>
              </w:rPr>
              <w:t>6</w:t>
            </w:r>
          </w:p>
        </w:tc>
        <w:tc>
          <w:tcPr>
            <w:tcW w:w="1334" w:type="dxa"/>
            <w:vAlign w:val="center"/>
          </w:tcPr>
          <w:p w:rsidR="00C149F7" w:rsidRDefault="00F54571">
            <w:pPr>
              <w:jc w:val="center"/>
            </w:pPr>
            <w:r>
              <w:rPr>
                <w:color w:val="000000"/>
                <w:sz w:val="24"/>
                <w:szCs w:val="24"/>
              </w:rPr>
              <w:t>600100</w:t>
            </w:r>
          </w:p>
        </w:tc>
        <w:tc>
          <w:tcPr>
            <w:tcW w:w="1777" w:type="dxa"/>
            <w:vAlign w:val="center"/>
          </w:tcPr>
          <w:p w:rsidR="00C149F7" w:rsidRDefault="00F54571">
            <w:pPr>
              <w:jc w:val="center"/>
            </w:pPr>
            <w:r>
              <w:rPr>
                <w:color w:val="000000"/>
                <w:sz w:val="24"/>
                <w:szCs w:val="24"/>
              </w:rPr>
              <w:t>同方股份</w:t>
            </w:r>
          </w:p>
        </w:tc>
        <w:tc>
          <w:tcPr>
            <w:tcW w:w="1334" w:type="dxa"/>
            <w:vAlign w:val="center"/>
          </w:tcPr>
          <w:p w:rsidR="00C149F7" w:rsidRDefault="00F54571">
            <w:pPr>
              <w:jc w:val="right"/>
            </w:pPr>
            <w:r>
              <w:rPr>
                <w:color w:val="000000"/>
                <w:sz w:val="24"/>
                <w:szCs w:val="24"/>
              </w:rPr>
              <w:t>1,000,000</w:t>
            </w:r>
          </w:p>
        </w:tc>
        <w:tc>
          <w:tcPr>
            <w:tcW w:w="1924" w:type="dxa"/>
            <w:vAlign w:val="center"/>
          </w:tcPr>
          <w:p w:rsidR="00C149F7" w:rsidRDefault="00F54571">
            <w:pPr>
              <w:jc w:val="right"/>
            </w:pPr>
            <w:r>
              <w:rPr>
                <w:color w:val="000000"/>
                <w:sz w:val="24"/>
                <w:szCs w:val="24"/>
              </w:rPr>
              <w:t>11,680,000.00</w:t>
            </w:r>
          </w:p>
        </w:tc>
        <w:tc>
          <w:tcPr>
            <w:tcW w:w="1644" w:type="dxa"/>
            <w:vAlign w:val="center"/>
          </w:tcPr>
          <w:p w:rsidR="00C149F7" w:rsidRDefault="00F54571">
            <w:pPr>
              <w:jc w:val="right"/>
            </w:pPr>
            <w:r>
              <w:rPr>
                <w:color w:val="000000"/>
                <w:sz w:val="24"/>
                <w:szCs w:val="24"/>
              </w:rPr>
              <w:t>1.37</w:t>
            </w:r>
          </w:p>
        </w:tc>
      </w:tr>
      <w:tr w:rsidR="00C149F7">
        <w:trPr>
          <w:jc w:val="center"/>
        </w:trPr>
        <w:tc>
          <w:tcPr>
            <w:tcW w:w="855" w:type="dxa"/>
            <w:vAlign w:val="center"/>
          </w:tcPr>
          <w:p w:rsidR="00C149F7" w:rsidRDefault="00F54571">
            <w:pPr>
              <w:jc w:val="center"/>
            </w:pPr>
            <w:r>
              <w:rPr>
                <w:color w:val="000000"/>
                <w:sz w:val="24"/>
                <w:szCs w:val="24"/>
              </w:rPr>
              <w:t>7</w:t>
            </w:r>
          </w:p>
        </w:tc>
        <w:tc>
          <w:tcPr>
            <w:tcW w:w="1334" w:type="dxa"/>
            <w:vAlign w:val="center"/>
          </w:tcPr>
          <w:p w:rsidR="00C149F7" w:rsidRDefault="00F54571">
            <w:pPr>
              <w:jc w:val="center"/>
            </w:pPr>
            <w:r>
              <w:rPr>
                <w:color w:val="000000"/>
                <w:sz w:val="24"/>
                <w:szCs w:val="24"/>
              </w:rPr>
              <w:t>600584</w:t>
            </w:r>
          </w:p>
        </w:tc>
        <w:tc>
          <w:tcPr>
            <w:tcW w:w="1777" w:type="dxa"/>
            <w:vAlign w:val="center"/>
          </w:tcPr>
          <w:p w:rsidR="00C149F7" w:rsidRDefault="00F54571">
            <w:pPr>
              <w:jc w:val="center"/>
            </w:pPr>
            <w:r>
              <w:rPr>
                <w:color w:val="000000"/>
                <w:sz w:val="24"/>
                <w:szCs w:val="24"/>
              </w:rPr>
              <w:t>长电科技</w:t>
            </w:r>
          </w:p>
        </w:tc>
        <w:tc>
          <w:tcPr>
            <w:tcW w:w="1334" w:type="dxa"/>
            <w:vAlign w:val="center"/>
          </w:tcPr>
          <w:p w:rsidR="00C149F7" w:rsidRDefault="00F54571">
            <w:pPr>
              <w:jc w:val="right"/>
            </w:pPr>
            <w:r>
              <w:rPr>
                <w:color w:val="000000"/>
                <w:sz w:val="24"/>
                <w:szCs w:val="24"/>
              </w:rPr>
              <w:t>999,046</w:t>
            </w:r>
          </w:p>
        </w:tc>
        <w:tc>
          <w:tcPr>
            <w:tcW w:w="1924" w:type="dxa"/>
            <w:vAlign w:val="center"/>
          </w:tcPr>
          <w:p w:rsidR="00C149F7" w:rsidRDefault="00F54571">
            <w:pPr>
              <w:jc w:val="right"/>
            </w:pPr>
            <w:r>
              <w:rPr>
                <w:color w:val="000000"/>
                <w:sz w:val="24"/>
                <w:szCs w:val="24"/>
              </w:rPr>
              <w:t>11,119,381.98</w:t>
            </w:r>
          </w:p>
        </w:tc>
        <w:tc>
          <w:tcPr>
            <w:tcW w:w="1644" w:type="dxa"/>
            <w:vAlign w:val="center"/>
          </w:tcPr>
          <w:p w:rsidR="00C149F7" w:rsidRDefault="00F54571">
            <w:pPr>
              <w:jc w:val="right"/>
            </w:pPr>
            <w:r>
              <w:rPr>
                <w:color w:val="000000"/>
                <w:sz w:val="24"/>
                <w:szCs w:val="24"/>
              </w:rPr>
              <w:t>1.30</w:t>
            </w:r>
          </w:p>
        </w:tc>
      </w:tr>
      <w:tr w:rsidR="00C149F7">
        <w:trPr>
          <w:jc w:val="center"/>
        </w:trPr>
        <w:tc>
          <w:tcPr>
            <w:tcW w:w="855" w:type="dxa"/>
            <w:vAlign w:val="center"/>
          </w:tcPr>
          <w:p w:rsidR="00C149F7" w:rsidRDefault="00F54571">
            <w:pPr>
              <w:jc w:val="center"/>
            </w:pPr>
            <w:r>
              <w:rPr>
                <w:color w:val="000000"/>
                <w:sz w:val="24"/>
                <w:szCs w:val="24"/>
              </w:rPr>
              <w:t>8</w:t>
            </w:r>
          </w:p>
        </w:tc>
        <w:tc>
          <w:tcPr>
            <w:tcW w:w="1334" w:type="dxa"/>
            <w:vAlign w:val="center"/>
          </w:tcPr>
          <w:p w:rsidR="00C149F7" w:rsidRDefault="00F54571">
            <w:pPr>
              <w:jc w:val="center"/>
            </w:pPr>
            <w:r>
              <w:rPr>
                <w:color w:val="000000"/>
                <w:sz w:val="24"/>
                <w:szCs w:val="24"/>
              </w:rPr>
              <w:t>600590</w:t>
            </w:r>
          </w:p>
        </w:tc>
        <w:tc>
          <w:tcPr>
            <w:tcW w:w="1777" w:type="dxa"/>
            <w:vAlign w:val="center"/>
          </w:tcPr>
          <w:p w:rsidR="00C149F7" w:rsidRDefault="00F54571">
            <w:pPr>
              <w:jc w:val="center"/>
            </w:pPr>
            <w:r>
              <w:rPr>
                <w:color w:val="000000"/>
                <w:sz w:val="24"/>
                <w:szCs w:val="24"/>
              </w:rPr>
              <w:t>泰豪科技</w:t>
            </w:r>
          </w:p>
        </w:tc>
        <w:tc>
          <w:tcPr>
            <w:tcW w:w="1334" w:type="dxa"/>
            <w:vAlign w:val="center"/>
          </w:tcPr>
          <w:p w:rsidR="00C149F7" w:rsidRDefault="00F54571">
            <w:pPr>
              <w:jc w:val="right"/>
            </w:pPr>
            <w:r>
              <w:rPr>
                <w:color w:val="000000"/>
                <w:sz w:val="24"/>
                <w:szCs w:val="24"/>
              </w:rPr>
              <w:t>1,207,002</w:t>
            </w:r>
          </w:p>
        </w:tc>
        <w:tc>
          <w:tcPr>
            <w:tcW w:w="1924" w:type="dxa"/>
            <w:vAlign w:val="center"/>
          </w:tcPr>
          <w:p w:rsidR="00C149F7" w:rsidRDefault="00F54571">
            <w:pPr>
              <w:jc w:val="right"/>
            </w:pPr>
            <w:r>
              <w:rPr>
                <w:color w:val="000000"/>
                <w:sz w:val="24"/>
                <w:szCs w:val="24"/>
              </w:rPr>
              <w:t>10,766,457.84</w:t>
            </w:r>
          </w:p>
        </w:tc>
        <w:tc>
          <w:tcPr>
            <w:tcW w:w="1644" w:type="dxa"/>
            <w:vAlign w:val="center"/>
          </w:tcPr>
          <w:p w:rsidR="00C149F7" w:rsidRDefault="00F54571">
            <w:pPr>
              <w:jc w:val="right"/>
            </w:pPr>
            <w:r>
              <w:rPr>
                <w:color w:val="000000"/>
                <w:sz w:val="24"/>
                <w:szCs w:val="24"/>
              </w:rPr>
              <w:t>1.26</w:t>
            </w:r>
          </w:p>
        </w:tc>
      </w:tr>
      <w:tr w:rsidR="00C149F7">
        <w:trPr>
          <w:jc w:val="center"/>
        </w:trPr>
        <w:tc>
          <w:tcPr>
            <w:tcW w:w="855" w:type="dxa"/>
            <w:vAlign w:val="center"/>
          </w:tcPr>
          <w:p w:rsidR="00C149F7" w:rsidRDefault="00F54571">
            <w:pPr>
              <w:jc w:val="center"/>
            </w:pPr>
            <w:r>
              <w:rPr>
                <w:color w:val="000000"/>
                <w:sz w:val="24"/>
                <w:szCs w:val="24"/>
              </w:rPr>
              <w:t>9</w:t>
            </w:r>
          </w:p>
        </w:tc>
        <w:tc>
          <w:tcPr>
            <w:tcW w:w="1334" w:type="dxa"/>
            <w:vAlign w:val="center"/>
          </w:tcPr>
          <w:p w:rsidR="00C149F7" w:rsidRDefault="00F54571">
            <w:pPr>
              <w:jc w:val="center"/>
            </w:pPr>
            <w:r>
              <w:rPr>
                <w:color w:val="000000"/>
                <w:sz w:val="24"/>
                <w:szCs w:val="24"/>
              </w:rPr>
              <w:t>601992</w:t>
            </w:r>
          </w:p>
        </w:tc>
        <w:tc>
          <w:tcPr>
            <w:tcW w:w="1777" w:type="dxa"/>
            <w:vAlign w:val="center"/>
          </w:tcPr>
          <w:p w:rsidR="00C149F7" w:rsidRDefault="00F54571">
            <w:pPr>
              <w:jc w:val="center"/>
            </w:pPr>
            <w:r>
              <w:rPr>
                <w:color w:val="000000"/>
                <w:sz w:val="24"/>
                <w:szCs w:val="24"/>
              </w:rPr>
              <w:t>金隅股份</w:t>
            </w:r>
          </w:p>
        </w:tc>
        <w:tc>
          <w:tcPr>
            <w:tcW w:w="1334" w:type="dxa"/>
            <w:vAlign w:val="center"/>
          </w:tcPr>
          <w:p w:rsidR="00C149F7" w:rsidRDefault="00F54571">
            <w:pPr>
              <w:jc w:val="right"/>
            </w:pPr>
            <w:r>
              <w:rPr>
                <w:color w:val="000000"/>
                <w:sz w:val="24"/>
                <w:szCs w:val="24"/>
              </w:rPr>
              <w:t>999,963</w:t>
            </w:r>
          </w:p>
        </w:tc>
        <w:tc>
          <w:tcPr>
            <w:tcW w:w="1924" w:type="dxa"/>
            <w:vAlign w:val="center"/>
          </w:tcPr>
          <w:p w:rsidR="00C149F7" w:rsidRDefault="00F54571">
            <w:pPr>
              <w:jc w:val="right"/>
            </w:pPr>
            <w:r>
              <w:rPr>
                <w:color w:val="000000"/>
                <w:sz w:val="24"/>
                <w:szCs w:val="24"/>
              </w:rPr>
              <w:t>10,139,624.82</w:t>
            </w:r>
          </w:p>
        </w:tc>
        <w:tc>
          <w:tcPr>
            <w:tcW w:w="1644" w:type="dxa"/>
            <w:vAlign w:val="center"/>
          </w:tcPr>
          <w:p w:rsidR="00C149F7" w:rsidRDefault="00F54571">
            <w:pPr>
              <w:jc w:val="right"/>
            </w:pPr>
            <w:r>
              <w:rPr>
                <w:color w:val="000000"/>
                <w:sz w:val="24"/>
                <w:szCs w:val="24"/>
              </w:rPr>
              <w:t>1.19</w:t>
            </w:r>
          </w:p>
        </w:tc>
      </w:tr>
      <w:tr w:rsidR="00C149F7">
        <w:trPr>
          <w:jc w:val="center"/>
        </w:trPr>
        <w:tc>
          <w:tcPr>
            <w:tcW w:w="855" w:type="dxa"/>
            <w:vAlign w:val="center"/>
          </w:tcPr>
          <w:p w:rsidR="00C149F7" w:rsidRDefault="00F54571">
            <w:pPr>
              <w:jc w:val="center"/>
            </w:pPr>
            <w:r>
              <w:rPr>
                <w:color w:val="000000"/>
                <w:sz w:val="24"/>
                <w:szCs w:val="24"/>
              </w:rPr>
              <w:t>10</w:t>
            </w:r>
          </w:p>
        </w:tc>
        <w:tc>
          <w:tcPr>
            <w:tcW w:w="1334" w:type="dxa"/>
            <w:vAlign w:val="center"/>
          </w:tcPr>
          <w:p w:rsidR="00C149F7" w:rsidRDefault="00F54571">
            <w:pPr>
              <w:jc w:val="center"/>
            </w:pPr>
            <w:r>
              <w:rPr>
                <w:color w:val="000000"/>
                <w:sz w:val="24"/>
                <w:szCs w:val="24"/>
              </w:rPr>
              <w:t>600277</w:t>
            </w:r>
          </w:p>
        </w:tc>
        <w:tc>
          <w:tcPr>
            <w:tcW w:w="1777" w:type="dxa"/>
            <w:vAlign w:val="center"/>
          </w:tcPr>
          <w:p w:rsidR="00C149F7" w:rsidRDefault="00F54571">
            <w:pPr>
              <w:jc w:val="center"/>
            </w:pPr>
            <w:r>
              <w:rPr>
                <w:color w:val="000000"/>
                <w:sz w:val="24"/>
                <w:szCs w:val="24"/>
              </w:rPr>
              <w:t>亿利能源</w:t>
            </w:r>
          </w:p>
        </w:tc>
        <w:tc>
          <w:tcPr>
            <w:tcW w:w="1334" w:type="dxa"/>
            <w:vAlign w:val="center"/>
          </w:tcPr>
          <w:p w:rsidR="00C149F7" w:rsidRDefault="00F54571">
            <w:pPr>
              <w:jc w:val="right"/>
            </w:pPr>
            <w:r>
              <w:rPr>
                <w:color w:val="000000"/>
                <w:sz w:val="24"/>
                <w:szCs w:val="24"/>
              </w:rPr>
              <w:t>1,000,000</w:t>
            </w:r>
          </w:p>
        </w:tc>
        <w:tc>
          <w:tcPr>
            <w:tcW w:w="1924" w:type="dxa"/>
            <w:vAlign w:val="center"/>
          </w:tcPr>
          <w:p w:rsidR="00C149F7" w:rsidRDefault="00F54571">
            <w:pPr>
              <w:jc w:val="right"/>
            </w:pPr>
            <w:r>
              <w:rPr>
                <w:color w:val="000000"/>
                <w:sz w:val="24"/>
                <w:szCs w:val="24"/>
              </w:rPr>
              <w:t>8,920,000.00</w:t>
            </w:r>
          </w:p>
        </w:tc>
        <w:tc>
          <w:tcPr>
            <w:tcW w:w="1644" w:type="dxa"/>
            <w:vAlign w:val="center"/>
          </w:tcPr>
          <w:p w:rsidR="00C149F7" w:rsidRDefault="00F54571">
            <w:pPr>
              <w:jc w:val="right"/>
            </w:pPr>
            <w:r>
              <w:rPr>
                <w:color w:val="000000"/>
                <w:sz w:val="24"/>
                <w:szCs w:val="24"/>
              </w:rPr>
              <w:t>1.05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150,195,000.00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17.60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150,195,000.00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17.60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25,095,000.00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21,922,918.80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197,212,918.80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149F7">
        <w:trPr>
          <w:jc w:val="center"/>
        </w:trPr>
        <w:tc>
          <w:tcPr>
            <w:tcW w:w="850" w:type="dxa"/>
            <w:vAlign w:val="center"/>
          </w:tcPr>
          <w:p w:rsidR="00C149F7" w:rsidRDefault="00F54571">
            <w:pPr>
              <w:jc w:val="center"/>
            </w:pPr>
            <w:r>
              <w:rPr>
                <w:color w:val="000000"/>
                <w:sz w:val="24"/>
                <w:szCs w:val="24"/>
              </w:rPr>
              <w:t>1</w:t>
            </w:r>
          </w:p>
        </w:tc>
        <w:tc>
          <w:tcPr>
            <w:tcW w:w="1475" w:type="dxa"/>
            <w:vAlign w:val="center"/>
          </w:tcPr>
          <w:p w:rsidR="00C149F7" w:rsidRDefault="00F54571">
            <w:pPr>
              <w:jc w:val="center"/>
            </w:pPr>
            <w:r>
              <w:rPr>
                <w:color w:val="000000"/>
                <w:sz w:val="24"/>
                <w:szCs w:val="24"/>
              </w:rPr>
              <w:t>140429</w:t>
            </w:r>
          </w:p>
        </w:tc>
        <w:tc>
          <w:tcPr>
            <w:tcW w:w="1769" w:type="dxa"/>
            <w:vAlign w:val="center"/>
          </w:tcPr>
          <w:p w:rsidR="00C149F7" w:rsidRDefault="00F54571">
            <w:pPr>
              <w:jc w:val="center"/>
            </w:pPr>
            <w:r>
              <w:rPr>
                <w:color w:val="000000"/>
                <w:sz w:val="24"/>
                <w:szCs w:val="24"/>
              </w:rPr>
              <w:t>14</w:t>
            </w:r>
            <w:r>
              <w:rPr>
                <w:color w:val="000000"/>
                <w:sz w:val="24"/>
                <w:szCs w:val="24"/>
              </w:rPr>
              <w:t>农发</w:t>
            </w:r>
            <w:r>
              <w:rPr>
                <w:color w:val="000000"/>
                <w:sz w:val="24"/>
                <w:szCs w:val="24"/>
              </w:rPr>
              <w:t>29</w:t>
            </w:r>
          </w:p>
        </w:tc>
        <w:tc>
          <w:tcPr>
            <w:tcW w:w="1387" w:type="dxa"/>
            <w:vAlign w:val="center"/>
          </w:tcPr>
          <w:p w:rsidR="00C149F7" w:rsidRDefault="00F54571">
            <w:pPr>
              <w:jc w:val="right"/>
            </w:pPr>
            <w:r>
              <w:rPr>
                <w:color w:val="000000"/>
                <w:sz w:val="24"/>
                <w:szCs w:val="24"/>
              </w:rPr>
              <w:t>1,000,000</w:t>
            </w:r>
          </w:p>
        </w:tc>
        <w:tc>
          <w:tcPr>
            <w:tcW w:w="2150" w:type="dxa"/>
            <w:vAlign w:val="center"/>
          </w:tcPr>
          <w:p w:rsidR="00C149F7" w:rsidRDefault="00F54571">
            <w:pPr>
              <w:jc w:val="right"/>
            </w:pPr>
            <w:r>
              <w:rPr>
                <w:color w:val="000000"/>
                <w:sz w:val="24"/>
                <w:szCs w:val="24"/>
              </w:rPr>
              <w:t>100,170,000.00</w:t>
            </w:r>
          </w:p>
        </w:tc>
        <w:tc>
          <w:tcPr>
            <w:tcW w:w="1237" w:type="dxa"/>
            <w:vAlign w:val="center"/>
          </w:tcPr>
          <w:p w:rsidR="00C149F7" w:rsidRDefault="00F54571">
            <w:pPr>
              <w:jc w:val="right"/>
            </w:pPr>
            <w:r>
              <w:rPr>
                <w:color w:val="000000"/>
                <w:sz w:val="24"/>
                <w:szCs w:val="24"/>
              </w:rPr>
              <w:t>11.74</w:t>
            </w:r>
          </w:p>
        </w:tc>
      </w:tr>
      <w:tr w:rsidR="00C149F7">
        <w:trPr>
          <w:jc w:val="center"/>
        </w:trPr>
        <w:tc>
          <w:tcPr>
            <w:tcW w:w="850" w:type="dxa"/>
            <w:vAlign w:val="center"/>
          </w:tcPr>
          <w:p w:rsidR="00C149F7" w:rsidRDefault="00F54571">
            <w:pPr>
              <w:jc w:val="center"/>
            </w:pPr>
            <w:r>
              <w:rPr>
                <w:color w:val="000000"/>
                <w:sz w:val="24"/>
                <w:szCs w:val="24"/>
              </w:rPr>
              <w:t>2</w:t>
            </w:r>
          </w:p>
        </w:tc>
        <w:tc>
          <w:tcPr>
            <w:tcW w:w="1475" w:type="dxa"/>
            <w:vAlign w:val="center"/>
          </w:tcPr>
          <w:p w:rsidR="00C149F7" w:rsidRDefault="00F54571">
            <w:pPr>
              <w:jc w:val="center"/>
            </w:pPr>
            <w:r>
              <w:rPr>
                <w:color w:val="000000"/>
                <w:sz w:val="24"/>
                <w:szCs w:val="24"/>
              </w:rPr>
              <w:t>140410</w:t>
            </w:r>
          </w:p>
        </w:tc>
        <w:tc>
          <w:tcPr>
            <w:tcW w:w="1769" w:type="dxa"/>
            <w:vAlign w:val="center"/>
          </w:tcPr>
          <w:p w:rsidR="00C149F7" w:rsidRDefault="00F54571">
            <w:pPr>
              <w:jc w:val="center"/>
            </w:pPr>
            <w:r>
              <w:rPr>
                <w:color w:val="000000"/>
                <w:sz w:val="24"/>
                <w:szCs w:val="24"/>
              </w:rPr>
              <w:t>14</w:t>
            </w:r>
            <w:r>
              <w:rPr>
                <w:color w:val="000000"/>
                <w:sz w:val="24"/>
                <w:szCs w:val="24"/>
              </w:rPr>
              <w:t>农发</w:t>
            </w:r>
            <w:r>
              <w:rPr>
                <w:color w:val="000000"/>
                <w:sz w:val="24"/>
                <w:szCs w:val="24"/>
              </w:rPr>
              <w:t>10</w:t>
            </w:r>
          </w:p>
        </w:tc>
        <w:tc>
          <w:tcPr>
            <w:tcW w:w="1387" w:type="dxa"/>
            <w:vAlign w:val="center"/>
          </w:tcPr>
          <w:p w:rsidR="00C149F7" w:rsidRDefault="00F54571">
            <w:pPr>
              <w:jc w:val="right"/>
            </w:pPr>
            <w:r>
              <w:rPr>
                <w:color w:val="000000"/>
                <w:sz w:val="24"/>
                <w:szCs w:val="24"/>
              </w:rPr>
              <w:t>500,000</w:t>
            </w:r>
          </w:p>
        </w:tc>
        <w:tc>
          <w:tcPr>
            <w:tcW w:w="2150" w:type="dxa"/>
            <w:vAlign w:val="center"/>
          </w:tcPr>
          <w:p w:rsidR="00C149F7" w:rsidRDefault="00F54571">
            <w:pPr>
              <w:jc w:val="right"/>
            </w:pPr>
            <w:r>
              <w:rPr>
                <w:color w:val="000000"/>
                <w:sz w:val="24"/>
                <w:szCs w:val="24"/>
              </w:rPr>
              <w:t>50,025,000.00</w:t>
            </w:r>
          </w:p>
        </w:tc>
        <w:tc>
          <w:tcPr>
            <w:tcW w:w="1237" w:type="dxa"/>
            <w:vAlign w:val="center"/>
          </w:tcPr>
          <w:p w:rsidR="00C149F7" w:rsidRDefault="00F54571">
            <w:pPr>
              <w:jc w:val="right"/>
            </w:pPr>
            <w:r>
              <w:rPr>
                <w:color w:val="000000"/>
                <w:sz w:val="24"/>
                <w:szCs w:val="24"/>
              </w:rPr>
              <w:t>5.86</w:t>
            </w:r>
          </w:p>
        </w:tc>
      </w:tr>
      <w:tr w:rsidR="00C149F7">
        <w:trPr>
          <w:jc w:val="center"/>
        </w:trPr>
        <w:tc>
          <w:tcPr>
            <w:tcW w:w="850" w:type="dxa"/>
            <w:vAlign w:val="center"/>
          </w:tcPr>
          <w:p w:rsidR="00C149F7" w:rsidRDefault="00F54571">
            <w:pPr>
              <w:jc w:val="center"/>
            </w:pPr>
            <w:r>
              <w:rPr>
                <w:color w:val="000000"/>
                <w:sz w:val="24"/>
                <w:szCs w:val="24"/>
              </w:rPr>
              <w:t>3</w:t>
            </w:r>
          </w:p>
        </w:tc>
        <w:tc>
          <w:tcPr>
            <w:tcW w:w="1475" w:type="dxa"/>
            <w:vAlign w:val="center"/>
          </w:tcPr>
          <w:p w:rsidR="00C149F7" w:rsidRDefault="00F54571">
            <w:pPr>
              <w:jc w:val="center"/>
            </w:pPr>
            <w:r>
              <w:rPr>
                <w:color w:val="000000"/>
                <w:sz w:val="24"/>
                <w:szCs w:val="24"/>
              </w:rPr>
              <w:t>122266</w:t>
            </w:r>
          </w:p>
        </w:tc>
        <w:tc>
          <w:tcPr>
            <w:tcW w:w="1769" w:type="dxa"/>
            <w:vAlign w:val="center"/>
          </w:tcPr>
          <w:p w:rsidR="00C149F7" w:rsidRDefault="00F54571">
            <w:pPr>
              <w:jc w:val="center"/>
            </w:pPr>
            <w:r>
              <w:rPr>
                <w:color w:val="000000"/>
                <w:sz w:val="24"/>
                <w:szCs w:val="24"/>
              </w:rPr>
              <w:t>13</w:t>
            </w:r>
            <w:r>
              <w:rPr>
                <w:color w:val="000000"/>
                <w:sz w:val="24"/>
                <w:szCs w:val="24"/>
              </w:rPr>
              <w:t>中信</w:t>
            </w:r>
            <w:r>
              <w:rPr>
                <w:color w:val="000000"/>
                <w:sz w:val="24"/>
                <w:szCs w:val="24"/>
              </w:rPr>
              <w:t>03</w:t>
            </w:r>
          </w:p>
        </w:tc>
        <w:tc>
          <w:tcPr>
            <w:tcW w:w="1387" w:type="dxa"/>
            <w:vAlign w:val="center"/>
          </w:tcPr>
          <w:p w:rsidR="00C149F7" w:rsidRDefault="00F54571">
            <w:pPr>
              <w:jc w:val="right"/>
            </w:pPr>
            <w:r>
              <w:rPr>
                <w:color w:val="000000"/>
                <w:sz w:val="24"/>
                <w:szCs w:val="24"/>
              </w:rPr>
              <w:t>250,000</w:t>
            </w:r>
          </w:p>
        </w:tc>
        <w:tc>
          <w:tcPr>
            <w:tcW w:w="2150" w:type="dxa"/>
            <w:vAlign w:val="center"/>
          </w:tcPr>
          <w:p w:rsidR="00C149F7" w:rsidRDefault="00F54571">
            <w:pPr>
              <w:jc w:val="right"/>
            </w:pPr>
            <w:r>
              <w:rPr>
                <w:color w:val="000000"/>
                <w:sz w:val="24"/>
                <w:szCs w:val="24"/>
              </w:rPr>
              <w:t>25,095,000.00</w:t>
            </w:r>
          </w:p>
        </w:tc>
        <w:tc>
          <w:tcPr>
            <w:tcW w:w="1237" w:type="dxa"/>
            <w:vAlign w:val="center"/>
          </w:tcPr>
          <w:p w:rsidR="00C149F7" w:rsidRDefault="00F54571">
            <w:pPr>
              <w:jc w:val="right"/>
            </w:pPr>
            <w:r>
              <w:rPr>
                <w:color w:val="000000"/>
                <w:sz w:val="24"/>
                <w:szCs w:val="24"/>
              </w:rPr>
              <w:t>2.94</w:t>
            </w:r>
          </w:p>
        </w:tc>
      </w:tr>
      <w:tr w:rsidR="00C149F7">
        <w:trPr>
          <w:jc w:val="center"/>
        </w:trPr>
        <w:tc>
          <w:tcPr>
            <w:tcW w:w="850" w:type="dxa"/>
            <w:vAlign w:val="center"/>
          </w:tcPr>
          <w:p w:rsidR="00C149F7" w:rsidRDefault="00F54571">
            <w:pPr>
              <w:jc w:val="center"/>
            </w:pPr>
            <w:r>
              <w:rPr>
                <w:color w:val="000000"/>
                <w:sz w:val="24"/>
                <w:szCs w:val="24"/>
              </w:rPr>
              <w:t>4</w:t>
            </w:r>
          </w:p>
        </w:tc>
        <w:tc>
          <w:tcPr>
            <w:tcW w:w="1475" w:type="dxa"/>
            <w:vAlign w:val="center"/>
          </w:tcPr>
          <w:p w:rsidR="00C149F7" w:rsidRDefault="00F54571">
            <w:pPr>
              <w:jc w:val="center"/>
            </w:pPr>
            <w:r>
              <w:rPr>
                <w:color w:val="000000"/>
                <w:sz w:val="24"/>
                <w:szCs w:val="24"/>
              </w:rPr>
              <w:t>110028</w:t>
            </w:r>
          </w:p>
        </w:tc>
        <w:tc>
          <w:tcPr>
            <w:tcW w:w="1769" w:type="dxa"/>
            <w:vAlign w:val="center"/>
          </w:tcPr>
          <w:p w:rsidR="00C149F7" w:rsidRDefault="00F54571">
            <w:pPr>
              <w:jc w:val="center"/>
            </w:pPr>
            <w:r>
              <w:rPr>
                <w:color w:val="000000"/>
                <w:sz w:val="24"/>
                <w:szCs w:val="24"/>
              </w:rPr>
              <w:t>冠城转债</w:t>
            </w:r>
          </w:p>
        </w:tc>
        <w:tc>
          <w:tcPr>
            <w:tcW w:w="1387" w:type="dxa"/>
            <w:vAlign w:val="center"/>
          </w:tcPr>
          <w:p w:rsidR="00C149F7" w:rsidRDefault="00F54571">
            <w:pPr>
              <w:jc w:val="right"/>
            </w:pPr>
            <w:r>
              <w:rPr>
                <w:color w:val="000000"/>
                <w:sz w:val="24"/>
                <w:szCs w:val="24"/>
              </w:rPr>
              <w:t>88,020</w:t>
            </w:r>
          </w:p>
        </w:tc>
        <w:tc>
          <w:tcPr>
            <w:tcW w:w="2150" w:type="dxa"/>
            <w:vAlign w:val="center"/>
          </w:tcPr>
          <w:p w:rsidR="00C149F7" w:rsidRDefault="00F54571">
            <w:pPr>
              <w:jc w:val="right"/>
            </w:pPr>
            <w:r>
              <w:rPr>
                <w:color w:val="000000"/>
                <w:sz w:val="24"/>
                <w:szCs w:val="24"/>
              </w:rPr>
              <w:t>12,968,866.80</w:t>
            </w:r>
          </w:p>
        </w:tc>
        <w:tc>
          <w:tcPr>
            <w:tcW w:w="1237" w:type="dxa"/>
            <w:vAlign w:val="center"/>
          </w:tcPr>
          <w:p w:rsidR="00C149F7" w:rsidRDefault="00F54571">
            <w:pPr>
              <w:jc w:val="right"/>
            </w:pPr>
            <w:r>
              <w:rPr>
                <w:color w:val="000000"/>
                <w:sz w:val="24"/>
                <w:szCs w:val="24"/>
              </w:rPr>
              <w:t>1.52</w:t>
            </w:r>
          </w:p>
        </w:tc>
      </w:tr>
      <w:tr w:rsidR="00C149F7">
        <w:trPr>
          <w:jc w:val="center"/>
        </w:trPr>
        <w:tc>
          <w:tcPr>
            <w:tcW w:w="850" w:type="dxa"/>
            <w:vAlign w:val="center"/>
          </w:tcPr>
          <w:p w:rsidR="00C149F7" w:rsidRDefault="00F54571">
            <w:pPr>
              <w:jc w:val="center"/>
            </w:pPr>
            <w:r>
              <w:rPr>
                <w:color w:val="000000"/>
                <w:sz w:val="24"/>
                <w:szCs w:val="24"/>
              </w:rPr>
              <w:t>5</w:t>
            </w:r>
          </w:p>
        </w:tc>
        <w:tc>
          <w:tcPr>
            <w:tcW w:w="1475" w:type="dxa"/>
            <w:vAlign w:val="center"/>
          </w:tcPr>
          <w:p w:rsidR="00C149F7" w:rsidRDefault="00F54571">
            <w:pPr>
              <w:jc w:val="center"/>
            </w:pPr>
            <w:r>
              <w:rPr>
                <w:color w:val="000000"/>
                <w:sz w:val="24"/>
                <w:szCs w:val="24"/>
              </w:rPr>
              <w:t>110023</w:t>
            </w:r>
          </w:p>
        </w:tc>
        <w:tc>
          <w:tcPr>
            <w:tcW w:w="1769" w:type="dxa"/>
            <w:vAlign w:val="center"/>
          </w:tcPr>
          <w:p w:rsidR="00C149F7" w:rsidRDefault="00F54571">
            <w:pPr>
              <w:jc w:val="center"/>
            </w:pPr>
            <w:r>
              <w:rPr>
                <w:color w:val="000000"/>
                <w:sz w:val="24"/>
                <w:szCs w:val="24"/>
              </w:rPr>
              <w:t>民生转债</w:t>
            </w:r>
          </w:p>
        </w:tc>
        <w:tc>
          <w:tcPr>
            <w:tcW w:w="1387" w:type="dxa"/>
            <w:vAlign w:val="center"/>
          </w:tcPr>
          <w:p w:rsidR="00C149F7" w:rsidRDefault="00F54571">
            <w:pPr>
              <w:jc w:val="right"/>
            </w:pPr>
            <w:r>
              <w:rPr>
                <w:color w:val="000000"/>
                <w:sz w:val="24"/>
                <w:szCs w:val="24"/>
              </w:rPr>
              <w:t>50,000</w:t>
            </w:r>
          </w:p>
        </w:tc>
        <w:tc>
          <w:tcPr>
            <w:tcW w:w="2150" w:type="dxa"/>
            <w:vAlign w:val="center"/>
          </w:tcPr>
          <w:p w:rsidR="00C149F7" w:rsidRDefault="00F54571">
            <w:pPr>
              <w:jc w:val="right"/>
            </w:pPr>
            <w:r>
              <w:rPr>
                <w:color w:val="000000"/>
                <w:sz w:val="24"/>
                <w:szCs w:val="24"/>
              </w:rPr>
              <w:t>6,913,500.00</w:t>
            </w:r>
          </w:p>
        </w:tc>
        <w:tc>
          <w:tcPr>
            <w:tcW w:w="1237" w:type="dxa"/>
            <w:vAlign w:val="center"/>
          </w:tcPr>
          <w:p w:rsidR="00C149F7" w:rsidRDefault="00F54571">
            <w:pPr>
              <w:jc w:val="right"/>
            </w:pPr>
            <w:r>
              <w:rPr>
                <w:color w:val="000000"/>
                <w:sz w:val="24"/>
                <w:szCs w:val="24"/>
              </w:rPr>
              <w:t>0.81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412,440.07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6,573,949.80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258,333.32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7,244,723.19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C149F7">
        <w:trPr>
          <w:jc w:val="center"/>
        </w:trPr>
        <w:tc>
          <w:tcPr>
            <w:tcW w:w="1883" w:type="dxa"/>
            <w:vAlign w:val="center"/>
          </w:tcPr>
          <w:p w:rsidR="00C149F7" w:rsidRDefault="00F54571">
            <w:pPr>
              <w:jc w:val="center"/>
            </w:pPr>
            <w:r>
              <w:rPr>
                <w:color w:val="000000"/>
                <w:sz w:val="24"/>
                <w:szCs w:val="24"/>
              </w:rPr>
              <w:t>1</w:t>
            </w:r>
          </w:p>
        </w:tc>
        <w:tc>
          <w:tcPr>
            <w:tcW w:w="1801" w:type="dxa"/>
            <w:vAlign w:val="center"/>
          </w:tcPr>
          <w:p w:rsidR="00C149F7" w:rsidRDefault="00F54571">
            <w:pPr>
              <w:jc w:val="center"/>
            </w:pPr>
            <w:r>
              <w:rPr>
                <w:color w:val="000000"/>
                <w:sz w:val="24"/>
                <w:szCs w:val="24"/>
              </w:rPr>
              <w:t>110023</w:t>
            </w:r>
          </w:p>
        </w:tc>
        <w:tc>
          <w:tcPr>
            <w:tcW w:w="1727" w:type="dxa"/>
            <w:vAlign w:val="center"/>
          </w:tcPr>
          <w:p w:rsidR="00C149F7" w:rsidRDefault="00F54571">
            <w:pPr>
              <w:jc w:val="center"/>
            </w:pPr>
            <w:r>
              <w:rPr>
                <w:color w:val="000000"/>
                <w:sz w:val="24"/>
                <w:szCs w:val="24"/>
              </w:rPr>
              <w:t>民生转债</w:t>
            </w:r>
          </w:p>
        </w:tc>
        <w:tc>
          <w:tcPr>
            <w:tcW w:w="1768" w:type="dxa"/>
            <w:vAlign w:val="center"/>
          </w:tcPr>
          <w:p w:rsidR="00C149F7" w:rsidRDefault="00F54571">
            <w:pPr>
              <w:jc w:val="right"/>
            </w:pPr>
            <w:r>
              <w:rPr>
                <w:color w:val="000000"/>
                <w:sz w:val="24"/>
                <w:szCs w:val="24"/>
              </w:rPr>
              <w:t>6,913,500.00</w:t>
            </w:r>
          </w:p>
        </w:tc>
        <w:tc>
          <w:tcPr>
            <w:tcW w:w="1689" w:type="dxa"/>
            <w:vAlign w:val="center"/>
          </w:tcPr>
          <w:p w:rsidR="00C149F7" w:rsidRDefault="00F54571">
            <w:pPr>
              <w:jc w:val="right"/>
            </w:pPr>
            <w:r>
              <w:rPr>
                <w:color w:val="000000"/>
                <w:sz w:val="24"/>
                <w:szCs w:val="24"/>
              </w:rPr>
              <w:t>0.81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149F7">
        <w:trPr>
          <w:jc w:val="center"/>
        </w:trPr>
        <w:tc>
          <w:tcPr>
            <w:tcW w:w="1129" w:type="dxa"/>
            <w:vAlign w:val="center"/>
          </w:tcPr>
          <w:p w:rsidR="00C149F7" w:rsidRDefault="00F54571">
            <w:pPr>
              <w:jc w:val="center"/>
            </w:pPr>
            <w:r>
              <w:rPr>
                <w:color w:val="000000"/>
                <w:sz w:val="24"/>
                <w:szCs w:val="24"/>
              </w:rPr>
              <w:t>1</w:t>
            </w:r>
          </w:p>
        </w:tc>
        <w:tc>
          <w:tcPr>
            <w:tcW w:w="1356" w:type="dxa"/>
            <w:vAlign w:val="center"/>
          </w:tcPr>
          <w:p w:rsidR="00C149F7" w:rsidRDefault="00F54571">
            <w:pPr>
              <w:jc w:val="center"/>
            </w:pPr>
            <w:r>
              <w:rPr>
                <w:color w:val="000000"/>
                <w:sz w:val="24"/>
                <w:szCs w:val="24"/>
              </w:rPr>
              <w:t>600584</w:t>
            </w:r>
          </w:p>
        </w:tc>
        <w:tc>
          <w:tcPr>
            <w:tcW w:w="1355" w:type="dxa"/>
            <w:vAlign w:val="center"/>
          </w:tcPr>
          <w:p w:rsidR="00C149F7" w:rsidRDefault="00F54571">
            <w:pPr>
              <w:jc w:val="center"/>
            </w:pPr>
            <w:r>
              <w:rPr>
                <w:color w:val="000000"/>
                <w:sz w:val="24"/>
                <w:szCs w:val="24"/>
              </w:rPr>
              <w:t>长电科技</w:t>
            </w:r>
          </w:p>
        </w:tc>
        <w:tc>
          <w:tcPr>
            <w:tcW w:w="1880" w:type="dxa"/>
            <w:vAlign w:val="center"/>
          </w:tcPr>
          <w:p w:rsidR="00C149F7" w:rsidRDefault="00F54571">
            <w:pPr>
              <w:jc w:val="right"/>
            </w:pPr>
            <w:r>
              <w:rPr>
                <w:color w:val="000000"/>
                <w:sz w:val="24"/>
                <w:szCs w:val="24"/>
              </w:rPr>
              <w:t>11,119,381.98</w:t>
            </w:r>
          </w:p>
        </w:tc>
        <w:tc>
          <w:tcPr>
            <w:tcW w:w="1724" w:type="dxa"/>
            <w:vAlign w:val="center"/>
          </w:tcPr>
          <w:p w:rsidR="00C149F7" w:rsidRDefault="00F54571">
            <w:pPr>
              <w:jc w:val="right"/>
            </w:pPr>
            <w:r>
              <w:rPr>
                <w:color w:val="000000"/>
                <w:sz w:val="24"/>
                <w:szCs w:val="24"/>
              </w:rPr>
              <w:t>1.30</w:t>
            </w:r>
          </w:p>
        </w:tc>
        <w:tc>
          <w:tcPr>
            <w:tcW w:w="1424" w:type="dxa"/>
            <w:vAlign w:val="center"/>
          </w:tcPr>
          <w:p w:rsidR="00C149F7" w:rsidRDefault="00F54571">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811,572,368.82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8,787,614.20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66,033,119.01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754,326,864.01</w:t>
            </w:r>
          </w:p>
        </w:tc>
      </w:tr>
    </w:tbl>
    <w:p w:rsidR="00C149F7" w:rsidRDefault="00F5457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201333">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20133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）基金行业股票估值指数的通知》的指导意见，经与基金托管人协商一致，本基金对其所持有的中航飞机（证券代码：</w:t>
      </w:r>
      <w:r w:rsidRPr="00414345">
        <w:rPr>
          <w:color w:val="000000"/>
          <w:sz w:val="24"/>
          <w:szCs w:val="24"/>
        </w:rPr>
        <w:t>000768</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17</w:t>
      </w:r>
      <w:r w:rsidRPr="00414345">
        <w:rPr>
          <w:color w:val="000000"/>
          <w:sz w:val="24"/>
          <w:szCs w:val="24"/>
        </w:rPr>
        <w:t>日起恢复按市场价格进行估值；本基金对其所持有的湖北能源（证券代码：</w:t>
      </w:r>
      <w:r w:rsidRPr="00414345">
        <w:rPr>
          <w:color w:val="000000"/>
          <w:sz w:val="24"/>
          <w:szCs w:val="24"/>
        </w:rPr>
        <w:t>000883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8</w:t>
      </w:r>
      <w:r w:rsidRPr="00414345">
        <w:rPr>
          <w:color w:val="000000"/>
          <w:sz w:val="24"/>
          <w:szCs w:val="24"/>
        </w:rPr>
        <w:t>日起按照指数收益法进行估值。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20133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149F7" w:rsidRDefault="00F5457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、中国证监会批准交银施罗德荣安保本混合型证券投资基金募集的文件；</w:t>
      </w:r>
      <w:r>
        <w:rPr>
          <w:color w:val="000000"/>
          <w:sz w:val="24"/>
          <w:szCs w:val="24"/>
        </w:rPr>
        <w:t xml:space="preserve"> </w:t>
      </w:r>
    </w:p>
    <w:p w:rsidR="00C149F7" w:rsidRDefault="00F5457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、《交银施罗德荣安保本混合型证券投资基金基金合同》；</w:t>
      </w:r>
      <w:r>
        <w:rPr>
          <w:color w:val="000000"/>
          <w:sz w:val="24"/>
          <w:szCs w:val="24"/>
        </w:rPr>
        <w:t xml:space="preserve"> </w:t>
      </w:r>
    </w:p>
    <w:p w:rsidR="00C149F7" w:rsidRDefault="00F5457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、《交银施罗德荣安保本混合型证券投资基金招募说明书》；</w:t>
      </w:r>
    </w:p>
    <w:p w:rsidR="00C149F7" w:rsidRDefault="00F5457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、《交银施罗德荣安保本混合型证券投资基金托管协议》；</w:t>
      </w:r>
      <w:r>
        <w:rPr>
          <w:color w:val="000000"/>
          <w:sz w:val="24"/>
          <w:szCs w:val="24"/>
        </w:rPr>
        <w:t xml:space="preserve"> </w:t>
      </w:r>
    </w:p>
    <w:p w:rsidR="00C149F7" w:rsidRDefault="00F54571">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C149F7" w:rsidRDefault="00F54571">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C149F7" w:rsidRDefault="00F54571">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、关于申请募集交银施罗德荣安保本混合型证券投资基金之法律意见书；</w:t>
      </w:r>
    </w:p>
    <w:p w:rsidR="00C149F7" w:rsidRDefault="00F54571">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、《交银施罗德荣安保本混合型证券投资基金保证合同》；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、报告期内交银施罗德荣安保本混合型证券投资基金在指定报刊上各项公告的原稿。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149F7" w:rsidRDefault="00F5457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571" w:rsidRDefault="00F54571" w:rsidP="00876D65">
      <w:r>
        <w:separator/>
      </w:r>
    </w:p>
  </w:endnote>
  <w:endnote w:type="continuationSeparator" w:id="0">
    <w:p w:rsidR="00F54571" w:rsidRDefault="00F5457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71" w:rsidRPr="001D0DB0" w:rsidRDefault="00F54571" w:rsidP="004D340C">
    <w:pPr>
      <w:pStyle w:val="a6"/>
      <w:jc w:val="center"/>
    </w:pPr>
    <w:r>
      <w:rPr>
        <w:rFonts w:hint="eastAsia"/>
        <w:kern w:val="0"/>
        <w:szCs w:val="21"/>
      </w:rPr>
      <w:t>第</w:t>
    </w:r>
    <w:r>
      <w:rPr>
        <w:rFonts w:hint="eastAsia"/>
        <w:kern w:val="0"/>
        <w:szCs w:val="21"/>
      </w:rPr>
      <w:t xml:space="preserve"> </w:t>
    </w:r>
    <w:r w:rsidR="00525176">
      <w:rPr>
        <w:kern w:val="0"/>
        <w:szCs w:val="21"/>
      </w:rPr>
      <w:fldChar w:fldCharType="begin"/>
    </w:r>
    <w:r>
      <w:rPr>
        <w:kern w:val="0"/>
        <w:szCs w:val="21"/>
      </w:rPr>
      <w:instrText xml:space="preserve"> PAGE </w:instrText>
    </w:r>
    <w:r w:rsidR="00525176">
      <w:rPr>
        <w:kern w:val="0"/>
        <w:szCs w:val="21"/>
      </w:rPr>
      <w:fldChar w:fldCharType="separate"/>
    </w:r>
    <w:r w:rsidR="0080127A">
      <w:rPr>
        <w:noProof/>
        <w:kern w:val="0"/>
        <w:szCs w:val="21"/>
      </w:rPr>
      <w:t>1</w:t>
    </w:r>
    <w:r w:rsidR="00525176">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25176">
      <w:rPr>
        <w:kern w:val="0"/>
        <w:szCs w:val="21"/>
      </w:rPr>
      <w:fldChar w:fldCharType="begin"/>
    </w:r>
    <w:r>
      <w:rPr>
        <w:kern w:val="0"/>
        <w:szCs w:val="21"/>
      </w:rPr>
      <w:instrText xml:space="preserve"> NUMPAGES </w:instrText>
    </w:r>
    <w:r w:rsidR="00525176">
      <w:rPr>
        <w:kern w:val="0"/>
        <w:szCs w:val="21"/>
      </w:rPr>
      <w:fldChar w:fldCharType="separate"/>
    </w:r>
    <w:r w:rsidR="0080127A">
      <w:rPr>
        <w:noProof/>
        <w:kern w:val="0"/>
        <w:szCs w:val="21"/>
      </w:rPr>
      <w:t>12</w:t>
    </w:r>
    <w:r w:rsidR="00525176">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571" w:rsidRDefault="00F54571" w:rsidP="00876D65">
      <w:r>
        <w:separator/>
      </w:r>
    </w:p>
  </w:footnote>
  <w:footnote w:type="continuationSeparator" w:id="0">
    <w:p w:rsidR="00F54571" w:rsidRDefault="00F5457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571" w:rsidRPr="00CA574C" w:rsidRDefault="00F54571"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01333"/>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6784"/>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2517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27A"/>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49F7"/>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571"/>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A5CBC638-AE49-4307-B51C-9A45F6E71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EA499-CC68-4D33-A065-4FAA4531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12</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560</cp:revision>
  <dcterms:created xsi:type="dcterms:W3CDTF">2012-10-16T06:07:00Z</dcterms:created>
  <dcterms:modified xsi:type="dcterms:W3CDTF">2015-01-20T03:45:00Z</dcterms:modified>
</cp:coreProperties>
</file>