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7B2F2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720EE" w:rsidRDefault="00C46CB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720EE" w:rsidRDefault="00C46CB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720EE" w:rsidRDefault="00C46CB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720EE" w:rsidRDefault="00C46CB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720EE" w:rsidRDefault="00C46CB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2F2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410,086,118.24</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本基金是一只股票型基金，属于基金中的高风险品种，本基金的风险与预期收益高于混合型基金、债券型基</w:t>
            </w:r>
            <w:r w:rsidRPr="00414345">
              <w:rPr>
                <w:color w:val="000000"/>
                <w:kern w:val="0"/>
                <w:sz w:val="24"/>
                <w:szCs w:val="24"/>
              </w:rPr>
              <w:lastRenderedPageBreak/>
              <w:t>金和货币市场基金。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2F2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46CB2" w:rsidRPr="00414345" w:rsidTr="00C46CB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46CB2" w:rsidRPr="00414345" w:rsidTr="00C46C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55,450,239.88</w:t>
            </w:r>
          </w:p>
        </w:tc>
      </w:tr>
      <w:tr w:rsidR="00C46CB2" w:rsidRPr="00414345" w:rsidTr="00C46C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-21,218,234.03</w:t>
            </w:r>
          </w:p>
        </w:tc>
      </w:tr>
      <w:tr w:rsidR="00C46CB2" w:rsidRPr="00414345" w:rsidTr="00C46C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-0.0378</w:t>
            </w:r>
          </w:p>
        </w:tc>
      </w:tr>
      <w:tr w:rsidR="00C46CB2" w:rsidRPr="00414345" w:rsidTr="00C46C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539,319,597.06</w:t>
            </w:r>
          </w:p>
        </w:tc>
      </w:tr>
      <w:tr w:rsidR="00C46CB2" w:rsidRPr="00414345" w:rsidTr="00C46CB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1.315</w:t>
            </w:r>
          </w:p>
        </w:tc>
      </w:tr>
    </w:tbl>
    <w:p w:rsidR="004720EE" w:rsidRDefault="00C46C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720EE">
        <w:trPr>
          <w:jc w:val="center"/>
        </w:trPr>
        <w:tc>
          <w:tcPr>
            <w:tcW w:w="1701" w:type="dxa"/>
            <w:vAlign w:val="center"/>
          </w:tcPr>
          <w:p w:rsidR="004720EE" w:rsidRDefault="00C46CB2">
            <w:pPr>
              <w:jc w:val="left"/>
            </w:pPr>
            <w:r>
              <w:rPr>
                <w:color w:val="000000"/>
                <w:sz w:val="24"/>
                <w:szCs w:val="24"/>
              </w:rPr>
              <w:t>过去三个月</w:t>
            </w:r>
          </w:p>
        </w:tc>
        <w:tc>
          <w:tcPr>
            <w:tcW w:w="1045" w:type="dxa"/>
            <w:vAlign w:val="center"/>
          </w:tcPr>
          <w:p w:rsidR="004720EE" w:rsidRDefault="00C46CB2">
            <w:pPr>
              <w:jc w:val="center"/>
            </w:pPr>
            <w:r>
              <w:rPr>
                <w:color w:val="000000"/>
                <w:sz w:val="24"/>
                <w:szCs w:val="24"/>
              </w:rPr>
              <w:t>-3.52%</w:t>
            </w:r>
          </w:p>
        </w:tc>
        <w:tc>
          <w:tcPr>
            <w:tcW w:w="1344" w:type="dxa"/>
            <w:vAlign w:val="center"/>
          </w:tcPr>
          <w:p w:rsidR="004720EE" w:rsidRDefault="00C46CB2">
            <w:pPr>
              <w:jc w:val="center"/>
            </w:pPr>
            <w:r>
              <w:rPr>
                <w:color w:val="000000"/>
                <w:sz w:val="24"/>
                <w:szCs w:val="24"/>
              </w:rPr>
              <w:t>1.33%</w:t>
            </w:r>
          </w:p>
        </w:tc>
        <w:tc>
          <w:tcPr>
            <w:tcW w:w="1194" w:type="dxa"/>
            <w:vAlign w:val="center"/>
          </w:tcPr>
          <w:p w:rsidR="004720EE" w:rsidRDefault="00C46CB2">
            <w:pPr>
              <w:jc w:val="center"/>
            </w:pPr>
            <w:r>
              <w:rPr>
                <w:color w:val="000000"/>
                <w:sz w:val="24"/>
                <w:szCs w:val="24"/>
              </w:rPr>
              <w:t>3.77%</w:t>
            </w:r>
          </w:p>
        </w:tc>
        <w:tc>
          <w:tcPr>
            <w:tcW w:w="1492" w:type="dxa"/>
            <w:vAlign w:val="center"/>
          </w:tcPr>
          <w:p w:rsidR="004720EE" w:rsidRDefault="00C46CB2">
            <w:pPr>
              <w:jc w:val="center"/>
            </w:pPr>
            <w:r>
              <w:rPr>
                <w:color w:val="000000"/>
                <w:sz w:val="24"/>
                <w:szCs w:val="24"/>
              </w:rPr>
              <w:t>1.10%</w:t>
            </w:r>
          </w:p>
        </w:tc>
        <w:tc>
          <w:tcPr>
            <w:tcW w:w="1194" w:type="dxa"/>
            <w:vAlign w:val="center"/>
          </w:tcPr>
          <w:p w:rsidR="004720EE" w:rsidRDefault="00C46CB2">
            <w:pPr>
              <w:jc w:val="center"/>
            </w:pPr>
            <w:r>
              <w:rPr>
                <w:color w:val="000000"/>
                <w:sz w:val="24"/>
                <w:szCs w:val="24"/>
              </w:rPr>
              <w:t>-7.29%</w:t>
            </w:r>
          </w:p>
        </w:tc>
        <w:tc>
          <w:tcPr>
            <w:tcW w:w="898" w:type="dxa"/>
            <w:vAlign w:val="center"/>
          </w:tcPr>
          <w:p w:rsidR="004720EE" w:rsidRDefault="00C46CB2">
            <w:pPr>
              <w:jc w:val="center"/>
            </w:pPr>
            <w:r>
              <w:rPr>
                <w:color w:val="000000"/>
                <w:sz w:val="24"/>
                <w:szCs w:val="24"/>
              </w:rPr>
              <w:t>0.23%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2F2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720EE">
        <w:trPr>
          <w:jc w:val="center"/>
        </w:trPr>
        <w:tc>
          <w:tcPr>
            <w:tcW w:w="846" w:type="dxa"/>
            <w:vAlign w:val="center"/>
          </w:tcPr>
          <w:p w:rsidR="004720EE" w:rsidRDefault="00C46CB2">
            <w:pPr>
              <w:jc w:val="center"/>
            </w:pPr>
            <w:r>
              <w:rPr>
                <w:color w:val="000000"/>
                <w:sz w:val="24"/>
                <w:szCs w:val="24"/>
              </w:rPr>
              <w:t>王少成</w:t>
            </w:r>
          </w:p>
        </w:tc>
        <w:tc>
          <w:tcPr>
            <w:tcW w:w="845" w:type="dxa"/>
            <w:vAlign w:val="center"/>
          </w:tcPr>
          <w:p w:rsidR="004720EE" w:rsidRDefault="00C46CB2">
            <w:pPr>
              <w:jc w:val="center"/>
            </w:pPr>
            <w:r>
              <w:rPr>
                <w:color w:val="000000"/>
                <w:sz w:val="24"/>
                <w:szCs w:val="24"/>
              </w:rPr>
              <w:t>本基金、交银先锋股票、交银成长</w:t>
            </w:r>
            <w:r>
              <w:rPr>
                <w:color w:val="000000"/>
                <w:sz w:val="24"/>
                <w:szCs w:val="24"/>
              </w:rPr>
              <w:t>30</w:t>
            </w:r>
            <w:r>
              <w:rPr>
                <w:color w:val="000000"/>
                <w:sz w:val="24"/>
                <w:szCs w:val="24"/>
              </w:rPr>
              <w:t>股票的基金经理，公司权益部副总经理</w:t>
            </w:r>
          </w:p>
        </w:tc>
        <w:tc>
          <w:tcPr>
            <w:tcW w:w="1549" w:type="dxa"/>
            <w:vAlign w:val="center"/>
          </w:tcPr>
          <w:p w:rsidR="004720EE" w:rsidRDefault="00C46CB2">
            <w:pPr>
              <w:jc w:val="center"/>
            </w:pPr>
            <w:r>
              <w:rPr>
                <w:color w:val="000000"/>
                <w:sz w:val="24"/>
                <w:szCs w:val="24"/>
              </w:rPr>
              <w:t>2013-03-21</w:t>
            </w:r>
          </w:p>
        </w:tc>
        <w:tc>
          <w:tcPr>
            <w:tcW w:w="1548" w:type="dxa"/>
            <w:vAlign w:val="center"/>
          </w:tcPr>
          <w:p w:rsidR="004720EE" w:rsidRDefault="00C46CB2">
            <w:pPr>
              <w:jc w:val="center"/>
            </w:pPr>
            <w:r>
              <w:rPr>
                <w:color w:val="000000"/>
                <w:sz w:val="24"/>
                <w:szCs w:val="24"/>
              </w:rPr>
              <w:t>-</w:t>
            </w:r>
          </w:p>
        </w:tc>
        <w:tc>
          <w:tcPr>
            <w:tcW w:w="1407" w:type="dxa"/>
            <w:vAlign w:val="center"/>
          </w:tcPr>
          <w:p w:rsidR="004720EE" w:rsidRDefault="00C46CB2">
            <w:pPr>
              <w:jc w:val="center"/>
            </w:pPr>
            <w:r>
              <w:rPr>
                <w:color w:val="000000"/>
                <w:sz w:val="24"/>
                <w:szCs w:val="24"/>
              </w:rPr>
              <w:t>10</w:t>
            </w:r>
            <w:r>
              <w:rPr>
                <w:color w:val="000000"/>
                <w:sz w:val="24"/>
                <w:szCs w:val="24"/>
              </w:rPr>
              <w:t>年</w:t>
            </w:r>
          </w:p>
        </w:tc>
        <w:tc>
          <w:tcPr>
            <w:tcW w:w="2673" w:type="dxa"/>
            <w:vAlign w:val="center"/>
          </w:tcPr>
          <w:p w:rsidR="004720EE" w:rsidRDefault="00C46CB2">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720EE" w:rsidRDefault="00C46CB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720EE" w:rsidRDefault="00C46CB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720EE" w:rsidRDefault="00C46CB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720EE" w:rsidRDefault="00C46CB2">
      <w:pPr>
        <w:spacing w:before="29" w:line="288" w:lineRule="auto"/>
        <w:ind w:firstLineChars="200" w:firstLine="480"/>
        <w:rPr>
          <w:color w:val="000000"/>
          <w:sz w:val="24"/>
          <w:szCs w:val="24"/>
        </w:rPr>
      </w:pPr>
      <w:r>
        <w:rPr>
          <w:color w:val="000000"/>
          <w:sz w:val="24"/>
          <w:szCs w:val="24"/>
        </w:rPr>
        <w:t>2014</w:t>
      </w:r>
      <w:r>
        <w:rPr>
          <w:color w:val="000000"/>
          <w:sz w:val="24"/>
          <w:szCs w:val="24"/>
        </w:rPr>
        <w:t>年四季度</w:t>
      </w:r>
      <w:r>
        <w:rPr>
          <w:color w:val="000000"/>
          <w:sz w:val="24"/>
          <w:szCs w:val="24"/>
        </w:rPr>
        <w:t>A</w:t>
      </w:r>
      <w:r>
        <w:rPr>
          <w:color w:val="000000"/>
          <w:sz w:val="24"/>
          <w:szCs w:val="24"/>
        </w:rPr>
        <w:t>股市场呈现单边快速上涨的态势。特别是降息后，</w:t>
      </w:r>
      <w:r>
        <w:rPr>
          <w:color w:val="000000"/>
          <w:sz w:val="24"/>
          <w:szCs w:val="24"/>
        </w:rPr>
        <w:t>A</w:t>
      </w:r>
      <w:r>
        <w:rPr>
          <w:color w:val="000000"/>
          <w:sz w:val="24"/>
          <w:szCs w:val="24"/>
        </w:rPr>
        <w:t>股市场情绪被引爆，增量资金跑步入场。融资余额快速增长，各类资金涌入市场，</w:t>
      </w:r>
      <w:r>
        <w:rPr>
          <w:color w:val="000000"/>
          <w:sz w:val="24"/>
          <w:szCs w:val="24"/>
        </w:rPr>
        <w:t>A</w:t>
      </w:r>
      <w:r>
        <w:rPr>
          <w:color w:val="000000"/>
          <w:sz w:val="24"/>
          <w:szCs w:val="24"/>
        </w:rPr>
        <w:t>股市场成交量急剧放大。从宏观的角度观察，在通缩的背景下，国家乐见股市上涨，一方面吸引高流动性资本，一方面给企业打开股权融资窗口。从中观层面观察，银行为了匹配其负债端成本的上升，也积极推动非标资产进入股市。券商也不断降低融资门槛争抢新业务市场。从微观层面观察，投资者受到预期无风险收益率降低以及股市财富效应的感召，加速涌入市场。四季度市场快速上扬的背后是剧烈的风格转换，中小市值股票出现明显的下跌。面对风格剧烈分化的市场，投资组合的调整面临很大的困难。考虑到市场牛市氛围已形成，本基金整体提升了仓位，减持了部分涨幅较大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年一季度</w:t>
      </w:r>
      <w:r w:rsidRPr="00414345">
        <w:rPr>
          <w:color w:val="000000"/>
          <w:sz w:val="24"/>
          <w:szCs w:val="24"/>
        </w:rPr>
        <w:t>A</w:t>
      </w:r>
      <w:r w:rsidRPr="00414345">
        <w:rPr>
          <w:color w:val="000000"/>
          <w:sz w:val="24"/>
          <w:szCs w:val="24"/>
        </w:rPr>
        <w:t>股市场注定是个动荡的阶段。美元持续升值，油价持续暴跌，新兴市场国家风险在持续暴露。考虑到过去几年套息和套汇的短期外债的累积量较大，在资本回流美国的背景下，国内流动性管理面临巨大挑战。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1.315</w:t>
      </w:r>
      <w:r w:rsidRPr="00414345">
        <w:rPr>
          <w:color w:val="000000"/>
          <w:sz w:val="24"/>
          <w:szCs w:val="24"/>
        </w:rPr>
        <w:t>元，本报告期份额净值增长率为</w:t>
      </w:r>
      <w:r w:rsidRPr="00414345">
        <w:rPr>
          <w:color w:val="000000"/>
          <w:sz w:val="24"/>
          <w:szCs w:val="24"/>
        </w:rPr>
        <w:t>-3.52%</w:t>
      </w:r>
      <w:r w:rsidRPr="00414345">
        <w:rPr>
          <w:color w:val="000000"/>
          <w:sz w:val="24"/>
          <w:szCs w:val="24"/>
        </w:rPr>
        <w:t>，同期业绩比较基准增长率</w:t>
      </w:r>
      <w:r w:rsidRPr="00414345">
        <w:rPr>
          <w:color w:val="000000"/>
          <w:sz w:val="24"/>
          <w:szCs w:val="24"/>
        </w:rPr>
        <w:t>3.77%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CC349A">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2F2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492,668,925.62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492,668,925.62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90.25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52,436,331.10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9.61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803,978.20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545,909,234.92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384,047,346.84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12,595,702.87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15,901,839.10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41,482,324.19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6,746,096.00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31,895,616.62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492,668,925.62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720EE">
        <w:trPr>
          <w:jc w:val="center"/>
        </w:trPr>
        <w:tc>
          <w:tcPr>
            <w:tcW w:w="855" w:type="dxa"/>
            <w:vAlign w:val="center"/>
          </w:tcPr>
          <w:p w:rsidR="004720EE" w:rsidRDefault="00C46CB2">
            <w:pPr>
              <w:jc w:val="center"/>
            </w:pPr>
            <w:r>
              <w:rPr>
                <w:color w:val="000000"/>
                <w:sz w:val="24"/>
                <w:szCs w:val="24"/>
              </w:rPr>
              <w:t>1</w:t>
            </w:r>
          </w:p>
        </w:tc>
        <w:tc>
          <w:tcPr>
            <w:tcW w:w="1334" w:type="dxa"/>
            <w:vAlign w:val="center"/>
          </w:tcPr>
          <w:p w:rsidR="004720EE" w:rsidRDefault="00C46CB2">
            <w:pPr>
              <w:jc w:val="center"/>
            </w:pPr>
            <w:r>
              <w:rPr>
                <w:color w:val="000000"/>
                <w:sz w:val="24"/>
                <w:szCs w:val="24"/>
              </w:rPr>
              <w:t>600389</w:t>
            </w:r>
          </w:p>
        </w:tc>
        <w:tc>
          <w:tcPr>
            <w:tcW w:w="1777" w:type="dxa"/>
            <w:vAlign w:val="center"/>
          </w:tcPr>
          <w:p w:rsidR="004720EE" w:rsidRDefault="00C46CB2">
            <w:pPr>
              <w:jc w:val="center"/>
            </w:pPr>
            <w:r>
              <w:rPr>
                <w:color w:val="000000"/>
                <w:sz w:val="24"/>
                <w:szCs w:val="24"/>
              </w:rPr>
              <w:t>江山股份</w:t>
            </w:r>
          </w:p>
        </w:tc>
        <w:tc>
          <w:tcPr>
            <w:tcW w:w="1334" w:type="dxa"/>
            <w:vAlign w:val="center"/>
          </w:tcPr>
          <w:p w:rsidR="004720EE" w:rsidRDefault="00C46CB2">
            <w:pPr>
              <w:jc w:val="right"/>
            </w:pPr>
            <w:r>
              <w:rPr>
                <w:color w:val="000000"/>
                <w:sz w:val="24"/>
                <w:szCs w:val="24"/>
              </w:rPr>
              <w:t>1,950,638</w:t>
            </w:r>
          </w:p>
        </w:tc>
        <w:tc>
          <w:tcPr>
            <w:tcW w:w="1924" w:type="dxa"/>
            <w:vAlign w:val="center"/>
          </w:tcPr>
          <w:p w:rsidR="004720EE" w:rsidRDefault="00C46CB2">
            <w:pPr>
              <w:jc w:val="right"/>
            </w:pPr>
            <w:r>
              <w:rPr>
                <w:color w:val="000000"/>
                <w:sz w:val="24"/>
                <w:szCs w:val="24"/>
              </w:rPr>
              <w:t>51,847,958.04</w:t>
            </w:r>
          </w:p>
        </w:tc>
        <w:tc>
          <w:tcPr>
            <w:tcW w:w="1644" w:type="dxa"/>
            <w:vAlign w:val="center"/>
          </w:tcPr>
          <w:p w:rsidR="004720EE" w:rsidRDefault="00C46CB2">
            <w:pPr>
              <w:jc w:val="right"/>
            </w:pPr>
            <w:r>
              <w:rPr>
                <w:color w:val="000000"/>
                <w:sz w:val="24"/>
                <w:szCs w:val="24"/>
              </w:rPr>
              <w:t>9.61</w:t>
            </w:r>
          </w:p>
        </w:tc>
      </w:tr>
      <w:tr w:rsidR="004720EE">
        <w:trPr>
          <w:jc w:val="center"/>
        </w:trPr>
        <w:tc>
          <w:tcPr>
            <w:tcW w:w="855" w:type="dxa"/>
            <w:vAlign w:val="center"/>
          </w:tcPr>
          <w:p w:rsidR="004720EE" w:rsidRDefault="00C46CB2">
            <w:pPr>
              <w:jc w:val="center"/>
            </w:pPr>
            <w:r>
              <w:rPr>
                <w:color w:val="000000"/>
                <w:sz w:val="24"/>
                <w:szCs w:val="24"/>
              </w:rPr>
              <w:t>2</w:t>
            </w:r>
          </w:p>
        </w:tc>
        <w:tc>
          <w:tcPr>
            <w:tcW w:w="1334" w:type="dxa"/>
            <w:vAlign w:val="center"/>
          </w:tcPr>
          <w:p w:rsidR="004720EE" w:rsidRDefault="00C46CB2">
            <w:pPr>
              <w:jc w:val="center"/>
            </w:pPr>
            <w:r>
              <w:rPr>
                <w:color w:val="000000"/>
                <w:sz w:val="24"/>
                <w:szCs w:val="24"/>
              </w:rPr>
              <w:t>600967</w:t>
            </w:r>
          </w:p>
        </w:tc>
        <w:tc>
          <w:tcPr>
            <w:tcW w:w="1777" w:type="dxa"/>
            <w:vAlign w:val="center"/>
          </w:tcPr>
          <w:p w:rsidR="004720EE" w:rsidRDefault="00C46CB2">
            <w:pPr>
              <w:jc w:val="center"/>
            </w:pPr>
            <w:r>
              <w:rPr>
                <w:color w:val="000000"/>
                <w:sz w:val="24"/>
                <w:szCs w:val="24"/>
              </w:rPr>
              <w:t>北方创业</w:t>
            </w:r>
          </w:p>
        </w:tc>
        <w:tc>
          <w:tcPr>
            <w:tcW w:w="1334" w:type="dxa"/>
            <w:vAlign w:val="center"/>
          </w:tcPr>
          <w:p w:rsidR="004720EE" w:rsidRDefault="00C46CB2">
            <w:pPr>
              <w:jc w:val="right"/>
            </w:pPr>
            <w:r>
              <w:rPr>
                <w:color w:val="000000"/>
                <w:sz w:val="24"/>
                <w:szCs w:val="24"/>
              </w:rPr>
              <w:t>3,243,358</w:t>
            </w:r>
          </w:p>
        </w:tc>
        <w:tc>
          <w:tcPr>
            <w:tcW w:w="1924" w:type="dxa"/>
            <w:vAlign w:val="center"/>
          </w:tcPr>
          <w:p w:rsidR="004720EE" w:rsidRDefault="00C46CB2">
            <w:pPr>
              <w:jc w:val="right"/>
            </w:pPr>
            <w:r>
              <w:rPr>
                <w:color w:val="000000"/>
                <w:sz w:val="24"/>
                <w:szCs w:val="24"/>
              </w:rPr>
              <w:t>47,871,964.08</w:t>
            </w:r>
          </w:p>
        </w:tc>
        <w:tc>
          <w:tcPr>
            <w:tcW w:w="1644" w:type="dxa"/>
            <w:vAlign w:val="center"/>
          </w:tcPr>
          <w:p w:rsidR="004720EE" w:rsidRDefault="00C46CB2">
            <w:pPr>
              <w:jc w:val="right"/>
            </w:pPr>
            <w:r>
              <w:rPr>
                <w:color w:val="000000"/>
                <w:sz w:val="24"/>
                <w:szCs w:val="24"/>
              </w:rPr>
              <w:t>8.88</w:t>
            </w:r>
          </w:p>
        </w:tc>
      </w:tr>
      <w:tr w:rsidR="004720EE">
        <w:trPr>
          <w:jc w:val="center"/>
        </w:trPr>
        <w:tc>
          <w:tcPr>
            <w:tcW w:w="855" w:type="dxa"/>
            <w:vAlign w:val="center"/>
          </w:tcPr>
          <w:p w:rsidR="004720EE" w:rsidRDefault="00C46CB2">
            <w:pPr>
              <w:jc w:val="center"/>
            </w:pPr>
            <w:r>
              <w:rPr>
                <w:color w:val="000000"/>
                <w:sz w:val="24"/>
                <w:szCs w:val="24"/>
              </w:rPr>
              <w:t>3</w:t>
            </w:r>
          </w:p>
        </w:tc>
        <w:tc>
          <w:tcPr>
            <w:tcW w:w="1334" w:type="dxa"/>
            <w:vAlign w:val="center"/>
          </w:tcPr>
          <w:p w:rsidR="004720EE" w:rsidRDefault="00C46CB2">
            <w:pPr>
              <w:jc w:val="center"/>
            </w:pPr>
            <w:r>
              <w:rPr>
                <w:color w:val="000000"/>
                <w:sz w:val="24"/>
                <w:szCs w:val="24"/>
              </w:rPr>
              <w:t>600763</w:t>
            </w:r>
          </w:p>
        </w:tc>
        <w:tc>
          <w:tcPr>
            <w:tcW w:w="1777" w:type="dxa"/>
            <w:vAlign w:val="center"/>
          </w:tcPr>
          <w:p w:rsidR="004720EE" w:rsidRDefault="00C46CB2">
            <w:pPr>
              <w:jc w:val="center"/>
            </w:pPr>
            <w:r>
              <w:rPr>
                <w:color w:val="000000"/>
                <w:sz w:val="24"/>
                <w:szCs w:val="24"/>
              </w:rPr>
              <w:t>通策医疗</w:t>
            </w:r>
          </w:p>
        </w:tc>
        <w:tc>
          <w:tcPr>
            <w:tcW w:w="1334" w:type="dxa"/>
            <w:vAlign w:val="center"/>
          </w:tcPr>
          <w:p w:rsidR="004720EE" w:rsidRDefault="00C46CB2">
            <w:pPr>
              <w:jc w:val="right"/>
            </w:pPr>
            <w:r>
              <w:rPr>
                <w:color w:val="000000"/>
                <w:sz w:val="24"/>
                <w:szCs w:val="24"/>
              </w:rPr>
              <w:t>664,769</w:t>
            </w:r>
          </w:p>
        </w:tc>
        <w:tc>
          <w:tcPr>
            <w:tcW w:w="1924" w:type="dxa"/>
            <w:vAlign w:val="center"/>
          </w:tcPr>
          <w:p w:rsidR="004720EE" w:rsidRDefault="00C46CB2">
            <w:pPr>
              <w:jc w:val="right"/>
            </w:pPr>
            <w:r>
              <w:rPr>
                <w:color w:val="000000"/>
                <w:sz w:val="24"/>
                <w:szCs w:val="24"/>
              </w:rPr>
              <w:t>31,895,616.62</w:t>
            </w:r>
          </w:p>
        </w:tc>
        <w:tc>
          <w:tcPr>
            <w:tcW w:w="1644" w:type="dxa"/>
            <w:vAlign w:val="center"/>
          </w:tcPr>
          <w:p w:rsidR="004720EE" w:rsidRDefault="00C46CB2">
            <w:pPr>
              <w:jc w:val="right"/>
            </w:pPr>
            <w:r>
              <w:rPr>
                <w:color w:val="000000"/>
                <w:sz w:val="24"/>
                <w:szCs w:val="24"/>
              </w:rPr>
              <w:t>5.91</w:t>
            </w:r>
          </w:p>
        </w:tc>
      </w:tr>
      <w:tr w:rsidR="004720EE">
        <w:trPr>
          <w:jc w:val="center"/>
        </w:trPr>
        <w:tc>
          <w:tcPr>
            <w:tcW w:w="855" w:type="dxa"/>
            <w:vAlign w:val="center"/>
          </w:tcPr>
          <w:p w:rsidR="004720EE" w:rsidRDefault="00C46CB2">
            <w:pPr>
              <w:jc w:val="center"/>
            </w:pPr>
            <w:r>
              <w:rPr>
                <w:color w:val="000000"/>
                <w:sz w:val="24"/>
                <w:szCs w:val="24"/>
              </w:rPr>
              <w:t>4</w:t>
            </w:r>
          </w:p>
        </w:tc>
        <w:tc>
          <w:tcPr>
            <w:tcW w:w="1334" w:type="dxa"/>
            <w:vAlign w:val="center"/>
          </w:tcPr>
          <w:p w:rsidR="004720EE" w:rsidRDefault="00C46CB2">
            <w:pPr>
              <w:jc w:val="center"/>
            </w:pPr>
            <w:r>
              <w:rPr>
                <w:color w:val="000000"/>
                <w:sz w:val="24"/>
                <w:szCs w:val="24"/>
              </w:rPr>
              <w:t>002223</w:t>
            </w:r>
          </w:p>
        </w:tc>
        <w:tc>
          <w:tcPr>
            <w:tcW w:w="1777" w:type="dxa"/>
            <w:vAlign w:val="center"/>
          </w:tcPr>
          <w:p w:rsidR="004720EE" w:rsidRDefault="00C46CB2">
            <w:pPr>
              <w:jc w:val="center"/>
            </w:pPr>
            <w:r>
              <w:rPr>
                <w:color w:val="000000"/>
                <w:sz w:val="24"/>
                <w:szCs w:val="24"/>
              </w:rPr>
              <w:t>鱼跃医疗</w:t>
            </w:r>
          </w:p>
        </w:tc>
        <w:tc>
          <w:tcPr>
            <w:tcW w:w="1334" w:type="dxa"/>
            <w:vAlign w:val="center"/>
          </w:tcPr>
          <w:p w:rsidR="004720EE" w:rsidRDefault="00C46CB2">
            <w:pPr>
              <w:jc w:val="right"/>
            </w:pPr>
            <w:r>
              <w:rPr>
                <w:color w:val="000000"/>
                <w:sz w:val="24"/>
                <w:szCs w:val="24"/>
              </w:rPr>
              <w:t>1,206,236</w:t>
            </w:r>
          </w:p>
        </w:tc>
        <w:tc>
          <w:tcPr>
            <w:tcW w:w="1924" w:type="dxa"/>
            <w:vAlign w:val="center"/>
          </w:tcPr>
          <w:p w:rsidR="004720EE" w:rsidRDefault="00C46CB2">
            <w:pPr>
              <w:jc w:val="right"/>
            </w:pPr>
            <w:r>
              <w:rPr>
                <w:color w:val="000000"/>
                <w:sz w:val="24"/>
                <w:szCs w:val="24"/>
              </w:rPr>
              <w:t>30,107,650.56</w:t>
            </w:r>
          </w:p>
        </w:tc>
        <w:tc>
          <w:tcPr>
            <w:tcW w:w="1644" w:type="dxa"/>
            <w:vAlign w:val="center"/>
          </w:tcPr>
          <w:p w:rsidR="004720EE" w:rsidRDefault="00C46CB2">
            <w:pPr>
              <w:jc w:val="right"/>
            </w:pPr>
            <w:r>
              <w:rPr>
                <w:color w:val="000000"/>
                <w:sz w:val="24"/>
                <w:szCs w:val="24"/>
              </w:rPr>
              <w:t>5.58</w:t>
            </w:r>
          </w:p>
        </w:tc>
      </w:tr>
      <w:tr w:rsidR="004720EE">
        <w:trPr>
          <w:jc w:val="center"/>
        </w:trPr>
        <w:tc>
          <w:tcPr>
            <w:tcW w:w="855" w:type="dxa"/>
            <w:vAlign w:val="center"/>
          </w:tcPr>
          <w:p w:rsidR="004720EE" w:rsidRDefault="00C46CB2">
            <w:pPr>
              <w:jc w:val="center"/>
            </w:pPr>
            <w:r>
              <w:rPr>
                <w:color w:val="000000"/>
                <w:sz w:val="24"/>
                <w:szCs w:val="24"/>
              </w:rPr>
              <w:t>5</w:t>
            </w:r>
          </w:p>
        </w:tc>
        <w:tc>
          <w:tcPr>
            <w:tcW w:w="1334" w:type="dxa"/>
            <w:vAlign w:val="center"/>
          </w:tcPr>
          <w:p w:rsidR="004720EE" w:rsidRDefault="00C46CB2">
            <w:pPr>
              <w:jc w:val="center"/>
            </w:pPr>
            <w:r>
              <w:rPr>
                <w:color w:val="000000"/>
                <w:sz w:val="24"/>
                <w:szCs w:val="24"/>
              </w:rPr>
              <w:t>600038</w:t>
            </w:r>
          </w:p>
        </w:tc>
        <w:tc>
          <w:tcPr>
            <w:tcW w:w="1777" w:type="dxa"/>
            <w:vAlign w:val="center"/>
          </w:tcPr>
          <w:p w:rsidR="004720EE" w:rsidRDefault="00C46CB2">
            <w:pPr>
              <w:jc w:val="center"/>
            </w:pPr>
            <w:r>
              <w:rPr>
                <w:color w:val="000000"/>
                <w:sz w:val="24"/>
                <w:szCs w:val="24"/>
              </w:rPr>
              <w:t>哈飞股份</w:t>
            </w:r>
          </w:p>
        </w:tc>
        <w:tc>
          <w:tcPr>
            <w:tcW w:w="1334" w:type="dxa"/>
            <w:vAlign w:val="center"/>
          </w:tcPr>
          <w:p w:rsidR="004720EE" w:rsidRDefault="00C46CB2">
            <w:pPr>
              <w:jc w:val="right"/>
            </w:pPr>
            <w:r>
              <w:rPr>
                <w:color w:val="000000"/>
                <w:sz w:val="24"/>
                <w:szCs w:val="24"/>
              </w:rPr>
              <w:t>788,710</w:t>
            </w:r>
          </w:p>
        </w:tc>
        <w:tc>
          <w:tcPr>
            <w:tcW w:w="1924" w:type="dxa"/>
            <w:vAlign w:val="center"/>
          </w:tcPr>
          <w:p w:rsidR="004720EE" w:rsidRDefault="00C46CB2">
            <w:pPr>
              <w:jc w:val="right"/>
            </w:pPr>
            <w:r>
              <w:rPr>
                <w:color w:val="000000"/>
                <w:sz w:val="24"/>
                <w:szCs w:val="24"/>
              </w:rPr>
              <w:t>29,671,270.20</w:t>
            </w:r>
          </w:p>
        </w:tc>
        <w:tc>
          <w:tcPr>
            <w:tcW w:w="1644" w:type="dxa"/>
            <w:vAlign w:val="center"/>
          </w:tcPr>
          <w:p w:rsidR="004720EE" w:rsidRDefault="00C46CB2">
            <w:pPr>
              <w:jc w:val="right"/>
            </w:pPr>
            <w:r>
              <w:rPr>
                <w:color w:val="000000"/>
                <w:sz w:val="24"/>
                <w:szCs w:val="24"/>
              </w:rPr>
              <w:t>5.50</w:t>
            </w:r>
          </w:p>
        </w:tc>
      </w:tr>
      <w:tr w:rsidR="004720EE">
        <w:trPr>
          <w:jc w:val="center"/>
        </w:trPr>
        <w:tc>
          <w:tcPr>
            <w:tcW w:w="855" w:type="dxa"/>
            <w:vAlign w:val="center"/>
          </w:tcPr>
          <w:p w:rsidR="004720EE" w:rsidRDefault="00C46CB2">
            <w:pPr>
              <w:jc w:val="center"/>
            </w:pPr>
            <w:r>
              <w:rPr>
                <w:color w:val="000000"/>
                <w:sz w:val="24"/>
                <w:szCs w:val="24"/>
              </w:rPr>
              <w:t>6</w:t>
            </w:r>
          </w:p>
        </w:tc>
        <w:tc>
          <w:tcPr>
            <w:tcW w:w="1334" w:type="dxa"/>
            <w:vAlign w:val="center"/>
          </w:tcPr>
          <w:p w:rsidR="004720EE" w:rsidRDefault="00C46CB2">
            <w:pPr>
              <w:jc w:val="center"/>
            </w:pPr>
            <w:r>
              <w:rPr>
                <w:color w:val="000000"/>
                <w:sz w:val="24"/>
                <w:szCs w:val="24"/>
              </w:rPr>
              <w:t>601179</w:t>
            </w:r>
          </w:p>
        </w:tc>
        <w:tc>
          <w:tcPr>
            <w:tcW w:w="1777" w:type="dxa"/>
            <w:vAlign w:val="center"/>
          </w:tcPr>
          <w:p w:rsidR="004720EE" w:rsidRDefault="00C46CB2">
            <w:pPr>
              <w:jc w:val="center"/>
            </w:pPr>
            <w:r>
              <w:rPr>
                <w:color w:val="000000"/>
                <w:sz w:val="24"/>
                <w:szCs w:val="24"/>
              </w:rPr>
              <w:t>中国西电</w:t>
            </w:r>
          </w:p>
        </w:tc>
        <w:tc>
          <w:tcPr>
            <w:tcW w:w="1334" w:type="dxa"/>
            <w:vAlign w:val="center"/>
          </w:tcPr>
          <w:p w:rsidR="004720EE" w:rsidRDefault="00C46CB2">
            <w:pPr>
              <w:jc w:val="right"/>
            </w:pPr>
            <w:r>
              <w:rPr>
                <w:color w:val="000000"/>
                <w:sz w:val="24"/>
                <w:szCs w:val="24"/>
              </w:rPr>
              <w:t>3,027,210</w:t>
            </w:r>
          </w:p>
        </w:tc>
        <w:tc>
          <w:tcPr>
            <w:tcW w:w="1924" w:type="dxa"/>
            <w:vAlign w:val="center"/>
          </w:tcPr>
          <w:p w:rsidR="004720EE" w:rsidRDefault="00C46CB2">
            <w:pPr>
              <w:jc w:val="right"/>
            </w:pPr>
            <w:r>
              <w:rPr>
                <w:color w:val="000000"/>
                <w:sz w:val="24"/>
                <w:szCs w:val="24"/>
              </w:rPr>
              <w:t>23,521,421.70</w:t>
            </w:r>
          </w:p>
        </w:tc>
        <w:tc>
          <w:tcPr>
            <w:tcW w:w="1644" w:type="dxa"/>
            <w:vAlign w:val="center"/>
          </w:tcPr>
          <w:p w:rsidR="004720EE" w:rsidRDefault="00C46CB2">
            <w:pPr>
              <w:jc w:val="right"/>
            </w:pPr>
            <w:r>
              <w:rPr>
                <w:color w:val="000000"/>
                <w:sz w:val="24"/>
                <w:szCs w:val="24"/>
              </w:rPr>
              <w:t>4.36</w:t>
            </w:r>
          </w:p>
        </w:tc>
      </w:tr>
      <w:tr w:rsidR="004720EE">
        <w:trPr>
          <w:jc w:val="center"/>
        </w:trPr>
        <w:tc>
          <w:tcPr>
            <w:tcW w:w="855" w:type="dxa"/>
            <w:vAlign w:val="center"/>
          </w:tcPr>
          <w:p w:rsidR="004720EE" w:rsidRDefault="00C46CB2">
            <w:pPr>
              <w:jc w:val="center"/>
            </w:pPr>
            <w:r>
              <w:rPr>
                <w:color w:val="000000"/>
                <w:sz w:val="24"/>
                <w:szCs w:val="24"/>
              </w:rPr>
              <w:t>7</w:t>
            </w:r>
          </w:p>
        </w:tc>
        <w:tc>
          <w:tcPr>
            <w:tcW w:w="1334" w:type="dxa"/>
            <w:vAlign w:val="center"/>
          </w:tcPr>
          <w:p w:rsidR="004720EE" w:rsidRDefault="00C46CB2">
            <w:pPr>
              <w:jc w:val="center"/>
            </w:pPr>
            <w:r>
              <w:rPr>
                <w:color w:val="000000"/>
                <w:sz w:val="24"/>
                <w:szCs w:val="24"/>
              </w:rPr>
              <w:t>600089</w:t>
            </w:r>
          </w:p>
        </w:tc>
        <w:tc>
          <w:tcPr>
            <w:tcW w:w="1777" w:type="dxa"/>
            <w:vAlign w:val="center"/>
          </w:tcPr>
          <w:p w:rsidR="004720EE" w:rsidRDefault="00C46CB2">
            <w:pPr>
              <w:jc w:val="center"/>
            </w:pPr>
            <w:r>
              <w:rPr>
                <w:color w:val="000000"/>
                <w:sz w:val="24"/>
                <w:szCs w:val="24"/>
              </w:rPr>
              <w:t>特变电工</w:t>
            </w:r>
          </w:p>
        </w:tc>
        <w:tc>
          <w:tcPr>
            <w:tcW w:w="1334" w:type="dxa"/>
            <w:vAlign w:val="center"/>
          </w:tcPr>
          <w:p w:rsidR="004720EE" w:rsidRDefault="00C46CB2">
            <w:pPr>
              <w:jc w:val="right"/>
            </w:pPr>
            <w:r>
              <w:rPr>
                <w:color w:val="000000"/>
                <w:sz w:val="24"/>
                <w:szCs w:val="24"/>
              </w:rPr>
              <w:t>1,845,515</w:t>
            </w:r>
          </w:p>
        </w:tc>
        <w:tc>
          <w:tcPr>
            <w:tcW w:w="1924" w:type="dxa"/>
            <w:vAlign w:val="center"/>
          </w:tcPr>
          <w:p w:rsidR="004720EE" w:rsidRDefault="00C46CB2">
            <w:pPr>
              <w:jc w:val="right"/>
            </w:pPr>
            <w:r>
              <w:rPr>
                <w:color w:val="000000"/>
                <w:sz w:val="24"/>
                <w:szCs w:val="24"/>
              </w:rPr>
              <w:t>22,847,475.70</w:t>
            </w:r>
          </w:p>
        </w:tc>
        <w:tc>
          <w:tcPr>
            <w:tcW w:w="1644" w:type="dxa"/>
            <w:vAlign w:val="center"/>
          </w:tcPr>
          <w:p w:rsidR="004720EE" w:rsidRDefault="00C46CB2">
            <w:pPr>
              <w:jc w:val="right"/>
            </w:pPr>
            <w:r>
              <w:rPr>
                <w:color w:val="000000"/>
                <w:sz w:val="24"/>
                <w:szCs w:val="24"/>
              </w:rPr>
              <w:t>4.24</w:t>
            </w:r>
          </w:p>
        </w:tc>
      </w:tr>
      <w:tr w:rsidR="004720EE">
        <w:trPr>
          <w:jc w:val="center"/>
        </w:trPr>
        <w:tc>
          <w:tcPr>
            <w:tcW w:w="855" w:type="dxa"/>
            <w:vAlign w:val="center"/>
          </w:tcPr>
          <w:p w:rsidR="004720EE" w:rsidRDefault="00C46CB2">
            <w:pPr>
              <w:jc w:val="center"/>
            </w:pPr>
            <w:r>
              <w:rPr>
                <w:color w:val="000000"/>
                <w:sz w:val="24"/>
                <w:szCs w:val="24"/>
              </w:rPr>
              <w:t>8</w:t>
            </w:r>
          </w:p>
        </w:tc>
        <w:tc>
          <w:tcPr>
            <w:tcW w:w="1334" w:type="dxa"/>
            <w:vAlign w:val="center"/>
          </w:tcPr>
          <w:p w:rsidR="004720EE" w:rsidRDefault="00C46CB2">
            <w:pPr>
              <w:jc w:val="center"/>
            </w:pPr>
            <w:r>
              <w:rPr>
                <w:color w:val="000000"/>
                <w:sz w:val="24"/>
                <w:szCs w:val="24"/>
              </w:rPr>
              <w:t>601766</w:t>
            </w:r>
          </w:p>
        </w:tc>
        <w:tc>
          <w:tcPr>
            <w:tcW w:w="1777" w:type="dxa"/>
            <w:vAlign w:val="center"/>
          </w:tcPr>
          <w:p w:rsidR="004720EE" w:rsidRDefault="00C46CB2">
            <w:pPr>
              <w:jc w:val="center"/>
            </w:pPr>
            <w:r>
              <w:rPr>
                <w:color w:val="000000"/>
                <w:sz w:val="24"/>
                <w:szCs w:val="24"/>
              </w:rPr>
              <w:t>中国南车</w:t>
            </w:r>
          </w:p>
        </w:tc>
        <w:tc>
          <w:tcPr>
            <w:tcW w:w="1334" w:type="dxa"/>
            <w:vAlign w:val="center"/>
          </w:tcPr>
          <w:p w:rsidR="004720EE" w:rsidRDefault="00C46CB2">
            <w:pPr>
              <w:jc w:val="right"/>
            </w:pPr>
            <w:r>
              <w:rPr>
                <w:color w:val="000000"/>
                <w:sz w:val="24"/>
                <w:szCs w:val="24"/>
              </w:rPr>
              <w:t>3,188,860</w:t>
            </w:r>
          </w:p>
        </w:tc>
        <w:tc>
          <w:tcPr>
            <w:tcW w:w="1924" w:type="dxa"/>
            <w:vAlign w:val="center"/>
          </w:tcPr>
          <w:p w:rsidR="004720EE" w:rsidRDefault="00C46CB2">
            <w:pPr>
              <w:jc w:val="right"/>
            </w:pPr>
            <w:r>
              <w:rPr>
                <w:color w:val="000000"/>
                <w:sz w:val="24"/>
                <w:szCs w:val="24"/>
              </w:rPr>
              <w:t>21,142,141.80</w:t>
            </w:r>
          </w:p>
        </w:tc>
        <w:tc>
          <w:tcPr>
            <w:tcW w:w="1644" w:type="dxa"/>
            <w:vAlign w:val="center"/>
          </w:tcPr>
          <w:p w:rsidR="004720EE" w:rsidRDefault="00C46CB2">
            <w:pPr>
              <w:jc w:val="right"/>
            </w:pPr>
            <w:r>
              <w:rPr>
                <w:color w:val="000000"/>
                <w:sz w:val="24"/>
                <w:szCs w:val="24"/>
              </w:rPr>
              <w:t>3.92</w:t>
            </w:r>
          </w:p>
        </w:tc>
      </w:tr>
      <w:tr w:rsidR="004720EE">
        <w:trPr>
          <w:jc w:val="center"/>
        </w:trPr>
        <w:tc>
          <w:tcPr>
            <w:tcW w:w="855" w:type="dxa"/>
            <w:vAlign w:val="center"/>
          </w:tcPr>
          <w:p w:rsidR="004720EE" w:rsidRDefault="00C46CB2">
            <w:pPr>
              <w:jc w:val="center"/>
            </w:pPr>
            <w:r>
              <w:rPr>
                <w:color w:val="000000"/>
                <w:sz w:val="24"/>
                <w:szCs w:val="24"/>
              </w:rPr>
              <w:t>9</w:t>
            </w:r>
          </w:p>
        </w:tc>
        <w:tc>
          <w:tcPr>
            <w:tcW w:w="1334" w:type="dxa"/>
            <w:vAlign w:val="center"/>
          </w:tcPr>
          <w:p w:rsidR="004720EE" w:rsidRDefault="00C46CB2">
            <w:pPr>
              <w:jc w:val="center"/>
            </w:pPr>
            <w:r>
              <w:rPr>
                <w:color w:val="000000"/>
                <w:sz w:val="24"/>
                <w:szCs w:val="24"/>
              </w:rPr>
              <w:t>300334</w:t>
            </w:r>
          </w:p>
        </w:tc>
        <w:tc>
          <w:tcPr>
            <w:tcW w:w="1777" w:type="dxa"/>
            <w:vAlign w:val="center"/>
          </w:tcPr>
          <w:p w:rsidR="004720EE" w:rsidRDefault="00C46CB2">
            <w:pPr>
              <w:jc w:val="center"/>
            </w:pPr>
            <w:r>
              <w:rPr>
                <w:color w:val="000000"/>
                <w:sz w:val="24"/>
                <w:szCs w:val="24"/>
              </w:rPr>
              <w:t>津膜科技</w:t>
            </w:r>
          </w:p>
        </w:tc>
        <w:tc>
          <w:tcPr>
            <w:tcW w:w="1334" w:type="dxa"/>
            <w:vAlign w:val="center"/>
          </w:tcPr>
          <w:p w:rsidR="004720EE" w:rsidRDefault="00C46CB2">
            <w:pPr>
              <w:jc w:val="right"/>
            </w:pPr>
            <w:r>
              <w:rPr>
                <w:color w:val="000000"/>
                <w:sz w:val="24"/>
                <w:szCs w:val="24"/>
              </w:rPr>
              <w:t>1,004,900</w:t>
            </w:r>
          </w:p>
        </w:tc>
        <w:tc>
          <w:tcPr>
            <w:tcW w:w="1924" w:type="dxa"/>
            <w:vAlign w:val="center"/>
          </w:tcPr>
          <w:p w:rsidR="004720EE" w:rsidRDefault="00C46CB2">
            <w:pPr>
              <w:jc w:val="right"/>
            </w:pPr>
            <w:r>
              <w:rPr>
                <w:color w:val="000000"/>
                <w:sz w:val="24"/>
                <w:szCs w:val="24"/>
              </w:rPr>
              <w:t>20,540,156.00</w:t>
            </w:r>
          </w:p>
        </w:tc>
        <w:tc>
          <w:tcPr>
            <w:tcW w:w="1644" w:type="dxa"/>
            <w:vAlign w:val="center"/>
          </w:tcPr>
          <w:p w:rsidR="004720EE" w:rsidRDefault="00C46CB2">
            <w:pPr>
              <w:jc w:val="right"/>
            </w:pPr>
            <w:r>
              <w:rPr>
                <w:color w:val="000000"/>
                <w:sz w:val="24"/>
                <w:szCs w:val="24"/>
              </w:rPr>
              <w:t>3.81</w:t>
            </w:r>
          </w:p>
        </w:tc>
      </w:tr>
      <w:tr w:rsidR="004720EE">
        <w:trPr>
          <w:jc w:val="center"/>
        </w:trPr>
        <w:tc>
          <w:tcPr>
            <w:tcW w:w="855" w:type="dxa"/>
            <w:vAlign w:val="center"/>
          </w:tcPr>
          <w:p w:rsidR="004720EE" w:rsidRDefault="00C46CB2">
            <w:pPr>
              <w:jc w:val="center"/>
            </w:pPr>
            <w:r>
              <w:rPr>
                <w:color w:val="000000"/>
                <w:sz w:val="24"/>
                <w:szCs w:val="24"/>
              </w:rPr>
              <w:t>10</w:t>
            </w:r>
          </w:p>
        </w:tc>
        <w:tc>
          <w:tcPr>
            <w:tcW w:w="1334" w:type="dxa"/>
            <w:vAlign w:val="center"/>
          </w:tcPr>
          <w:p w:rsidR="004720EE" w:rsidRDefault="00C46CB2">
            <w:pPr>
              <w:jc w:val="center"/>
            </w:pPr>
            <w:r>
              <w:rPr>
                <w:color w:val="000000"/>
                <w:sz w:val="24"/>
                <w:szCs w:val="24"/>
              </w:rPr>
              <w:t>600893</w:t>
            </w:r>
          </w:p>
        </w:tc>
        <w:tc>
          <w:tcPr>
            <w:tcW w:w="1777" w:type="dxa"/>
            <w:vAlign w:val="center"/>
          </w:tcPr>
          <w:p w:rsidR="004720EE" w:rsidRDefault="00C46CB2">
            <w:pPr>
              <w:jc w:val="center"/>
            </w:pPr>
            <w:r>
              <w:rPr>
                <w:color w:val="000000"/>
                <w:sz w:val="24"/>
                <w:szCs w:val="24"/>
              </w:rPr>
              <w:t>航空动力</w:t>
            </w:r>
          </w:p>
        </w:tc>
        <w:tc>
          <w:tcPr>
            <w:tcW w:w="1334" w:type="dxa"/>
            <w:vAlign w:val="center"/>
          </w:tcPr>
          <w:p w:rsidR="004720EE" w:rsidRDefault="00C46CB2">
            <w:pPr>
              <w:jc w:val="right"/>
            </w:pPr>
            <w:r>
              <w:rPr>
                <w:color w:val="000000"/>
                <w:sz w:val="24"/>
                <w:szCs w:val="24"/>
              </w:rPr>
              <w:t>611,286</w:t>
            </w:r>
          </w:p>
        </w:tc>
        <w:tc>
          <w:tcPr>
            <w:tcW w:w="1924" w:type="dxa"/>
            <w:vAlign w:val="center"/>
          </w:tcPr>
          <w:p w:rsidR="004720EE" w:rsidRDefault="00C46CB2">
            <w:pPr>
              <w:jc w:val="right"/>
            </w:pPr>
            <w:r>
              <w:rPr>
                <w:color w:val="000000"/>
                <w:sz w:val="24"/>
                <w:szCs w:val="24"/>
              </w:rPr>
              <w:t>17,702,842.56</w:t>
            </w:r>
          </w:p>
        </w:tc>
        <w:tc>
          <w:tcPr>
            <w:tcW w:w="1644" w:type="dxa"/>
            <w:vAlign w:val="center"/>
          </w:tcPr>
          <w:p w:rsidR="004720EE" w:rsidRDefault="00C46CB2">
            <w:pPr>
              <w:jc w:val="right"/>
            </w:pPr>
            <w:r>
              <w:rPr>
                <w:color w:val="000000"/>
                <w:sz w:val="24"/>
                <w:szCs w:val="24"/>
              </w:rPr>
              <w:t>3.28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82,995.90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12,052.96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708,929.34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803,978.20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669,540,186.58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171,028,359.91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430,482,428.25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410,086,118.24</w:t>
            </w:r>
          </w:p>
        </w:tc>
      </w:tr>
    </w:tbl>
    <w:p w:rsidR="004720EE" w:rsidRDefault="00C46C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2F2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20,004,400.00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20,004,400.00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bl>
    <w:p w:rsidR="004720EE" w:rsidRDefault="00C46CB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356"/>
        <w:gridCol w:w="1516"/>
        <w:gridCol w:w="2076"/>
        <w:gridCol w:w="2003"/>
        <w:gridCol w:w="1343"/>
      </w:tblGrid>
      <w:tr w:rsidR="00320300" w:rsidRPr="00414345" w:rsidTr="00C46CB2">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35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516"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207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200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4720EE" w:rsidTr="00C46CB2">
        <w:trPr>
          <w:jc w:val="center"/>
        </w:trPr>
        <w:tc>
          <w:tcPr>
            <w:tcW w:w="1032" w:type="dxa"/>
            <w:vAlign w:val="center"/>
          </w:tcPr>
          <w:p w:rsidR="004720EE" w:rsidRDefault="00D02558">
            <w:pPr>
              <w:jc w:val="center"/>
            </w:pPr>
            <w:r>
              <w:rPr>
                <w:rFonts w:hint="eastAsia"/>
                <w:color w:val="000000"/>
                <w:sz w:val="24"/>
              </w:rPr>
              <w:t>1</w:t>
            </w:r>
          </w:p>
        </w:tc>
        <w:tc>
          <w:tcPr>
            <w:tcW w:w="1356" w:type="dxa"/>
            <w:vAlign w:val="center"/>
          </w:tcPr>
          <w:p w:rsidR="004720EE" w:rsidRDefault="00C46CB2">
            <w:pPr>
              <w:jc w:val="center"/>
            </w:pPr>
            <w:r>
              <w:rPr>
                <w:color w:val="000000"/>
                <w:sz w:val="24"/>
              </w:rPr>
              <w:t>赎回</w:t>
            </w:r>
          </w:p>
        </w:tc>
        <w:tc>
          <w:tcPr>
            <w:tcW w:w="1516" w:type="dxa"/>
            <w:vAlign w:val="center"/>
          </w:tcPr>
          <w:p w:rsidR="004720EE" w:rsidRDefault="00C46CB2">
            <w:pPr>
              <w:jc w:val="center"/>
            </w:pPr>
            <w:r>
              <w:rPr>
                <w:color w:val="000000"/>
                <w:sz w:val="24"/>
              </w:rPr>
              <w:t>2014-10-08</w:t>
            </w:r>
          </w:p>
        </w:tc>
        <w:tc>
          <w:tcPr>
            <w:tcW w:w="2076" w:type="dxa"/>
            <w:vAlign w:val="center"/>
          </w:tcPr>
          <w:p w:rsidR="004720EE" w:rsidRDefault="00C46CB2" w:rsidP="00C46CB2">
            <w:pPr>
              <w:ind w:right="240"/>
              <w:jc w:val="right"/>
            </w:pPr>
            <w:r>
              <w:rPr>
                <w:color w:val="000000"/>
                <w:sz w:val="24"/>
              </w:rPr>
              <w:t>-20,004,400.00</w:t>
            </w:r>
          </w:p>
        </w:tc>
        <w:tc>
          <w:tcPr>
            <w:tcW w:w="2003" w:type="dxa"/>
            <w:vAlign w:val="center"/>
          </w:tcPr>
          <w:p w:rsidR="004720EE" w:rsidRDefault="00C46CB2" w:rsidP="00C46CB2">
            <w:pPr>
              <w:ind w:right="240"/>
              <w:jc w:val="right"/>
            </w:pPr>
            <w:r>
              <w:rPr>
                <w:color w:val="000000"/>
                <w:sz w:val="24"/>
              </w:rPr>
              <w:t>-27,265,997.20</w:t>
            </w:r>
          </w:p>
        </w:tc>
        <w:tc>
          <w:tcPr>
            <w:tcW w:w="1343" w:type="dxa"/>
            <w:vAlign w:val="center"/>
          </w:tcPr>
          <w:p w:rsidR="004720EE" w:rsidRDefault="00C46CB2">
            <w:pPr>
              <w:jc w:val="center"/>
            </w:pPr>
            <w:r>
              <w:rPr>
                <w:color w:val="000000"/>
                <w:sz w:val="24"/>
              </w:rPr>
              <w:t>0.00%</w:t>
            </w:r>
          </w:p>
        </w:tc>
      </w:tr>
      <w:tr w:rsidR="00320300" w:rsidRPr="00414345" w:rsidTr="00C46CB2">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356"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516"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2076" w:type="dxa"/>
            <w:vAlign w:val="center"/>
          </w:tcPr>
          <w:p w:rsidR="00320300" w:rsidRPr="00414345" w:rsidRDefault="00320300" w:rsidP="00C46CB2">
            <w:pPr>
              <w:adjustRightInd w:val="0"/>
              <w:snapToGrid w:val="0"/>
              <w:spacing w:before="29" w:line="288" w:lineRule="auto"/>
              <w:ind w:right="240"/>
              <w:jc w:val="right"/>
              <w:rPr>
                <w:color w:val="000000"/>
                <w:sz w:val="24"/>
              </w:rPr>
            </w:pPr>
            <w:r w:rsidRPr="00414345">
              <w:rPr>
                <w:color w:val="000000"/>
                <w:sz w:val="24"/>
              </w:rPr>
              <w:t>-20,004,400.00</w:t>
            </w:r>
          </w:p>
        </w:tc>
        <w:tc>
          <w:tcPr>
            <w:tcW w:w="2003" w:type="dxa"/>
            <w:vAlign w:val="center"/>
          </w:tcPr>
          <w:p w:rsidR="00320300" w:rsidRPr="00414345" w:rsidRDefault="00320300" w:rsidP="00C46CB2">
            <w:pPr>
              <w:adjustRightInd w:val="0"/>
              <w:snapToGrid w:val="0"/>
              <w:spacing w:before="29" w:line="288" w:lineRule="auto"/>
              <w:ind w:right="240"/>
              <w:jc w:val="right"/>
              <w:rPr>
                <w:color w:val="000000"/>
                <w:sz w:val="24"/>
              </w:rPr>
            </w:pPr>
            <w:r w:rsidRPr="00414345">
              <w:rPr>
                <w:color w:val="000000"/>
                <w:sz w:val="24"/>
              </w:rPr>
              <w:t>-27,265,997.20</w:t>
            </w:r>
          </w:p>
        </w:tc>
        <w:tc>
          <w:tcPr>
            <w:tcW w:w="1343"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7B2F2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）基金行业股票估值指数的通知》的指导意见，经与基金托管人协商一致，本基金对其所持有的中航飞机（证券代码：</w:t>
      </w:r>
      <w:r w:rsidRPr="00414345">
        <w:rPr>
          <w:color w:val="000000"/>
          <w:sz w:val="24"/>
          <w:szCs w:val="24"/>
        </w:rPr>
        <w:t>000768</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17</w:t>
      </w:r>
      <w:r w:rsidRPr="00414345">
        <w:rPr>
          <w:color w:val="000000"/>
          <w:sz w:val="24"/>
          <w:szCs w:val="24"/>
        </w:rPr>
        <w:t>日起恢复按市场价格进行估值；本基金对其所持有的中国南车（证券代码：</w:t>
      </w:r>
      <w:r w:rsidRPr="00414345">
        <w:rPr>
          <w:color w:val="000000"/>
          <w:sz w:val="24"/>
          <w:szCs w:val="24"/>
        </w:rPr>
        <w:t>601766</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5</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2F2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720EE" w:rsidRDefault="00C46CB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4720EE" w:rsidRDefault="00C46CB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、《交银施罗德先进制造股票证券投资基金基金合同》；</w:t>
      </w:r>
      <w:r>
        <w:rPr>
          <w:color w:val="000000"/>
          <w:sz w:val="24"/>
          <w:szCs w:val="24"/>
        </w:rPr>
        <w:t xml:space="preserve"> </w:t>
      </w:r>
    </w:p>
    <w:p w:rsidR="004720EE" w:rsidRDefault="00C46CB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、《交银施罗德先进制造股票证券投资基金招募说明书》；</w:t>
      </w:r>
      <w:r>
        <w:rPr>
          <w:color w:val="000000"/>
          <w:sz w:val="24"/>
          <w:szCs w:val="24"/>
        </w:rPr>
        <w:t xml:space="preserve"> </w:t>
      </w:r>
    </w:p>
    <w:p w:rsidR="004720EE" w:rsidRDefault="00C46CB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、《交银施罗德先进制造股票证券投资基金托管协议》；</w:t>
      </w:r>
    </w:p>
    <w:p w:rsidR="004720EE" w:rsidRDefault="00C46CB2">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4720EE" w:rsidRDefault="00C46CB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720EE" w:rsidRDefault="00C46CB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720EE" w:rsidRDefault="00C46CB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8AF" w:rsidRDefault="00FC48AF" w:rsidP="00876D65">
      <w:r>
        <w:separator/>
      </w:r>
    </w:p>
  </w:endnote>
  <w:endnote w:type="continuationSeparator" w:id="0">
    <w:p w:rsidR="00FC48AF" w:rsidRDefault="00FC48A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05F7F">
      <w:rPr>
        <w:kern w:val="0"/>
        <w:szCs w:val="21"/>
      </w:rPr>
      <w:fldChar w:fldCharType="begin"/>
    </w:r>
    <w:r>
      <w:rPr>
        <w:kern w:val="0"/>
        <w:szCs w:val="21"/>
      </w:rPr>
      <w:instrText xml:space="preserve"> PAGE </w:instrText>
    </w:r>
    <w:r w:rsidR="00805F7F">
      <w:rPr>
        <w:kern w:val="0"/>
        <w:szCs w:val="21"/>
      </w:rPr>
      <w:fldChar w:fldCharType="separate"/>
    </w:r>
    <w:r w:rsidR="00BC1D92">
      <w:rPr>
        <w:noProof/>
        <w:kern w:val="0"/>
        <w:szCs w:val="21"/>
      </w:rPr>
      <w:t>1</w:t>
    </w:r>
    <w:r w:rsidR="00805F7F">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05F7F">
      <w:rPr>
        <w:kern w:val="0"/>
        <w:szCs w:val="21"/>
      </w:rPr>
      <w:fldChar w:fldCharType="begin"/>
    </w:r>
    <w:r>
      <w:rPr>
        <w:kern w:val="0"/>
        <w:szCs w:val="21"/>
      </w:rPr>
      <w:instrText xml:space="preserve"> NUMPAGES </w:instrText>
    </w:r>
    <w:r w:rsidR="00805F7F">
      <w:rPr>
        <w:kern w:val="0"/>
        <w:szCs w:val="21"/>
      </w:rPr>
      <w:fldChar w:fldCharType="separate"/>
    </w:r>
    <w:r w:rsidR="00BC1D92">
      <w:rPr>
        <w:noProof/>
        <w:kern w:val="0"/>
        <w:szCs w:val="21"/>
      </w:rPr>
      <w:t>11</w:t>
    </w:r>
    <w:r w:rsidR="00805F7F">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8AF" w:rsidRDefault="00FC48AF" w:rsidP="00876D65">
      <w:r>
        <w:separator/>
      </w:r>
    </w:p>
  </w:footnote>
  <w:footnote w:type="continuationSeparator" w:id="0">
    <w:p w:rsidR="00FC48AF" w:rsidRDefault="00FC48A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720EE"/>
    <w:rsid w:val="00480B35"/>
    <w:rsid w:val="004821F3"/>
    <w:rsid w:val="004858E0"/>
    <w:rsid w:val="00491C81"/>
    <w:rsid w:val="004934E9"/>
    <w:rsid w:val="004943C2"/>
    <w:rsid w:val="004949F3"/>
    <w:rsid w:val="004958D2"/>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4A32"/>
    <w:rsid w:val="00794090"/>
    <w:rsid w:val="00796CA8"/>
    <w:rsid w:val="007972F5"/>
    <w:rsid w:val="00797305"/>
    <w:rsid w:val="007A0693"/>
    <w:rsid w:val="007A093F"/>
    <w:rsid w:val="007B035B"/>
    <w:rsid w:val="007B2F2A"/>
    <w:rsid w:val="007B4C04"/>
    <w:rsid w:val="007B5AFB"/>
    <w:rsid w:val="007C395A"/>
    <w:rsid w:val="007C5862"/>
    <w:rsid w:val="007D0922"/>
    <w:rsid w:val="007D100C"/>
    <w:rsid w:val="007E2686"/>
    <w:rsid w:val="007E57C0"/>
    <w:rsid w:val="007F29B1"/>
    <w:rsid w:val="007F7F0B"/>
    <w:rsid w:val="008014F9"/>
    <w:rsid w:val="0080358B"/>
    <w:rsid w:val="008059BD"/>
    <w:rsid w:val="00805F7F"/>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1D92"/>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6CB2"/>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349A"/>
    <w:rsid w:val="00CD4E6D"/>
    <w:rsid w:val="00CD4F19"/>
    <w:rsid w:val="00CD5707"/>
    <w:rsid w:val="00CD7702"/>
    <w:rsid w:val="00CE29EA"/>
    <w:rsid w:val="00CE473F"/>
    <w:rsid w:val="00CF04CF"/>
    <w:rsid w:val="00CF2D3E"/>
    <w:rsid w:val="00CF6572"/>
    <w:rsid w:val="00D01FE6"/>
    <w:rsid w:val="00D02347"/>
    <w:rsid w:val="00D02558"/>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07B7"/>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48AF"/>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809FCB-D02A-472A-8F1E-F17BE58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FC916-D50F-4186-8774-E3166BEB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563</cp:revision>
  <dcterms:created xsi:type="dcterms:W3CDTF">2012-10-16T06:07:00Z</dcterms:created>
  <dcterms:modified xsi:type="dcterms:W3CDTF">2015-01-20T03:44:00Z</dcterms:modified>
</cp:coreProperties>
</file>