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交银施罗德信用添利债券证券投资基金（</w:t>
      </w:r>
      <w:r w:rsidRPr="0081286B">
        <w:rPr>
          <w:b/>
          <w:sz w:val="36"/>
          <w:szCs w:val="36"/>
        </w:rPr>
        <w:t>LOF</w:t>
      </w:r>
      <w:r w:rsidRPr="0081286B">
        <w:rPr>
          <w:b/>
          <w:sz w:val="36"/>
          <w:szCs w:val="36"/>
        </w:rPr>
        <w:t>）</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二〇一五年一月二十二日</w:t>
      </w:r>
    </w:p>
    <w:p w:rsidR="004061AC" w:rsidRPr="00414345" w:rsidRDefault="004061AC" w:rsidP="00A843D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355F5A" w:rsidRDefault="007A14A2">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355F5A" w:rsidRDefault="007A14A2">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2015</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355F5A" w:rsidRDefault="007A14A2">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355F5A" w:rsidRDefault="007A14A2">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355F5A" w:rsidRDefault="007A14A2">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843D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FA3EBF">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交银信用添利债券（</w:t>
            </w:r>
            <w:r w:rsidRPr="00414345">
              <w:rPr>
                <w:color w:val="000000"/>
                <w:kern w:val="0"/>
                <w:sz w:val="24"/>
                <w:szCs w:val="24"/>
              </w:rPr>
              <w:t>LOF</w:t>
            </w:r>
            <w:r w:rsidRPr="00414345">
              <w:rPr>
                <w:color w:val="000000"/>
                <w:kern w:val="0"/>
                <w:sz w:val="24"/>
                <w:szCs w:val="24"/>
              </w:rPr>
              <w:t>）</w:t>
            </w:r>
          </w:p>
        </w:tc>
      </w:tr>
      <w:tr w:rsidR="00FA3EBF" w:rsidRPr="00414345" w:rsidTr="00FA3EBF">
        <w:trPr>
          <w:jc w:val="center"/>
        </w:trPr>
        <w:tc>
          <w:tcPr>
            <w:tcW w:w="3023" w:type="dxa"/>
            <w:vAlign w:val="center"/>
          </w:tcPr>
          <w:p w:rsidR="00FA3EBF" w:rsidRPr="00414345" w:rsidRDefault="00FA3EBF" w:rsidP="00B663A2">
            <w:pPr>
              <w:adjustRightInd w:val="0"/>
              <w:spacing w:before="29" w:line="288" w:lineRule="auto"/>
              <w:ind w:left="17"/>
              <w:jc w:val="left"/>
              <w:rPr>
                <w:kern w:val="0"/>
                <w:sz w:val="24"/>
                <w:szCs w:val="24"/>
              </w:rPr>
            </w:pPr>
            <w:r>
              <w:rPr>
                <w:rFonts w:hint="eastAsia"/>
                <w:kern w:val="0"/>
                <w:sz w:val="24"/>
                <w:szCs w:val="24"/>
              </w:rPr>
              <w:t>场内简称</w:t>
            </w:r>
          </w:p>
        </w:tc>
        <w:tc>
          <w:tcPr>
            <w:tcW w:w="5845" w:type="dxa"/>
            <w:gridSpan w:val="2"/>
            <w:vAlign w:val="center"/>
          </w:tcPr>
          <w:p w:rsidR="00FA3EBF" w:rsidRPr="00414345" w:rsidRDefault="00FA3EBF" w:rsidP="00B663A2">
            <w:pPr>
              <w:adjustRightInd w:val="0"/>
              <w:spacing w:before="29" w:line="288" w:lineRule="auto"/>
              <w:ind w:left="17"/>
              <w:jc w:val="left"/>
              <w:rPr>
                <w:color w:val="000000"/>
                <w:kern w:val="0"/>
                <w:sz w:val="24"/>
                <w:szCs w:val="24"/>
              </w:rPr>
            </w:pPr>
            <w:r>
              <w:rPr>
                <w:color w:val="000000"/>
                <w:sz w:val="24"/>
                <w:szCs w:val="24"/>
              </w:rPr>
              <w:t>交银添利</w:t>
            </w:r>
          </w:p>
        </w:tc>
      </w:tr>
      <w:tr w:rsidR="00D94B8D" w:rsidRPr="00414345" w:rsidTr="00FA3EBF">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164902</w:t>
            </w:r>
          </w:p>
        </w:tc>
      </w:tr>
      <w:tr w:rsidR="001B2F35" w:rsidRPr="00414345" w:rsidTr="00FA3EBF">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164902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164903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FA3EBF">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上市契约型开放式</w:t>
            </w:r>
          </w:p>
        </w:tc>
      </w:tr>
      <w:tr w:rsidR="001B2F35" w:rsidRPr="00414345" w:rsidTr="00FA3EBF">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2011</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27</w:t>
            </w:r>
            <w:r w:rsidRPr="00414345">
              <w:rPr>
                <w:color w:val="000000"/>
                <w:kern w:val="0"/>
                <w:sz w:val="24"/>
                <w:szCs w:val="24"/>
              </w:rPr>
              <w:t>日</w:t>
            </w:r>
          </w:p>
        </w:tc>
      </w:tr>
      <w:tr w:rsidR="001B2F35" w:rsidRPr="00414345" w:rsidTr="00FA3EBF">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118,796,383.24</w:t>
            </w:r>
            <w:r w:rsidRPr="00414345">
              <w:rPr>
                <w:color w:val="000000"/>
                <w:kern w:val="0"/>
                <w:sz w:val="24"/>
                <w:szCs w:val="24"/>
              </w:rPr>
              <w:t>份</w:t>
            </w:r>
          </w:p>
        </w:tc>
      </w:tr>
      <w:tr w:rsidR="001B2F35" w:rsidRPr="00414345" w:rsidTr="00FA3EBF">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根据宏观经济运行状况和金融市场的运行趋势，自上而下进行宏观分析，自下而上精选个券，在控制信用风险、利率风险和流动性风险前提下，力求通过主动承担适度信用风险获得持续投资收益，谋求基金资产的长期稳定增长。</w:t>
            </w:r>
          </w:p>
        </w:tc>
      </w:tr>
      <w:tr w:rsidR="001B2F35" w:rsidRPr="00414345" w:rsidTr="00FA3EBF">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w:t>
            </w:r>
            <w:r w:rsidRPr="00414345">
              <w:rPr>
                <w:color w:val="000000"/>
                <w:kern w:val="0"/>
                <w:sz w:val="24"/>
                <w:szCs w:val="24"/>
              </w:rPr>
              <w:lastRenderedPageBreak/>
              <w:t>以及各类债券的流动性、供求关系和收益率水平等，自下而上地精选个券。同时，本基金也会关注股票一级市场、权证一级市场等其它相关市场存在的投资机会，力争实现基金总体风险收益特征保持不变前提下的基金资产增值最大化。</w:t>
            </w:r>
          </w:p>
        </w:tc>
      </w:tr>
      <w:tr w:rsidR="001B2F35" w:rsidRPr="00414345" w:rsidTr="00FA3EBF">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80%×</w:t>
            </w:r>
            <w:r w:rsidRPr="00414345">
              <w:rPr>
                <w:color w:val="000000"/>
                <w:kern w:val="0"/>
                <w:sz w:val="24"/>
                <w:szCs w:val="24"/>
              </w:rPr>
              <w:t>中债企业债总全价指数收益率</w:t>
            </w:r>
            <w:r w:rsidRPr="00414345">
              <w:rPr>
                <w:color w:val="000000"/>
                <w:kern w:val="0"/>
                <w:sz w:val="24"/>
                <w:szCs w:val="24"/>
              </w:rPr>
              <w:t>+20%×</w:t>
            </w:r>
            <w:r w:rsidRPr="00414345">
              <w:rPr>
                <w:color w:val="000000"/>
                <w:kern w:val="0"/>
                <w:sz w:val="24"/>
                <w:szCs w:val="24"/>
              </w:rPr>
              <w:t>中债国债总全价指数收益率</w:t>
            </w:r>
          </w:p>
        </w:tc>
      </w:tr>
      <w:tr w:rsidR="001B2F35" w:rsidRPr="00414345" w:rsidTr="00FA3EBF">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本基金是一只债券型基金，属于证券投资基金中中等风险的品种，其长期平均的预期收益和风险高于货币市场基金，低于混合型基金和股票型基金。</w:t>
            </w:r>
          </w:p>
        </w:tc>
      </w:tr>
      <w:tr w:rsidR="001B2F35" w:rsidRPr="00414345" w:rsidTr="00FA3EBF">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FA3EBF">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4061AC" w:rsidRPr="00414345" w:rsidRDefault="007A14A2" w:rsidP="00C15CAC">
      <w:pPr>
        <w:autoSpaceDE w:val="0"/>
        <w:autoSpaceDN w:val="0"/>
        <w:adjustRightInd w:val="0"/>
        <w:spacing w:before="29" w:line="288" w:lineRule="auto"/>
        <w:jc w:val="left"/>
        <w:rPr>
          <w:color w:val="000000"/>
          <w:sz w:val="24"/>
          <w:szCs w:val="24"/>
        </w:rPr>
      </w:pPr>
      <w:r>
        <w:rPr>
          <w:color w:val="000000"/>
          <w:sz w:val="24"/>
          <w:szCs w:val="24"/>
        </w:rPr>
        <w:t>注：</w:t>
      </w:r>
      <w:r w:rsidR="004061AC" w:rsidRPr="00414345">
        <w:rPr>
          <w:color w:val="000000"/>
          <w:sz w:val="24"/>
          <w:szCs w:val="24"/>
        </w:rPr>
        <w:t>根据本基金《基金合同》及《招募说明书》的相关规定，本基金在基金合同生效之日起三年</w:t>
      </w:r>
      <w:r w:rsidR="004061AC" w:rsidRPr="00414345">
        <w:rPr>
          <w:color w:val="000000"/>
          <w:sz w:val="24"/>
          <w:szCs w:val="24"/>
        </w:rPr>
        <w:t>(</w:t>
      </w:r>
      <w:r w:rsidR="004061AC" w:rsidRPr="00414345">
        <w:rPr>
          <w:color w:val="000000"/>
          <w:sz w:val="24"/>
          <w:szCs w:val="24"/>
        </w:rPr>
        <w:t>含三年</w:t>
      </w:r>
      <w:r w:rsidR="004061AC" w:rsidRPr="00414345">
        <w:rPr>
          <w:color w:val="000000"/>
          <w:sz w:val="24"/>
          <w:szCs w:val="24"/>
        </w:rPr>
        <w:t>)</w:t>
      </w:r>
      <w:r w:rsidR="004061AC" w:rsidRPr="00414345">
        <w:rPr>
          <w:color w:val="000000"/>
          <w:sz w:val="24"/>
          <w:szCs w:val="24"/>
        </w:rPr>
        <w:t>的期间内，采取封闭式运作，在深圳证券交易所上市交易，封闭期结束后转为上市开放式基金（</w:t>
      </w:r>
      <w:r w:rsidR="004061AC" w:rsidRPr="00414345">
        <w:rPr>
          <w:color w:val="000000"/>
          <w:sz w:val="24"/>
          <w:szCs w:val="24"/>
        </w:rPr>
        <w:t>LOF</w:t>
      </w:r>
      <w:r w:rsidR="004061AC" w:rsidRPr="00414345">
        <w:rPr>
          <w:color w:val="000000"/>
          <w:sz w:val="24"/>
          <w:szCs w:val="24"/>
        </w:rPr>
        <w:t>）。本基金封闭期自</w:t>
      </w:r>
      <w:r w:rsidR="004061AC" w:rsidRPr="00414345">
        <w:rPr>
          <w:color w:val="000000"/>
          <w:sz w:val="24"/>
          <w:szCs w:val="24"/>
        </w:rPr>
        <w:t>2011</w:t>
      </w:r>
      <w:r w:rsidR="004061AC" w:rsidRPr="00414345">
        <w:rPr>
          <w:color w:val="000000"/>
          <w:sz w:val="24"/>
          <w:szCs w:val="24"/>
        </w:rPr>
        <w:t>年</w:t>
      </w:r>
      <w:r w:rsidR="004061AC" w:rsidRPr="00414345">
        <w:rPr>
          <w:color w:val="000000"/>
          <w:sz w:val="24"/>
          <w:szCs w:val="24"/>
        </w:rPr>
        <w:t>1</w:t>
      </w:r>
      <w:r w:rsidR="004061AC" w:rsidRPr="00414345">
        <w:rPr>
          <w:color w:val="000000"/>
          <w:sz w:val="24"/>
          <w:szCs w:val="24"/>
        </w:rPr>
        <w:t>月</w:t>
      </w:r>
      <w:r w:rsidR="004061AC" w:rsidRPr="00414345">
        <w:rPr>
          <w:color w:val="000000"/>
          <w:sz w:val="24"/>
          <w:szCs w:val="24"/>
        </w:rPr>
        <w:t>27</w:t>
      </w:r>
      <w:r w:rsidR="004061AC" w:rsidRPr="00414345">
        <w:rPr>
          <w:color w:val="000000"/>
          <w:sz w:val="24"/>
          <w:szCs w:val="24"/>
        </w:rPr>
        <w:t>日</w:t>
      </w:r>
      <w:r w:rsidR="004061AC" w:rsidRPr="00414345">
        <w:rPr>
          <w:color w:val="000000"/>
          <w:sz w:val="24"/>
          <w:szCs w:val="24"/>
        </w:rPr>
        <w:t>(</w:t>
      </w:r>
      <w:r w:rsidR="004061AC" w:rsidRPr="00414345">
        <w:rPr>
          <w:color w:val="000000"/>
          <w:sz w:val="24"/>
          <w:szCs w:val="24"/>
        </w:rPr>
        <w:t>基金合同生效日</w:t>
      </w:r>
      <w:r w:rsidR="004061AC" w:rsidRPr="00414345">
        <w:rPr>
          <w:color w:val="000000"/>
          <w:sz w:val="24"/>
          <w:szCs w:val="24"/>
        </w:rPr>
        <w:t>)</w:t>
      </w:r>
      <w:r w:rsidR="004061AC" w:rsidRPr="00414345">
        <w:rPr>
          <w:color w:val="000000"/>
          <w:sz w:val="24"/>
          <w:szCs w:val="24"/>
        </w:rPr>
        <w:t>起至</w:t>
      </w:r>
      <w:r w:rsidR="004061AC" w:rsidRPr="00414345">
        <w:rPr>
          <w:color w:val="000000"/>
          <w:sz w:val="24"/>
          <w:szCs w:val="24"/>
        </w:rPr>
        <w:t>2014</w:t>
      </w:r>
      <w:r w:rsidR="004061AC" w:rsidRPr="00414345">
        <w:rPr>
          <w:color w:val="000000"/>
          <w:sz w:val="24"/>
          <w:szCs w:val="24"/>
        </w:rPr>
        <w:t>年</w:t>
      </w:r>
      <w:r w:rsidR="004061AC" w:rsidRPr="00414345">
        <w:rPr>
          <w:color w:val="000000"/>
          <w:sz w:val="24"/>
          <w:szCs w:val="24"/>
        </w:rPr>
        <w:t>1</w:t>
      </w:r>
      <w:r w:rsidR="004061AC" w:rsidRPr="00414345">
        <w:rPr>
          <w:color w:val="000000"/>
          <w:sz w:val="24"/>
          <w:szCs w:val="24"/>
        </w:rPr>
        <w:t>月</w:t>
      </w:r>
      <w:r w:rsidR="004061AC" w:rsidRPr="00414345">
        <w:rPr>
          <w:color w:val="000000"/>
          <w:sz w:val="24"/>
          <w:szCs w:val="24"/>
        </w:rPr>
        <w:t>27</w:t>
      </w:r>
      <w:r w:rsidR="004061AC" w:rsidRPr="00414345">
        <w:rPr>
          <w:color w:val="000000"/>
          <w:sz w:val="24"/>
          <w:szCs w:val="24"/>
        </w:rPr>
        <w:t>日止，自</w:t>
      </w:r>
      <w:r w:rsidR="004061AC" w:rsidRPr="00414345">
        <w:rPr>
          <w:color w:val="000000"/>
          <w:sz w:val="24"/>
          <w:szCs w:val="24"/>
        </w:rPr>
        <w:t>2014</w:t>
      </w:r>
      <w:r w:rsidR="004061AC" w:rsidRPr="00414345">
        <w:rPr>
          <w:color w:val="000000"/>
          <w:sz w:val="24"/>
          <w:szCs w:val="24"/>
        </w:rPr>
        <w:t>年</w:t>
      </w:r>
      <w:r w:rsidR="004061AC" w:rsidRPr="00414345">
        <w:rPr>
          <w:color w:val="000000"/>
          <w:sz w:val="24"/>
          <w:szCs w:val="24"/>
        </w:rPr>
        <w:t>1</w:t>
      </w:r>
      <w:r w:rsidR="004061AC" w:rsidRPr="00414345">
        <w:rPr>
          <w:color w:val="000000"/>
          <w:sz w:val="24"/>
          <w:szCs w:val="24"/>
        </w:rPr>
        <w:t>月</w:t>
      </w:r>
      <w:r w:rsidR="004061AC" w:rsidRPr="00414345">
        <w:rPr>
          <w:color w:val="000000"/>
          <w:sz w:val="24"/>
          <w:szCs w:val="24"/>
        </w:rPr>
        <w:t>28</w:t>
      </w:r>
      <w:r w:rsidR="004061AC" w:rsidRPr="00414345">
        <w:rPr>
          <w:color w:val="000000"/>
          <w:sz w:val="24"/>
          <w:szCs w:val="24"/>
        </w:rPr>
        <w:t>日起基金运作方式转为</w:t>
      </w:r>
      <w:r w:rsidR="004061AC" w:rsidRPr="00414345">
        <w:rPr>
          <w:color w:val="000000"/>
          <w:sz w:val="24"/>
          <w:szCs w:val="24"/>
        </w:rPr>
        <w:t>“</w:t>
      </w:r>
      <w:r w:rsidR="004061AC" w:rsidRPr="00414345">
        <w:rPr>
          <w:color w:val="000000"/>
          <w:sz w:val="24"/>
          <w:szCs w:val="24"/>
        </w:rPr>
        <w:t>上市契约型开放式</w:t>
      </w:r>
      <w:r w:rsidR="004061AC" w:rsidRPr="00414345">
        <w:rPr>
          <w:color w:val="000000"/>
          <w:sz w:val="24"/>
          <w:szCs w:val="24"/>
        </w:rPr>
        <w:t>”</w:t>
      </w:r>
      <w:r w:rsidR="004061AC" w:rsidRPr="00414345">
        <w:rPr>
          <w:color w:val="000000"/>
          <w:sz w:val="24"/>
          <w:szCs w:val="24"/>
        </w:rPr>
        <w:t>，并于同日起开放本基金的申购、赎回业务。本基金在募集期仅开通前端基金份额的认购，转为上市开放式基金（</w:t>
      </w:r>
      <w:r w:rsidR="004061AC" w:rsidRPr="00414345">
        <w:rPr>
          <w:color w:val="000000"/>
          <w:sz w:val="24"/>
          <w:szCs w:val="24"/>
        </w:rPr>
        <w:t>LOF</w:t>
      </w:r>
      <w:r w:rsidR="004061AC" w:rsidRPr="00414345">
        <w:rPr>
          <w:color w:val="000000"/>
          <w:sz w:val="24"/>
          <w:szCs w:val="24"/>
        </w:rPr>
        <w:t>）后将同时开通前端基金份额和后端基金份额的申购和赎回。</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843D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A14A2" w:rsidRPr="00414345" w:rsidTr="007A14A2">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7A14A2" w:rsidRPr="00414345" w:rsidTr="007A14A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11,585,893.60</w:t>
            </w:r>
          </w:p>
        </w:tc>
      </w:tr>
      <w:tr w:rsidR="007A14A2" w:rsidRPr="00414345" w:rsidTr="007A14A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14,738,811.74</w:t>
            </w:r>
          </w:p>
        </w:tc>
      </w:tr>
      <w:tr w:rsidR="007A14A2" w:rsidRPr="00414345" w:rsidTr="007A14A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0.0816</w:t>
            </w:r>
          </w:p>
        </w:tc>
      </w:tr>
      <w:tr w:rsidR="007A14A2" w:rsidRPr="00414345" w:rsidTr="007A14A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137,005,136.03</w:t>
            </w:r>
          </w:p>
        </w:tc>
      </w:tr>
      <w:tr w:rsidR="007A14A2" w:rsidRPr="00414345" w:rsidTr="007A14A2">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1.153</w:t>
            </w:r>
          </w:p>
        </w:tc>
      </w:tr>
    </w:tbl>
    <w:p w:rsidR="00355F5A" w:rsidRDefault="007A14A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355F5A">
        <w:trPr>
          <w:jc w:val="center"/>
        </w:trPr>
        <w:tc>
          <w:tcPr>
            <w:tcW w:w="1701" w:type="dxa"/>
            <w:vAlign w:val="center"/>
          </w:tcPr>
          <w:p w:rsidR="00355F5A" w:rsidRDefault="007A14A2">
            <w:pPr>
              <w:jc w:val="left"/>
            </w:pPr>
            <w:r>
              <w:rPr>
                <w:color w:val="000000"/>
                <w:sz w:val="24"/>
                <w:szCs w:val="24"/>
              </w:rPr>
              <w:t>过去三个月</w:t>
            </w:r>
          </w:p>
        </w:tc>
        <w:tc>
          <w:tcPr>
            <w:tcW w:w="1045" w:type="dxa"/>
            <w:vAlign w:val="center"/>
          </w:tcPr>
          <w:p w:rsidR="00355F5A" w:rsidRDefault="007A14A2">
            <w:pPr>
              <w:jc w:val="center"/>
            </w:pPr>
            <w:r>
              <w:rPr>
                <w:color w:val="000000"/>
                <w:sz w:val="24"/>
                <w:szCs w:val="24"/>
              </w:rPr>
              <w:t>7.26%</w:t>
            </w:r>
          </w:p>
        </w:tc>
        <w:tc>
          <w:tcPr>
            <w:tcW w:w="1344" w:type="dxa"/>
            <w:vAlign w:val="center"/>
          </w:tcPr>
          <w:p w:rsidR="00355F5A" w:rsidRDefault="007A14A2">
            <w:pPr>
              <w:jc w:val="center"/>
            </w:pPr>
            <w:r>
              <w:rPr>
                <w:color w:val="000000"/>
                <w:sz w:val="24"/>
                <w:szCs w:val="24"/>
              </w:rPr>
              <w:t>0.37%</w:t>
            </w:r>
          </w:p>
        </w:tc>
        <w:tc>
          <w:tcPr>
            <w:tcW w:w="1194" w:type="dxa"/>
            <w:vAlign w:val="center"/>
          </w:tcPr>
          <w:p w:rsidR="00355F5A" w:rsidRDefault="007A14A2">
            <w:pPr>
              <w:jc w:val="center"/>
            </w:pPr>
            <w:r>
              <w:rPr>
                <w:color w:val="000000"/>
                <w:sz w:val="24"/>
                <w:szCs w:val="24"/>
              </w:rPr>
              <w:t>0.84%</w:t>
            </w:r>
          </w:p>
        </w:tc>
        <w:tc>
          <w:tcPr>
            <w:tcW w:w="1492" w:type="dxa"/>
            <w:vAlign w:val="center"/>
          </w:tcPr>
          <w:p w:rsidR="00355F5A" w:rsidRDefault="007A14A2">
            <w:pPr>
              <w:jc w:val="center"/>
            </w:pPr>
            <w:r>
              <w:rPr>
                <w:color w:val="000000"/>
                <w:sz w:val="24"/>
                <w:szCs w:val="24"/>
              </w:rPr>
              <w:t>0.20%</w:t>
            </w:r>
          </w:p>
        </w:tc>
        <w:tc>
          <w:tcPr>
            <w:tcW w:w="1194" w:type="dxa"/>
            <w:vAlign w:val="center"/>
          </w:tcPr>
          <w:p w:rsidR="00355F5A" w:rsidRDefault="007A14A2">
            <w:pPr>
              <w:jc w:val="center"/>
            </w:pPr>
            <w:r>
              <w:rPr>
                <w:color w:val="000000"/>
                <w:sz w:val="24"/>
                <w:szCs w:val="24"/>
              </w:rPr>
              <w:t>6.42%</w:t>
            </w:r>
          </w:p>
        </w:tc>
        <w:tc>
          <w:tcPr>
            <w:tcW w:w="898" w:type="dxa"/>
            <w:vAlign w:val="center"/>
          </w:tcPr>
          <w:p w:rsidR="00355F5A" w:rsidRDefault="007A14A2">
            <w:pPr>
              <w:jc w:val="center"/>
            </w:pPr>
            <w:r>
              <w:rPr>
                <w:color w:val="000000"/>
                <w:sz w:val="24"/>
                <w:szCs w:val="24"/>
              </w:rPr>
              <w:t>0.17%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交银施罗德信用添利债券证券投资基金（</w:t>
      </w:r>
      <w:r w:rsidRPr="00414345">
        <w:rPr>
          <w:color w:val="000000"/>
          <w:sz w:val="24"/>
          <w:szCs w:val="24"/>
        </w:rPr>
        <w:t>LOF</w:t>
      </w:r>
      <w:r w:rsidRPr="00414345">
        <w:rPr>
          <w:color w:val="000000"/>
          <w:sz w:val="24"/>
          <w:szCs w:val="24"/>
        </w:rPr>
        <w:t>）</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2011</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843D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355F5A">
        <w:trPr>
          <w:jc w:val="center"/>
        </w:trPr>
        <w:tc>
          <w:tcPr>
            <w:tcW w:w="846" w:type="dxa"/>
            <w:vAlign w:val="center"/>
          </w:tcPr>
          <w:p w:rsidR="00355F5A" w:rsidRDefault="007A14A2">
            <w:pPr>
              <w:jc w:val="center"/>
            </w:pPr>
            <w:r>
              <w:rPr>
                <w:color w:val="000000"/>
                <w:sz w:val="24"/>
                <w:szCs w:val="24"/>
              </w:rPr>
              <w:t>林洪钧</w:t>
            </w:r>
          </w:p>
        </w:tc>
        <w:tc>
          <w:tcPr>
            <w:tcW w:w="845" w:type="dxa"/>
            <w:vAlign w:val="center"/>
          </w:tcPr>
          <w:p w:rsidR="00355F5A" w:rsidRDefault="007A14A2">
            <w:pPr>
              <w:jc w:val="center"/>
            </w:pPr>
            <w:r>
              <w:rPr>
                <w:color w:val="000000"/>
                <w:sz w:val="24"/>
                <w:szCs w:val="24"/>
              </w:rPr>
              <w:t>本基金、交银货币、交银增利债券、交银理财</w:t>
            </w:r>
            <w:r>
              <w:rPr>
                <w:color w:val="000000"/>
                <w:sz w:val="24"/>
                <w:szCs w:val="24"/>
              </w:rPr>
              <w:t>21</w:t>
            </w:r>
            <w:r>
              <w:rPr>
                <w:color w:val="000000"/>
                <w:sz w:val="24"/>
                <w:szCs w:val="24"/>
              </w:rPr>
              <w:t>天债券、交银纯债债券发起、交银现金宝货币的基金经理，公司固定收益部助理总经理</w:t>
            </w:r>
          </w:p>
        </w:tc>
        <w:tc>
          <w:tcPr>
            <w:tcW w:w="1549" w:type="dxa"/>
            <w:vAlign w:val="center"/>
          </w:tcPr>
          <w:p w:rsidR="00355F5A" w:rsidRDefault="007A14A2">
            <w:pPr>
              <w:jc w:val="center"/>
            </w:pPr>
            <w:r>
              <w:rPr>
                <w:color w:val="000000"/>
                <w:sz w:val="24"/>
                <w:szCs w:val="24"/>
              </w:rPr>
              <w:t>2011-01-27</w:t>
            </w:r>
          </w:p>
        </w:tc>
        <w:tc>
          <w:tcPr>
            <w:tcW w:w="1548" w:type="dxa"/>
            <w:vAlign w:val="center"/>
          </w:tcPr>
          <w:p w:rsidR="00355F5A" w:rsidRDefault="007A14A2">
            <w:pPr>
              <w:jc w:val="center"/>
            </w:pPr>
            <w:r>
              <w:rPr>
                <w:color w:val="000000"/>
                <w:sz w:val="24"/>
                <w:szCs w:val="24"/>
              </w:rPr>
              <w:t>-</w:t>
            </w:r>
          </w:p>
        </w:tc>
        <w:tc>
          <w:tcPr>
            <w:tcW w:w="1407" w:type="dxa"/>
            <w:vAlign w:val="center"/>
          </w:tcPr>
          <w:p w:rsidR="00355F5A" w:rsidRDefault="007A14A2">
            <w:pPr>
              <w:jc w:val="center"/>
            </w:pPr>
            <w:r>
              <w:rPr>
                <w:color w:val="000000"/>
                <w:sz w:val="24"/>
                <w:szCs w:val="24"/>
              </w:rPr>
              <w:t>10</w:t>
            </w:r>
            <w:r>
              <w:rPr>
                <w:color w:val="000000"/>
                <w:sz w:val="24"/>
                <w:szCs w:val="24"/>
              </w:rPr>
              <w:t>年</w:t>
            </w:r>
          </w:p>
        </w:tc>
        <w:tc>
          <w:tcPr>
            <w:tcW w:w="2673" w:type="dxa"/>
            <w:vAlign w:val="center"/>
          </w:tcPr>
          <w:p w:rsidR="00355F5A" w:rsidRDefault="007A14A2">
            <w:r>
              <w:rPr>
                <w:color w:val="000000"/>
                <w:sz w:val="24"/>
                <w:szCs w:val="24"/>
              </w:rPr>
              <w:t>林洪钧先生，复旦大学硕士。历任国泰君安证券股份有限公司上海分公司机构客户部客户经理，华安基金管理有限公司债券交易员，加拿大</w:t>
            </w:r>
            <w:r>
              <w:rPr>
                <w:color w:val="000000"/>
                <w:sz w:val="24"/>
                <w:szCs w:val="24"/>
              </w:rPr>
              <w:t>Financial Engineering Source Inc.</w:t>
            </w:r>
            <w:r>
              <w:rPr>
                <w:color w:val="000000"/>
                <w:sz w:val="24"/>
                <w:szCs w:val="24"/>
              </w:rPr>
              <w:t>金融研究员。</w:t>
            </w:r>
            <w:r>
              <w:rPr>
                <w:color w:val="000000"/>
                <w:sz w:val="24"/>
                <w:szCs w:val="24"/>
              </w:rPr>
              <w:t>2009</w:t>
            </w:r>
            <w:r>
              <w:rPr>
                <w:color w:val="000000"/>
                <w:sz w:val="24"/>
                <w:szCs w:val="24"/>
              </w:rPr>
              <w:t>年加入交银施罗德基金管理有限公司，历任专户投资部投资经理助理、专户投资经理、基金经理助理。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355F5A" w:rsidRDefault="007A14A2">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355F5A" w:rsidRDefault="007A14A2">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355F5A" w:rsidRDefault="007A14A2">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355F5A" w:rsidRDefault="007A14A2">
      <w:pPr>
        <w:spacing w:before="29" w:line="288" w:lineRule="auto"/>
        <w:ind w:firstLineChars="200" w:firstLine="480"/>
        <w:rPr>
          <w:color w:val="000000"/>
          <w:sz w:val="24"/>
          <w:szCs w:val="24"/>
        </w:rPr>
      </w:pPr>
      <w:r>
        <w:rPr>
          <w:color w:val="000000"/>
          <w:sz w:val="24"/>
          <w:szCs w:val="24"/>
        </w:rPr>
        <w:t>本报告期内，经济增长动能仍较为疲弱，但在年底，信贷似乎出现了一丝宽松的迹象。</w:t>
      </w:r>
      <w:r>
        <w:rPr>
          <w:color w:val="000000"/>
          <w:sz w:val="24"/>
          <w:szCs w:val="24"/>
        </w:rPr>
        <w:t>10</w:t>
      </w:r>
      <w:r>
        <w:rPr>
          <w:color w:val="000000"/>
          <w:sz w:val="24"/>
          <w:szCs w:val="24"/>
        </w:rPr>
        <w:t>月新增信贷</w:t>
      </w:r>
      <w:r>
        <w:rPr>
          <w:color w:val="000000"/>
          <w:sz w:val="24"/>
          <w:szCs w:val="24"/>
        </w:rPr>
        <w:t>5483</w:t>
      </w:r>
      <w:r>
        <w:rPr>
          <w:color w:val="000000"/>
          <w:sz w:val="24"/>
          <w:szCs w:val="24"/>
        </w:rPr>
        <w:t>亿，社会融资规模</w:t>
      </w:r>
      <w:r>
        <w:rPr>
          <w:color w:val="000000"/>
          <w:sz w:val="24"/>
          <w:szCs w:val="24"/>
        </w:rPr>
        <w:t>6807</w:t>
      </w:r>
      <w:r>
        <w:rPr>
          <w:color w:val="000000"/>
          <w:sz w:val="24"/>
          <w:szCs w:val="24"/>
        </w:rPr>
        <w:t>亿；</w:t>
      </w:r>
      <w:r>
        <w:rPr>
          <w:color w:val="000000"/>
          <w:sz w:val="24"/>
          <w:szCs w:val="24"/>
        </w:rPr>
        <w:t>11</w:t>
      </w:r>
      <w:r>
        <w:rPr>
          <w:color w:val="000000"/>
          <w:sz w:val="24"/>
          <w:szCs w:val="24"/>
        </w:rPr>
        <w:t>月新增信贷</w:t>
      </w:r>
      <w:r>
        <w:rPr>
          <w:color w:val="000000"/>
          <w:sz w:val="24"/>
          <w:szCs w:val="24"/>
        </w:rPr>
        <w:t>8527</w:t>
      </w:r>
      <w:r>
        <w:rPr>
          <w:color w:val="000000"/>
          <w:sz w:val="24"/>
          <w:szCs w:val="24"/>
        </w:rPr>
        <w:t>亿，社会融资规模</w:t>
      </w:r>
      <w:r>
        <w:rPr>
          <w:color w:val="000000"/>
          <w:sz w:val="24"/>
          <w:szCs w:val="24"/>
        </w:rPr>
        <w:t>11463</w:t>
      </w:r>
      <w:r>
        <w:rPr>
          <w:color w:val="000000"/>
          <w:sz w:val="24"/>
          <w:szCs w:val="24"/>
        </w:rPr>
        <w:t>亿；工业增长依旧疲弱，</w:t>
      </w:r>
      <w:r>
        <w:rPr>
          <w:color w:val="000000"/>
          <w:sz w:val="24"/>
          <w:szCs w:val="24"/>
        </w:rPr>
        <w:t>10</w:t>
      </w:r>
      <w:r>
        <w:rPr>
          <w:color w:val="000000"/>
          <w:sz w:val="24"/>
          <w:szCs w:val="24"/>
        </w:rPr>
        <w:t>月工业增加值下滑至</w:t>
      </w:r>
      <w:r>
        <w:rPr>
          <w:color w:val="000000"/>
          <w:sz w:val="24"/>
          <w:szCs w:val="24"/>
        </w:rPr>
        <w:t>7.7%</w:t>
      </w:r>
      <w:r>
        <w:rPr>
          <w:color w:val="000000"/>
          <w:sz w:val="24"/>
          <w:szCs w:val="24"/>
        </w:rPr>
        <w:t>，</w:t>
      </w:r>
      <w:r>
        <w:rPr>
          <w:color w:val="000000"/>
          <w:sz w:val="24"/>
          <w:szCs w:val="24"/>
        </w:rPr>
        <w:t>11</w:t>
      </w:r>
      <w:r>
        <w:rPr>
          <w:color w:val="000000"/>
          <w:sz w:val="24"/>
          <w:szCs w:val="24"/>
        </w:rPr>
        <w:t>月继续下降至</w:t>
      </w:r>
      <w:r>
        <w:rPr>
          <w:color w:val="000000"/>
          <w:sz w:val="24"/>
          <w:szCs w:val="24"/>
        </w:rPr>
        <w:t>7.2%</w:t>
      </w:r>
      <w:r>
        <w:rPr>
          <w:color w:val="000000"/>
          <w:sz w:val="24"/>
          <w:szCs w:val="24"/>
        </w:rPr>
        <w:t>；同时</w:t>
      </w:r>
      <w:r>
        <w:rPr>
          <w:color w:val="000000"/>
          <w:sz w:val="24"/>
          <w:szCs w:val="24"/>
        </w:rPr>
        <w:t>PMI</w:t>
      </w:r>
      <w:r>
        <w:rPr>
          <w:color w:val="000000"/>
          <w:sz w:val="24"/>
          <w:szCs w:val="24"/>
        </w:rPr>
        <w:t>在四季度内连续三个月下滑，</w:t>
      </w:r>
      <w:r>
        <w:rPr>
          <w:color w:val="000000"/>
          <w:sz w:val="24"/>
          <w:szCs w:val="24"/>
        </w:rPr>
        <w:t>12</w:t>
      </w:r>
      <w:r>
        <w:rPr>
          <w:color w:val="000000"/>
          <w:sz w:val="24"/>
          <w:szCs w:val="24"/>
        </w:rPr>
        <w:t>月</w:t>
      </w:r>
      <w:r>
        <w:rPr>
          <w:color w:val="000000"/>
          <w:sz w:val="24"/>
          <w:szCs w:val="24"/>
        </w:rPr>
        <w:t>PMI50.1</w:t>
      </w:r>
      <w:r>
        <w:rPr>
          <w:color w:val="000000"/>
          <w:sz w:val="24"/>
          <w:szCs w:val="24"/>
        </w:rPr>
        <w:t>。货币政策层面，本报告期内受通缩压力影响，</w:t>
      </w:r>
      <w:r>
        <w:rPr>
          <w:color w:val="000000"/>
          <w:sz w:val="24"/>
          <w:szCs w:val="24"/>
        </w:rPr>
        <w:t>11</w:t>
      </w:r>
      <w:r>
        <w:rPr>
          <w:color w:val="000000"/>
          <w:sz w:val="24"/>
          <w:szCs w:val="24"/>
        </w:rPr>
        <w:t>月</w:t>
      </w:r>
      <w:r>
        <w:rPr>
          <w:color w:val="000000"/>
          <w:sz w:val="24"/>
          <w:szCs w:val="24"/>
        </w:rPr>
        <w:t>22</w:t>
      </w:r>
      <w:r>
        <w:rPr>
          <w:color w:val="000000"/>
          <w:sz w:val="24"/>
          <w:szCs w:val="24"/>
        </w:rPr>
        <w:t>日央行不对称降息；然而，在</w:t>
      </w:r>
      <w:r>
        <w:rPr>
          <w:color w:val="000000"/>
          <w:sz w:val="24"/>
          <w:szCs w:val="24"/>
        </w:rPr>
        <w:t>12</w:t>
      </w:r>
      <w:r>
        <w:rPr>
          <w:color w:val="000000"/>
          <w:sz w:val="24"/>
          <w:szCs w:val="24"/>
        </w:rPr>
        <w:t>月市场资金面较为紧张情况下，市场期待已久的降准并未出现，由此可见，央行仍维持较为稳健的货币政策。</w:t>
      </w:r>
    </w:p>
    <w:p w:rsidR="00355F5A" w:rsidRDefault="007A14A2">
      <w:pPr>
        <w:spacing w:before="29" w:line="288" w:lineRule="auto"/>
        <w:ind w:firstLineChars="200" w:firstLine="480"/>
        <w:rPr>
          <w:color w:val="000000"/>
          <w:sz w:val="24"/>
          <w:szCs w:val="24"/>
        </w:rPr>
      </w:pPr>
      <w:r>
        <w:rPr>
          <w:color w:val="000000"/>
          <w:sz w:val="24"/>
          <w:szCs w:val="24"/>
        </w:rPr>
        <w:t>本报告期内，债券市场受资金面的扰动较为明显。在上半季度，债券市场收益率一路下行，</w:t>
      </w:r>
      <w:r>
        <w:rPr>
          <w:color w:val="000000"/>
          <w:sz w:val="24"/>
          <w:szCs w:val="24"/>
        </w:rPr>
        <w:t>11</w:t>
      </w:r>
      <w:r>
        <w:rPr>
          <w:color w:val="000000"/>
          <w:sz w:val="24"/>
          <w:szCs w:val="24"/>
        </w:rPr>
        <w:t>月</w:t>
      </w:r>
      <w:r>
        <w:rPr>
          <w:color w:val="000000"/>
          <w:sz w:val="24"/>
          <w:szCs w:val="24"/>
        </w:rPr>
        <w:t>22</w:t>
      </w:r>
      <w:r>
        <w:rPr>
          <w:color w:val="000000"/>
          <w:sz w:val="24"/>
          <w:szCs w:val="24"/>
        </w:rPr>
        <w:t>日降息使得</w:t>
      </w:r>
      <w:r>
        <w:rPr>
          <w:color w:val="000000"/>
          <w:sz w:val="24"/>
          <w:szCs w:val="24"/>
        </w:rPr>
        <w:t>10</w:t>
      </w:r>
      <w:r>
        <w:rPr>
          <w:color w:val="000000"/>
          <w:sz w:val="24"/>
          <w:szCs w:val="24"/>
        </w:rPr>
        <w:t>年国开债重回此前低点</w:t>
      </w:r>
      <w:r>
        <w:rPr>
          <w:color w:val="000000"/>
          <w:sz w:val="24"/>
          <w:szCs w:val="24"/>
        </w:rPr>
        <w:t>3.87%</w:t>
      </w:r>
      <w:r>
        <w:rPr>
          <w:color w:val="000000"/>
          <w:sz w:val="24"/>
          <w:szCs w:val="24"/>
        </w:rPr>
        <w:t>水平；然而此后，</w:t>
      </w:r>
      <w:r>
        <w:rPr>
          <w:color w:val="000000"/>
          <w:sz w:val="24"/>
          <w:szCs w:val="24"/>
        </w:rPr>
        <w:t>12</w:t>
      </w:r>
      <w:r>
        <w:rPr>
          <w:color w:val="000000"/>
          <w:sz w:val="24"/>
          <w:szCs w:val="24"/>
        </w:rPr>
        <w:t>月</w:t>
      </w:r>
      <w:r>
        <w:rPr>
          <w:color w:val="000000"/>
          <w:sz w:val="24"/>
          <w:szCs w:val="24"/>
        </w:rPr>
        <w:t>9</w:t>
      </w:r>
      <w:r>
        <w:rPr>
          <w:color w:val="000000"/>
          <w:sz w:val="24"/>
          <w:szCs w:val="24"/>
        </w:rPr>
        <w:t>日中证登对质押券调整的公告使得债券市场受到重挫，此后</w:t>
      </w:r>
      <w:r>
        <w:rPr>
          <w:color w:val="000000"/>
          <w:sz w:val="24"/>
          <w:szCs w:val="24"/>
        </w:rPr>
        <w:t>12</w:t>
      </w:r>
      <w:r>
        <w:rPr>
          <w:color w:val="000000"/>
          <w:sz w:val="24"/>
          <w:szCs w:val="24"/>
        </w:rPr>
        <w:t>月受</w:t>
      </w:r>
      <w:r>
        <w:rPr>
          <w:color w:val="000000"/>
          <w:sz w:val="24"/>
          <w:szCs w:val="24"/>
        </w:rPr>
        <w:t>IPO</w:t>
      </w:r>
      <w:r>
        <w:rPr>
          <w:color w:val="000000"/>
          <w:sz w:val="24"/>
          <w:szCs w:val="24"/>
        </w:rPr>
        <w:t>及年底因素影响，市场流动性一度极为紧张，债券收益率一路上行；另一方面，权益市场的火爆也对债券收益率产生了一定的推升。同时延续三季度末市场对未来可能出现的宽信用的担忧，债券收益率的上行也反映了机构投资者对此的担忧。收益率曲线呈现极度平坦化的走势，甚至在年底出现了倒挂。本报告期内，中债总财富指数上涨</w:t>
      </w:r>
      <w:r>
        <w:rPr>
          <w:color w:val="000000"/>
          <w:sz w:val="24"/>
          <w:szCs w:val="24"/>
        </w:rPr>
        <w:t>3.22%</w:t>
      </w:r>
      <w:r>
        <w:rPr>
          <w:color w:val="000000"/>
          <w:sz w:val="24"/>
          <w:szCs w:val="24"/>
        </w:rPr>
        <w:t>，绝大部分收益发生在</w:t>
      </w:r>
      <w:r>
        <w:rPr>
          <w:color w:val="000000"/>
          <w:sz w:val="24"/>
          <w:szCs w:val="24"/>
        </w:rPr>
        <w:t>10</w:t>
      </w:r>
      <w:r>
        <w:rPr>
          <w:color w:val="000000"/>
          <w:sz w:val="24"/>
          <w:szCs w:val="24"/>
        </w:rPr>
        <w:t>月及</w:t>
      </w:r>
      <w:r>
        <w:rPr>
          <w:color w:val="000000"/>
          <w:sz w:val="24"/>
          <w:szCs w:val="24"/>
        </w:rPr>
        <w:t>11</w:t>
      </w:r>
      <w:r>
        <w:rPr>
          <w:color w:val="000000"/>
          <w:sz w:val="24"/>
          <w:szCs w:val="24"/>
        </w:rPr>
        <w:t>月上半月。</w:t>
      </w:r>
    </w:p>
    <w:p w:rsidR="00355F5A" w:rsidRDefault="007A14A2">
      <w:pPr>
        <w:spacing w:before="29" w:line="288" w:lineRule="auto"/>
        <w:ind w:firstLineChars="200" w:firstLine="480"/>
        <w:rPr>
          <w:color w:val="000000"/>
          <w:sz w:val="24"/>
          <w:szCs w:val="24"/>
        </w:rPr>
      </w:pPr>
      <w:r>
        <w:rPr>
          <w:color w:val="000000"/>
          <w:sz w:val="24"/>
          <w:szCs w:val="24"/>
        </w:rPr>
        <w:t>本基金在本报告期内债券仓位逐渐降低，报告期内基金净值上涨</w:t>
      </w:r>
      <w:r>
        <w:rPr>
          <w:color w:val="000000"/>
          <w:sz w:val="24"/>
          <w:szCs w:val="24"/>
        </w:rPr>
        <w:t>7.26%</w:t>
      </w:r>
      <w:r>
        <w:rPr>
          <w:color w:val="000000"/>
          <w:sz w:val="24"/>
          <w:szCs w:val="24"/>
        </w:rPr>
        <w:t>，贡献主要来自于组合在报告期前期较高的纯债仓位、可转债及股票持仓。</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2015</w:t>
      </w:r>
      <w:r w:rsidRPr="00414345">
        <w:rPr>
          <w:color w:val="000000"/>
          <w:sz w:val="24"/>
          <w:szCs w:val="24"/>
        </w:rPr>
        <w:t>年一季度，房地产在</w:t>
      </w:r>
      <w:r w:rsidRPr="00414345">
        <w:rPr>
          <w:color w:val="000000"/>
          <w:sz w:val="24"/>
          <w:szCs w:val="24"/>
        </w:rPr>
        <w:t>2014</w:t>
      </w:r>
      <w:r w:rsidRPr="00414345">
        <w:rPr>
          <w:color w:val="000000"/>
          <w:sz w:val="24"/>
          <w:szCs w:val="24"/>
        </w:rPr>
        <w:t>年四季度的数据让投资者对地产在未来一年的表现充满了期待，年初宽信用的担忧仍较大程度影响着债券市场。另一方面，债券市场资金面情况应比</w:t>
      </w:r>
      <w:r w:rsidRPr="00414345">
        <w:rPr>
          <w:color w:val="000000"/>
          <w:sz w:val="24"/>
          <w:szCs w:val="24"/>
        </w:rPr>
        <w:t>12</w:t>
      </w:r>
      <w:r w:rsidRPr="00414345">
        <w:rPr>
          <w:color w:val="000000"/>
          <w:sz w:val="24"/>
          <w:szCs w:val="24"/>
        </w:rPr>
        <w:t>月宽松，但受连续</w:t>
      </w:r>
      <w:r w:rsidRPr="00414345">
        <w:rPr>
          <w:color w:val="000000"/>
          <w:sz w:val="24"/>
          <w:szCs w:val="24"/>
        </w:rPr>
        <w:t>IPO</w:t>
      </w:r>
      <w:r w:rsidRPr="00414345">
        <w:rPr>
          <w:color w:val="000000"/>
          <w:sz w:val="24"/>
          <w:szCs w:val="24"/>
        </w:rPr>
        <w:t>影响，流动性情况可能仍无法非常乐观；同时，央行货币政策的态度仍较为稳健，仅仅期待降准等货币政策对债券市场的刺激可能未必现实，债券收益率重现四季度初大幅下行的可能性也较小。在经济仍较为疲弱，同时油价暴跌、通胀较低背景下，</w:t>
      </w:r>
      <w:r w:rsidRPr="00414345">
        <w:rPr>
          <w:color w:val="000000"/>
          <w:sz w:val="24"/>
          <w:szCs w:val="24"/>
        </w:rPr>
        <w:t>2015</w:t>
      </w:r>
      <w:r w:rsidRPr="00414345">
        <w:rPr>
          <w:color w:val="000000"/>
          <w:sz w:val="24"/>
          <w:szCs w:val="24"/>
        </w:rPr>
        <w:t>年一季度债券收益率仍可能小幅向下，而</w:t>
      </w:r>
      <w:r w:rsidRPr="00414345">
        <w:rPr>
          <w:color w:val="000000"/>
          <w:sz w:val="24"/>
          <w:szCs w:val="24"/>
        </w:rPr>
        <w:t>3</w:t>
      </w:r>
      <w:r w:rsidRPr="00414345">
        <w:rPr>
          <w:color w:val="000000"/>
          <w:sz w:val="24"/>
          <w:szCs w:val="24"/>
        </w:rPr>
        <w:t>年左右中短期的品种由于收益曲线的修复可能会表现得更好。总体说来，本基金对一季度债券市场的中短端较为乐观。组合管理方面，保持较短的久期，期待获取曲线结构修复的超额收益；另一方面，更值得期待的是，在宽信用及地产可期的背景下，可转债或将是</w:t>
      </w:r>
      <w:r w:rsidRPr="00414345">
        <w:rPr>
          <w:color w:val="000000"/>
          <w:sz w:val="24"/>
          <w:szCs w:val="24"/>
        </w:rPr>
        <w:t>2015</w:t>
      </w:r>
      <w:r w:rsidRPr="00414345">
        <w:rPr>
          <w:color w:val="000000"/>
          <w:sz w:val="24"/>
          <w:szCs w:val="24"/>
        </w:rPr>
        <w:t>年一季度基金获取收益的主要来源。</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1.153</w:t>
      </w:r>
      <w:r w:rsidRPr="00414345">
        <w:rPr>
          <w:color w:val="000000"/>
          <w:sz w:val="24"/>
          <w:szCs w:val="24"/>
        </w:rPr>
        <w:t>元，本报告期份额净值增长率为</w:t>
      </w:r>
      <w:r w:rsidRPr="00414345">
        <w:rPr>
          <w:color w:val="000000"/>
          <w:sz w:val="24"/>
          <w:szCs w:val="24"/>
        </w:rPr>
        <w:t>7.26%</w:t>
      </w:r>
      <w:r w:rsidRPr="00414345">
        <w:rPr>
          <w:color w:val="000000"/>
          <w:sz w:val="24"/>
          <w:szCs w:val="24"/>
        </w:rPr>
        <w:t>，同期业绩比较基准增长率为</w:t>
      </w:r>
      <w:r w:rsidRPr="00414345">
        <w:rPr>
          <w:color w:val="000000"/>
          <w:sz w:val="24"/>
          <w:szCs w:val="24"/>
        </w:rPr>
        <w:t>0.84%</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7A14A2">
        <w:rPr>
          <w:rFonts w:hint="eastAsia"/>
          <w:b/>
          <w:color w:val="000000"/>
          <w:kern w:val="0"/>
          <w:sz w:val="24"/>
        </w:rPr>
        <w:t xml:space="preserve"> </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843D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12,433,500.00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5.75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12,433,500.00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5.75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188,574,242.00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87.21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188,574,242.00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87.21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10,352,833.84</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4.79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4,859,487.10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2.25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216,220,062.94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12,433,500.00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12,433,500.00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355F5A">
        <w:trPr>
          <w:jc w:val="center"/>
        </w:trPr>
        <w:tc>
          <w:tcPr>
            <w:tcW w:w="855" w:type="dxa"/>
            <w:vAlign w:val="center"/>
          </w:tcPr>
          <w:p w:rsidR="00355F5A" w:rsidRDefault="007A14A2">
            <w:pPr>
              <w:jc w:val="center"/>
            </w:pPr>
            <w:r>
              <w:rPr>
                <w:color w:val="000000"/>
                <w:sz w:val="24"/>
                <w:szCs w:val="24"/>
              </w:rPr>
              <w:t>1</w:t>
            </w:r>
          </w:p>
        </w:tc>
        <w:tc>
          <w:tcPr>
            <w:tcW w:w="1334" w:type="dxa"/>
            <w:vAlign w:val="center"/>
          </w:tcPr>
          <w:p w:rsidR="00355F5A" w:rsidRDefault="007A14A2">
            <w:pPr>
              <w:jc w:val="center"/>
            </w:pPr>
            <w:r>
              <w:rPr>
                <w:color w:val="000000"/>
                <w:sz w:val="24"/>
                <w:szCs w:val="24"/>
              </w:rPr>
              <w:t>601989</w:t>
            </w:r>
          </w:p>
        </w:tc>
        <w:tc>
          <w:tcPr>
            <w:tcW w:w="1777" w:type="dxa"/>
            <w:vAlign w:val="center"/>
          </w:tcPr>
          <w:p w:rsidR="00355F5A" w:rsidRDefault="007A14A2">
            <w:pPr>
              <w:jc w:val="center"/>
            </w:pPr>
            <w:r>
              <w:rPr>
                <w:color w:val="000000"/>
                <w:sz w:val="24"/>
                <w:szCs w:val="24"/>
              </w:rPr>
              <w:t>中国重工</w:t>
            </w:r>
          </w:p>
        </w:tc>
        <w:tc>
          <w:tcPr>
            <w:tcW w:w="1334" w:type="dxa"/>
            <w:vAlign w:val="center"/>
          </w:tcPr>
          <w:p w:rsidR="00355F5A" w:rsidRDefault="007A14A2">
            <w:pPr>
              <w:jc w:val="right"/>
            </w:pPr>
            <w:r>
              <w:rPr>
                <w:color w:val="000000"/>
                <w:sz w:val="24"/>
                <w:szCs w:val="24"/>
              </w:rPr>
              <w:t>1,350,000</w:t>
            </w:r>
          </w:p>
        </w:tc>
        <w:tc>
          <w:tcPr>
            <w:tcW w:w="1924" w:type="dxa"/>
            <w:vAlign w:val="center"/>
          </w:tcPr>
          <w:p w:rsidR="00355F5A" w:rsidRDefault="007A14A2">
            <w:pPr>
              <w:jc w:val="right"/>
            </w:pPr>
            <w:r>
              <w:rPr>
                <w:color w:val="000000"/>
                <w:sz w:val="24"/>
                <w:szCs w:val="24"/>
              </w:rPr>
              <w:t>12,433,500.00</w:t>
            </w:r>
          </w:p>
        </w:tc>
        <w:tc>
          <w:tcPr>
            <w:tcW w:w="1644" w:type="dxa"/>
            <w:vAlign w:val="center"/>
          </w:tcPr>
          <w:p w:rsidR="00355F5A" w:rsidRDefault="007A14A2">
            <w:pPr>
              <w:jc w:val="right"/>
            </w:pPr>
            <w:r>
              <w:rPr>
                <w:color w:val="000000"/>
                <w:sz w:val="24"/>
                <w:szCs w:val="24"/>
              </w:rPr>
              <w:t>9.08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60,000,000.00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43.79</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10,000,000.00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7.30</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98,798,582.00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72.11</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29,195,000.00</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21.31</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580,660.00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0.42</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188,574,242.00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137.64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E0E83">
        <w:trPr>
          <w:jc w:val="center"/>
        </w:trPr>
        <w:tc>
          <w:tcPr>
            <w:tcW w:w="85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7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6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8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15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23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355F5A">
        <w:trPr>
          <w:jc w:val="center"/>
        </w:trPr>
        <w:tc>
          <w:tcPr>
            <w:tcW w:w="850" w:type="dxa"/>
            <w:vAlign w:val="center"/>
          </w:tcPr>
          <w:p w:rsidR="00355F5A" w:rsidRDefault="007A14A2">
            <w:pPr>
              <w:jc w:val="center"/>
            </w:pPr>
            <w:r>
              <w:rPr>
                <w:color w:val="000000"/>
                <w:sz w:val="24"/>
                <w:szCs w:val="24"/>
              </w:rPr>
              <w:t>1</w:t>
            </w:r>
          </w:p>
        </w:tc>
        <w:tc>
          <w:tcPr>
            <w:tcW w:w="1475" w:type="dxa"/>
            <w:vAlign w:val="center"/>
          </w:tcPr>
          <w:p w:rsidR="00355F5A" w:rsidRDefault="007A14A2">
            <w:pPr>
              <w:jc w:val="center"/>
            </w:pPr>
            <w:r>
              <w:rPr>
                <w:color w:val="000000"/>
                <w:sz w:val="24"/>
                <w:szCs w:val="24"/>
              </w:rPr>
              <w:t>120000A</w:t>
            </w:r>
          </w:p>
        </w:tc>
        <w:tc>
          <w:tcPr>
            <w:tcW w:w="1769" w:type="dxa"/>
            <w:vAlign w:val="center"/>
          </w:tcPr>
          <w:p w:rsidR="00355F5A" w:rsidRDefault="007A14A2">
            <w:pPr>
              <w:jc w:val="center"/>
            </w:pPr>
            <w:r>
              <w:rPr>
                <w:color w:val="000000"/>
                <w:sz w:val="24"/>
                <w:szCs w:val="24"/>
              </w:rPr>
              <w:t>12</w:t>
            </w:r>
            <w:r>
              <w:rPr>
                <w:color w:val="000000"/>
                <w:sz w:val="24"/>
                <w:szCs w:val="24"/>
              </w:rPr>
              <w:t>光大永明次级债务</w:t>
            </w:r>
          </w:p>
        </w:tc>
        <w:tc>
          <w:tcPr>
            <w:tcW w:w="1387" w:type="dxa"/>
            <w:vAlign w:val="center"/>
          </w:tcPr>
          <w:p w:rsidR="00355F5A" w:rsidRDefault="007A14A2">
            <w:pPr>
              <w:jc w:val="right"/>
            </w:pPr>
            <w:r>
              <w:rPr>
                <w:color w:val="000000"/>
                <w:sz w:val="24"/>
                <w:szCs w:val="24"/>
              </w:rPr>
              <w:t>500,000</w:t>
            </w:r>
          </w:p>
        </w:tc>
        <w:tc>
          <w:tcPr>
            <w:tcW w:w="2150" w:type="dxa"/>
            <w:vAlign w:val="center"/>
          </w:tcPr>
          <w:p w:rsidR="00355F5A" w:rsidRDefault="007A14A2">
            <w:pPr>
              <w:jc w:val="right"/>
            </w:pPr>
            <w:r>
              <w:rPr>
                <w:color w:val="000000"/>
                <w:sz w:val="24"/>
                <w:szCs w:val="24"/>
              </w:rPr>
              <w:t>50,000,000.00</w:t>
            </w:r>
          </w:p>
        </w:tc>
        <w:tc>
          <w:tcPr>
            <w:tcW w:w="1237" w:type="dxa"/>
            <w:vAlign w:val="center"/>
          </w:tcPr>
          <w:p w:rsidR="00355F5A" w:rsidRDefault="007A14A2">
            <w:pPr>
              <w:jc w:val="right"/>
            </w:pPr>
            <w:r>
              <w:rPr>
                <w:color w:val="000000"/>
                <w:sz w:val="24"/>
                <w:szCs w:val="24"/>
              </w:rPr>
              <w:t>36.49</w:t>
            </w:r>
          </w:p>
        </w:tc>
      </w:tr>
      <w:tr w:rsidR="00355F5A">
        <w:trPr>
          <w:jc w:val="center"/>
        </w:trPr>
        <w:tc>
          <w:tcPr>
            <w:tcW w:w="850" w:type="dxa"/>
            <w:vAlign w:val="center"/>
          </w:tcPr>
          <w:p w:rsidR="00355F5A" w:rsidRDefault="007A14A2">
            <w:pPr>
              <w:jc w:val="center"/>
            </w:pPr>
            <w:r>
              <w:rPr>
                <w:color w:val="000000"/>
                <w:sz w:val="24"/>
                <w:szCs w:val="24"/>
              </w:rPr>
              <w:t>2</w:t>
            </w:r>
          </w:p>
        </w:tc>
        <w:tc>
          <w:tcPr>
            <w:tcW w:w="1475" w:type="dxa"/>
            <w:vAlign w:val="center"/>
          </w:tcPr>
          <w:p w:rsidR="00355F5A" w:rsidRDefault="007A14A2">
            <w:pPr>
              <w:jc w:val="center"/>
            </w:pPr>
            <w:r>
              <w:rPr>
                <w:color w:val="000000"/>
                <w:sz w:val="24"/>
                <w:szCs w:val="24"/>
              </w:rPr>
              <w:t>122826</w:t>
            </w:r>
          </w:p>
        </w:tc>
        <w:tc>
          <w:tcPr>
            <w:tcW w:w="1769" w:type="dxa"/>
            <w:vAlign w:val="center"/>
          </w:tcPr>
          <w:p w:rsidR="00355F5A" w:rsidRDefault="007A14A2">
            <w:pPr>
              <w:jc w:val="center"/>
            </w:pPr>
            <w:r>
              <w:rPr>
                <w:color w:val="000000"/>
                <w:sz w:val="24"/>
                <w:szCs w:val="24"/>
              </w:rPr>
              <w:t>11</w:t>
            </w:r>
            <w:r>
              <w:rPr>
                <w:color w:val="000000"/>
                <w:sz w:val="24"/>
                <w:szCs w:val="24"/>
              </w:rPr>
              <w:t>北港债</w:t>
            </w:r>
          </w:p>
        </w:tc>
        <w:tc>
          <w:tcPr>
            <w:tcW w:w="1387" w:type="dxa"/>
            <w:vAlign w:val="center"/>
          </w:tcPr>
          <w:p w:rsidR="00355F5A" w:rsidRDefault="007A14A2">
            <w:pPr>
              <w:jc w:val="right"/>
            </w:pPr>
            <w:r>
              <w:rPr>
                <w:color w:val="000000"/>
                <w:sz w:val="24"/>
                <w:szCs w:val="24"/>
              </w:rPr>
              <w:t>200,000</w:t>
            </w:r>
          </w:p>
        </w:tc>
        <w:tc>
          <w:tcPr>
            <w:tcW w:w="2150" w:type="dxa"/>
            <w:vAlign w:val="center"/>
          </w:tcPr>
          <w:p w:rsidR="00355F5A" w:rsidRDefault="007A14A2">
            <w:pPr>
              <w:jc w:val="right"/>
            </w:pPr>
            <w:r>
              <w:rPr>
                <w:color w:val="000000"/>
                <w:sz w:val="24"/>
                <w:szCs w:val="24"/>
              </w:rPr>
              <w:t>20,286,000.00</w:t>
            </w:r>
          </w:p>
        </w:tc>
        <w:tc>
          <w:tcPr>
            <w:tcW w:w="1237" w:type="dxa"/>
            <w:vAlign w:val="center"/>
          </w:tcPr>
          <w:p w:rsidR="00355F5A" w:rsidRDefault="007A14A2">
            <w:pPr>
              <w:jc w:val="right"/>
            </w:pPr>
            <w:r>
              <w:rPr>
                <w:color w:val="000000"/>
                <w:sz w:val="24"/>
                <w:szCs w:val="24"/>
              </w:rPr>
              <w:t>14.81</w:t>
            </w:r>
          </w:p>
        </w:tc>
      </w:tr>
      <w:tr w:rsidR="00355F5A">
        <w:trPr>
          <w:jc w:val="center"/>
        </w:trPr>
        <w:tc>
          <w:tcPr>
            <w:tcW w:w="850" w:type="dxa"/>
            <w:vAlign w:val="center"/>
          </w:tcPr>
          <w:p w:rsidR="00355F5A" w:rsidRDefault="007A14A2">
            <w:pPr>
              <w:jc w:val="center"/>
            </w:pPr>
            <w:r>
              <w:rPr>
                <w:color w:val="000000"/>
                <w:sz w:val="24"/>
                <w:szCs w:val="24"/>
              </w:rPr>
              <w:t>3</w:t>
            </w:r>
          </w:p>
        </w:tc>
        <w:tc>
          <w:tcPr>
            <w:tcW w:w="1475" w:type="dxa"/>
            <w:vAlign w:val="center"/>
          </w:tcPr>
          <w:p w:rsidR="00355F5A" w:rsidRDefault="007A14A2">
            <w:pPr>
              <w:jc w:val="center"/>
            </w:pPr>
            <w:r>
              <w:rPr>
                <w:color w:val="000000"/>
                <w:sz w:val="24"/>
                <w:szCs w:val="24"/>
              </w:rPr>
              <w:t>1382136</w:t>
            </w:r>
          </w:p>
        </w:tc>
        <w:tc>
          <w:tcPr>
            <w:tcW w:w="1769" w:type="dxa"/>
            <w:vAlign w:val="center"/>
          </w:tcPr>
          <w:p w:rsidR="00355F5A" w:rsidRDefault="007A14A2">
            <w:pPr>
              <w:jc w:val="center"/>
            </w:pPr>
            <w:r>
              <w:rPr>
                <w:color w:val="000000"/>
                <w:sz w:val="24"/>
                <w:szCs w:val="24"/>
              </w:rPr>
              <w:t>13</w:t>
            </w:r>
            <w:r>
              <w:rPr>
                <w:color w:val="000000"/>
                <w:sz w:val="24"/>
                <w:szCs w:val="24"/>
              </w:rPr>
              <w:t>乌兰煤</w:t>
            </w:r>
            <w:r>
              <w:rPr>
                <w:color w:val="000000"/>
                <w:sz w:val="24"/>
                <w:szCs w:val="24"/>
              </w:rPr>
              <w:t>MTN1</w:t>
            </w:r>
          </w:p>
        </w:tc>
        <w:tc>
          <w:tcPr>
            <w:tcW w:w="1387" w:type="dxa"/>
            <w:vAlign w:val="center"/>
          </w:tcPr>
          <w:p w:rsidR="00355F5A" w:rsidRDefault="007A14A2">
            <w:pPr>
              <w:jc w:val="right"/>
            </w:pPr>
            <w:r>
              <w:rPr>
                <w:color w:val="000000"/>
                <w:sz w:val="24"/>
                <w:szCs w:val="24"/>
              </w:rPr>
              <w:t>200,000</w:t>
            </w:r>
          </w:p>
        </w:tc>
        <w:tc>
          <w:tcPr>
            <w:tcW w:w="2150" w:type="dxa"/>
            <w:vAlign w:val="center"/>
          </w:tcPr>
          <w:p w:rsidR="00355F5A" w:rsidRDefault="007A14A2">
            <w:pPr>
              <w:jc w:val="right"/>
            </w:pPr>
            <w:r>
              <w:rPr>
                <w:color w:val="000000"/>
                <w:sz w:val="24"/>
                <w:szCs w:val="24"/>
              </w:rPr>
              <w:t>19,428,000.00</w:t>
            </w:r>
          </w:p>
        </w:tc>
        <w:tc>
          <w:tcPr>
            <w:tcW w:w="1237" w:type="dxa"/>
            <w:vAlign w:val="center"/>
          </w:tcPr>
          <w:p w:rsidR="00355F5A" w:rsidRDefault="007A14A2">
            <w:pPr>
              <w:jc w:val="right"/>
            </w:pPr>
            <w:r>
              <w:rPr>
                <w:color w:val="000000"/>
                <w:sz w:val="24"/>
                <w:szCs w:val="24"/>
              </w:rPr>
              <w:t>14.18</w:t>
            </w:r>
          </w:p>
        </w:tc>
      </w:tr>
      <w:tr w:rsidR="00355F5A">
        <w:trPr>
          <w:jc w:val="center"/>
        </w:trPr>
        <w:tc>
          <w:tcPr>
            <w:tcW w:w="850" w:type="dxa"/>
            <w:vAlign w:val="center"/>
          </w:tcPr>
          <w:p w:rsidR="00355F5A" w:rsidRDefault="007A14A2">
            <w:pPr>
              <w:jc w:val="center"/>
            </w:pPr>
            <w:r>
              <w:rPr>
                <w:color w:val="000000"/>
                <w:sz w:val="24"/>
                <w:szCs w:val="24"/>
              </w:rPr>
              <w:t>4</w:t>
            </w:r>
          </w:p>
        </w:tc>
        <w:tc>
          <w:tcPr>
            <w:tcW w:w="1475" w:type="dxa"/>
            <w:vAlign w:val="center"/>
          </w:tcPr>
          <w:p w:rsidR="00355F5A" w:rsidRDefault="007A14A2">
            <w:pPr>
              <w:jc w:val="center"/>
            </w:pPr>
            <w:r>
              <w:rPr>
                <w:color w:val="000000"/>
                <w:sz w:val="24"/>
                <w:szCs w:val="24"/>
              </w:rPr>
              <w:t>124517</w:t>
            </w:r>
          </w:p>
        </w:tc>
        <w:tc>
          <w:tcPr>
            <w:tcW w:w="1769" w:type="dxa"/>
            <w:vAlign w:val="center"/>
          </w:tcPr>
          <w:p w:rsidR="00355F5A" w:rsidRDefault="007A14A2">
            <w:pPr>
              <w:jc w:val="center"/>
            </w:pPr>
            <w:r>
              <w:rPr>
                <w:color w:val="000000"/>
                <w:sz w:val="24"/>
                <w:szCs w:val="24"/>
              </w:rPr>
              <w:t>14</w:t>
            </w:r>
            <w:r>
              <w:rPr>
                <w:color w:val="000000"/>
                <w:sz w:val="24"/>
                <w:szCs w:val="24"/>
              </w:rPr>
              <w:t>怀化</w:t>
            </w:r>
            <w:r>
              <w:rPr>
                <w:color w:val="000000"/>
                <w:sz w:val="24"/>
                <w:szCs w:val="24"/>
              </w:rPr>
              <w:t>02</w:t>
            </w:r>
          </w:p>
        </w:tc>
        <w:tc>
          <w:tcPr>
            <w:tcW w:w="1387" w:type="dxa"/>
            <w:vAlign w:val="center"/>
          </w:tcPr>
          <w:p w:rsidR="00355F5A" w:rsidRDefault="007A14A2">
            <w:pPr>
              <w:jc w:val="right"/>
            </w:pPr>
            <w:r>
              <w:rPr>
                <w:color w:val="000000"/>
                <w:sz w:val="24"/>
                <w:szCs w:val="24"/>
              </w:rPr>
              <w:t>160,000</w:t>
            </w:r>
          </w:p>
        </w:tc>
        <w:tc>
          <w:tcPr>
            <w:tcW w:w="2150" w:type="dxa"/>
            <w:vAlign w:val="center"/>
          </w:tcPr>
          <w:p w:rsidR="00355F5A" w:rsidRDefault="007A14A2">
            <w:pPr>
              <w:jc w:val="right"/>
            </w:pPr>
            <w:r>
              <w:rPr>
                <w:color w:val="000000"/>
                <w:sz w:val="24"/>
                <w:szCs w:val="24"/>
              </w:rPr>
              <w:t>16,798,400.00</w:t>
            </w:r>
          </w:p>
        </w:tc>
        <w:tc>
          <w:tcPr>
            <w:tcW w:w="1237" w:type="dxa"/>
            <w:vAlign w:val="center"/>
          </w:tcPr>
          <w:p w:rsidR="00355F5A" w:rsidRDefault="007A14A2">
            <w:pPr>
              <w:jc w:val="right"/>
            </w:pPr>
            <w:r>
              <w:rPr>
                <w:color w:val="000000"/>
                <w:sz w:val="24"/>
                <w:szCs w:val="24"/>
              </w:rPr>
              <w:t>12.26</w:t>
            </w:r>
          </w:p>
        </w:tc>
      </w:tr>
      <w:tr w:rsidR="00355F5A">
        <w:trPr>
          <w:jc w:val="center"/>
        </w:trPr>
        <w:tc>
          <w:tcPr>
            <w:tcW w:w="850" w:type="dxa"/>
            <w:vAlign w:val="center"/>
          </w:tcPr>
          <w:p w:rsidR="00355F5A" w:rsidRDefault="007A14A2">
            <w:pPr>
              <w:jc w:val="center"/>
            </w:pPr>
            <w:r>
              <w:rPr>
                <w:color w:val="000000"/>
                <w:sz w:val="24"/>
                <w:szCs w:val="24"/>
              </w:rPr>
              <w:t>5</w:t>
            </w:r>
          </w:p>
        </w:tc>
        <w:tc>
          <w:tcPr>
            <w:tcW w:w="1475" w:type="dxa"/>
            <w:vAlign w:val="center"/>
          </w:tcPr>
          <w:p w:rsidR="00355F5A" w:rsidRDefault="007A14A2">
            <w:pPr>
              <w:jc w:val="center"/>
            </w:pPr>
            <w:r>
              <w:rPr>
                <w:color w:val="000000"/>
                <w:sz w:val="24"/>
                <w:szCs w:val="24"/>
              </w:rPr>
              <w:t>122302</w:t>
            </w:r>
          </w:p>
        </w:tc>
        <w:tc>
          <w:tcPr>
            <w:tcW w:w="1769" w:type="dxa"/>
            <w:vAlign w:val="center"/>
          </w:tcPr>
          <w:p w:rsidR="00355F5A" w:rsidRDefault="007A14A2">
            <w:pPr>
              <w:jc w:val="center"/>
            </w:pPr>
            <w:r>
              <w:rPr>
                <w:color w:val="000000"/>
                <w:sz w:val="24"/>
                <w:szCs w:val="24"/>
              </w:rPr>
              <w:t>13</w:t>
            </w:r>
            <w:r>
              <w:rPr>
                <w:color w:val="000000"/>
                <w:sz w:val="24"/>
                <w:szCs w:val="24"/>
              </w:rPr>
              <w:t>天房债</w:t>
            </w:r>
          </w:p>
        </w:tc>
        <w:tc>
          <w:tcPr>
            <w:tcW w:w="1387" w:type="dxa"/>
            <w:vAlign w:val="center"/>
          </w:tcPr>
          <w:p w:rsidR="00355F5A" w:rsidRDefault="007A14A2">
            <w:pPr>
              <w:jc w:val="right"/>
            </w:pPr>
            <w:r>
              <w:rPr>
                <w:color w:val="000000"/>
                <w:sz w:val="24"/>
                <w:szCs w:val="24"/>
              </w:rPr>
              <w:t>100,000</w:t>
            </w:r>
          </w:p>
        </w:tc>
        <w:tc>
          <w:tcPr>
            <w:tcW w:w="2150" w:type="dxa"/>
            <w:vAlign w:val="center"/>
          </w:tcPr>
          <w:p w:rsidR="00355F5A" w:rsidRDefault="007A14A2">
            <w:pPr>
              <w:jc w:val="right"/>
            </w:pPr>
            <w:r>
              <w:rPr>
                <w:color w:val="000000"/>
                <w:sz w:val="24"/>
                <w:szCs w:val="24"/>
              </w:rPr>
              <w:t>10,625,000.00</w:t>
            </w:r>
          </w:p>
        </w:tc>
        <w:tc>
          <w:tcPr>
            <w:tcW w:w="1237" w:type="dxa"/>
            <w:vAlign w:val="center"/>
          </w:tcPr>
          <w:p w:rsidR="00355F5A" w:rsidRDefault="007A14A2">
            <w:pPr>
              <w:jc w:val="right"/>
            </w:pPr>
            <w:r>
              <w:rPr>
                <w:color w:val="000000"/>
                <w:sz w:val="24"/>
                <w:szCs w:val="24"/>
              </w:rPr>
              <w:t>7.76</w:t>
            </w:r>
          </w:p>
        </w:tc>
      </w:tr>
    </w:tbl>
    <w:p w:rsidR="00AE0E83" w:rsidRPr="00E91A09" w:rsidRDefault="00AE0E83" w:rsidP="00AE0E83">
      <w:pPr>
        <w:autoSpaceDE w:val="0"/>
        <w:autoSpaceDN w:val="0"/>
        <w:adjustRightInd w:val="0"/>
        <w:spacing w:before="29" w:line="288" w:lineRule="auto"/>
        <w:jc w:val="left"/>
        <w:rPr>
          <w:bCs/>
          <w:color w:val="000000"/>
          <w:kern w:val="0"/>
          <w:sz w:val="24"/>
          <w:szCs w:val="24"/>
        </w:rPr>
      </w:pPr>
      <w:r w:rsidRPr="00E91A09">
        <w:rPr>
          <w:rFonts w:hint="eastAsia"/>
          <w:bCs/>
          <w:color w:val="000000"/>
          <w:kern w:val="0"/>
          <w:sz w:val="24"/>
          <w:szCs w:val="24"/>
        </w:rPr>
        <w:t>注：因“</w:t>
      </w:r>
      <w:r w:rsidRPr="00E91A09">
        <w:rPr>
          <w:rFonts w:hint="eastAsia"/>
          <w:bCs/>
          <w:color w:val="000000"/>
          <w:kern w:val="0"/>
          <w:sz w:val="24"/>
          <w:szCs w:val="24"/>
        </w:rPr>
        <w:t>12</w:t>
      </w:r>
      <w:r w:rsidRPr="00E91A09">
        <w:rPr>
          <w:rFonts w:hint="eastAsia"/>
          <w:bCs/>
          <w:color w:val="000000"/>
          <w:kern w:val="0"/>
          <w:sz w:val="24"/>
          <w:szCs w:val="24"/>
        </w:rPr>
        <w:t>光大永明次级债”暂无市场代码，上表中债券代码“</w:t>
      </w:r>
      <w:r w:rsidRPr="00E91A09">
        <w:rPr>
          <w:rFonts w:hint="eastAsia"/>
          <w:bCs/>
          <w:color w:val="000000"/>
          <w:kern w:val="0"/>
          <w:sz w:val="24"/>
          <w:szCs w:val="24"/>
        </w:rPr>
        <w:t>120000A</w:t>
      </w:r>
      <w:r w:rsidRPr="00E91A09">
        <w:rPr>
          <w:rFonts w:hint="eastAsia"/>
          <w:bCs/>
          <w:color w:val="000000"/>
          <w:kern w:val="0"/>
          <w:sz w:val="24"/>
          <w:szCs w:val="24"/>
        </w:rPr>
        <w:t>”为系统虚拟代码。</w:t>
      </w:r>
    </w:p>
    <w:p w:rsidR="004061AC" w:rsidRPr="00AE0E83"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64,601.93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4,689,716.97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105,168.20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4,859,487.10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355F5A">
        <w:trPr>
          <w:jc w:val="center"/>
        </w:trPr>
        <w:tc>
          <w:tcPr>
            <w:tcW w:w="1883" w:type="dxa"/>
            <w:vAlign w:val="center"/>
          </w:tcPr>
          <w:p w:rsidR="00355F5A" w:rsidRDefault="007A14A2">
            <w:pPr>
              <w:jc w:val="center"/>
            </w:pPr>
            <w:r>
              <w:rPr>
                <w:color w:val="000000"/>
                <w:sz w:val="24"/>
                <w:szCs w:val="24"/>
              </w:rPr>
              <w:t>1</w:t>
            </w:r>
          </w:p>
        </w:tc>
        <w:tc>
          <w:tcPr>
            <w:tcW w:w="1801" w:type="dxa"/>
            <w:vAlign w:val="center"/>
          </w:tcPr>
          <w:p w:rsidR="00355F5A" w:rsidRDefault="007A14A2">
            <w:pPr>
              <w:jc w:val="center"/>
            </w:pPr>
            <w:r>
              <w:rPr>
                <w:color w:val="000000"/>
                <w:sz w:val="24"/>
                <w:szCs w:val="24"/>
              </w:rPr>
              <w:t>113001</w:t>
            </w:r>
          </w:p>
        </w:tc>
        <w:tc>
          <w:tcPr>
            <w:tcW w:w="1727" w:type="dxa"/>
            <w:vAlign w:val="center"/>
          </w:tcPr>
          <w:p w:rsidR="00355F5A" w:rsidRDefault="007A14A2">
            <w:pPr>
              <w:jc w:val="center"/>
            </w:pPr>
            <w:r>
              <w:rPr>
                <w:color w:val="000000"/>
                <w:sz w:val="24"/>
                <w:szCs w:val="24"/>
              </w:rPr>
              <w:t>中行转债</w:t>
            </w:r>
          </w:p>
        </w:tc>
        <w:tc>
          <w:tcPr>
            <w:tcW w:w="1768" w:type="dxa"/>
            <w:vAlign w:val="center"/>
          </w:tcPr>
          <w:p w:rsidR="00355F5A" w:rsidRDefault="007A14A2">
            <w:pPr>
              <w:jc w:val="right"/>
            </w:pPr>
            <w:r>
              <w:rPr>
                <w:color w:val="000000"/>
                <w:sz w:val="24"/>
                <w:szCs w:val="24"/>
              </w:rPr>
              <w:t>156,590.00</w:t>
            </w:r>
          </w:p>
        </w:tc>
        <w:tc>
          <w:tcPr>
            <w:tcW w:w="1689" w:type="dxa"/>
            <w:vAlign w:val="center"/>
          </w:tcPr>
          <w:p w:rsidR="00355F5A" w:rsidRDefault="007A14A2">
            <w:pPr>
              <w:jc w:val="right"/>
            </w:pPr>
            <w:r>
              <w:rPr>
                <w:color w:val="000000"/>
                <w:sz w:val="24"/>
                <w:szCs w:val="24"/>
              </w:rPr>
              <w:t>0.11</w:t>
            </w:r>
          </w:p>
        </w:tc>
      </w:tr>
      <w:tr w:rsidR="00355F5A">
        <w:trPr>
          <w:jc w:val="center"/>
        </w:trPr>
        <w:tc>
          <w:tcPr>
            <w:tcW w:w="1883" w:type="dxa"/>
            <w:vAlign w:val="center"/>
          </w:tcPr>
          <w:p w:rsidR="00355F5A" w:rsidRDefault="007A14A2">
            <w:pPr>
              <w:jc w:val="center"/>
            </w:pPr>
            <w:r>
              <w:rPr>
                <w:color w:val="000000"/>
                <w:sz w:val="24"/>
                <w:szCs w:val="24"/>
              </w:rPr>
              <w:t>2</w:t>
            </w:r>
          </w:p>
        </w:tc>
        <w:tc>
          <w:tcPr>
            <w:tcW w:w="1801" w:type="dxa"/>
            <w:vAlign w:val="center"/>
          </w:tcPr>
          <w:p w:rsidR="00355F5A" w:rsidRDefault="007A14A2">
            <w:pPr>
              <w:jc w:val="center"/>
            </w:pPr>
            <w:r>
              <w:rPr>
                <w:color w:val="000000"/>
                <w:sz w:val="24"/>
                <w:szCs w:val="24"/>
              </w:rPr>
              <w:t>113002</w:t>
            </w:r>
          </w:p>
        </w:tc>
        <w:tc>
          <w:tcPr>
            <w:tcW w:w="1727" w:type="dxa"/>
            <w:vAlign w:val="center"/>
          </w:tcPr>
          <w:p w:rsidR="00355F5A" w:rsidRDefault="007A14A2">
            <w:pPr>
              <w:jc w:val="center"/>
            </w:pPr>
            <w:r>
              <w:rPr>
                <w:color w:val="000000"/>
                <w:sz w:val="24"/>
                <w:szCs w:val="24"/>
              </w:rPr>
              <w:t>工行转债</w:t>
            </w:r>
          </w:p>
        </w:tc>
        <w:tc>
          <w:tcPr>
            <w:tcW w:w="1768" w:type="dxa"/>
            <w:vAlign w:val="center"/>
          </w:tcPr>
          <w:p w:rsidR="00355F5A" w:rsidRDefault="007A14A2">
            <w:pPr>
              <w:jc w:val="right"/>
            </w:pPr>
            <w:r>
              <w:rPr>
                <w:color w:val="000000"/>
                <w:sz w:val="24"/>
                <w:szCs w:val="24"/>
              </w:rPr>
              <w:t>149,190.00</w:t>
            </w:r>
          </w:p>
        </w:tc>
        <w:tc>
          <w:tcPr>
            <w:tcW w:w="1689" w:type="dxa"/>
            <w:vAlign w:val="center"/>
          </w:tcPr>
          <w:p w:rsidR="00355F5A" w:rsidRDefault="007A14A2">
            <w:pPr>
              <w:jc w:val="right"/>
            </w:pPr>
            <w:r>
              <w:rPr>
                <w:color w:val="000000"/>
                <w:sz w:val="24"/>
                <w:szCs w:val="24"/>
              </w:rPr>
              <w:t>0.11</w:t>
            </w:r>
          </w:p>
        </w:tc>
      </w:tr>
      <w:tr w:rsidR="00355F5A">
        <w:trPr>
          <w:jc w:val="center"/>
        </w:trPr>
        <w:tc>
          <w:tcPr>
            <w:tcW w:w="1883" w:type="dxa"/>
            <w:vAlign w:val="center"/>
          </w:tcPr>
          <w:p w:rsidR="00355F5A" w:rsidRDefault="007A14A2">
            <w:pPr>
              <w:jc w:val="center"/>
            </w:pPr>
            <w:r>
              <w:rPr>
                <w:color w:val="000000"/>
                <w:sz w:val="24"/>
                <w:szCs w:val="24"/>
              </w:rPr>
              <w:t>3</w:t>
            </w:r>
          </w:p>
        </w:tc>
        <w:tc>
          <w:tcPr>
            <w:tcW w:w="1801" w:type="dxa"/>
            <w:vAlign w:val="center"/>
          </w:tcPr>
          <w:p w:rsidR="00355F5A" w:rsidRDefault="007A14A2">
            <w:pPr>
              <w:jc w:val="center"/>
            </w:pPr>
            <w:r>
              <w:rPr>
                <w:color w:val="000000"/>
                <w:sz w:val="24"/>
                <w:szCs w:val="24"/>
              </w:rPr>
              <w:t>110015</w:t>
            </w:r>
          </w:p>
        </w:tc>
        <w:tc>
          <w:tcPr>
            <w:tcW w:w="1727" w:type="dxa"/>
            <w:vAlign w:val="center"/>
          </w:tcPr>
          <w:p w:rsidR="00355F5A" w:rsidRDefault="007A14A2">
            <w:pPr>
              <w:jc w:val="center"/>
            </w:pPr>
            <w:r>
              <w:rPr>
                <w:color w:val="000000"/>
                <w:sz w:val="24"/>
                <w:szCs w:val="24"/>
              </w:rPr>
              <w:t>石化转债</w:t>
            </w:r>
          </w:p>
        </w:tc>
        <w:tc>
          <w:tcPr>
            <w:tcW w:w="1768" w:type="dxa"/>
            <w:vAlign w:val="center"/>
          </w:tcPr>
          <w:p w:rsidR="00355F5A" w:rsidRDefault="007A14A2">
            <w:pPr>
              <w:jc w:val="right"/>
            </w:pPr>
            <w:r>
              <w:rPr>
                <w:color w:val="000000"/>
                <w:sz w:val="24"/>
                <w:szCs w:val="24"/>
              </w:rPr>
              <w:t>134,920.00</w:t>
            </w:r>
          </w:p>
        </w:tc>
        <w:tc>
          <w:tcPr>
            <w:tcW w:w="1689" w:type="dxa"/>
            <w:vAlign w:val="center"/>
          </w:tcPr>
          <w:p w:rsidR="00355F5A" w:rsidRDefault="007A14A2">
            <w:pPr>
              <w:jc w:val="right"/>
            </w:pPr>
            <w:r>
              <w:rPr>
                <w:color w:val="000000"/>
                <w:sz w:val="24"/>
                <w:szCs w:val="24"/>
              </w:rPr>
              <w:t>0.10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210,084,154.32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56,326,193.80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147,613,964.88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118,796,383.24</w:t>
            </w:r>
          </w:p>
        </w:tc>
      </w:tr>
    </w:tbl>
    <w:p w:rsidR="00355F5A" w:rsidRDefault="007A14A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843D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843D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355F5A" w:rsidRDefault="007A14A2">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、中国证监会核准交银施罗德信用添利债券证券投资基金募集的文件；</w:t>
      </w:r>
      <w:r>
        <w:rPr>
          <w:color w:val="000000"/>
          <w:sz w:val="24"/>
          <w:szCs w:val="24"/>
        </w:rPr>
        <w:t xml:space="preserve"> </w:t>
      </w:r>
    </w:p>
    <w:p w:rsidR="00355F5A" w:rsidRDefault="007A14A2">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、《交银施罗德信用添利债券证券投资基金基金合同》；</w:t>
      </w:r>
    </w:p>
    <w:p w:rsidR="00355F5A" w:rsidRDefault="007A14A2">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、《交银施罗德信用添利债券证券投资基金招募说明书》；</w:t>
      </w:r>
      <w:r>
        <w:rPr>
          <w:color w:val="000000"/>
          <w:sz w:val="24"/>
          <w:szCs w:val="24"/>
        </w:rPr>
        <w:t xml:space="preserve"> </w:t>
      </w:r>
    </w:p>
    <w:p w:rsidR="00355F5A" w:rsidRDefault="007A14A2">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、《交银施罗德信用添利债券证券投资基金托管协议》；</w:t>
      </w:r>
      <w:r>
        <w:rPr>
          <w:color w:val="000000"/>
          <w:sz w:val="24"/>
          <w:szCs w:val="24"/>
        </w:rPr>
        <w:t xml:space="preserve"> </w:t>
      </w:r>
    </w:p>
    <w:p w:rsidR="00355F5A" w:rsidRDefault="007A14A2">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355F5A" w:rsidRDefault="007A14A2">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355F5A" w:rsidRDefault="007A14A2">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、关于申请募集交银施罗德信用添利债券证券投资基金之法律意见书；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、报告期内交银施罗德信用添利债券证券投资基金在指定报刊上各项公告的原稿。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355F5A" w:rsidRDefault="007A14A2">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FD0" w:rsidRDefault="00CF1FD0" w:rsidP="00876D65">
      <w:r>
        <w:separator/>
      </w:r>
    </w:p>
  </w:endnote>
  <w:endnote w:type="continuationSeparator" w:id="0">
    <w:p w:rsidR="00CF1FD0" w:rsidRDefault="00CF1FD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1A29A2">
      <w:rPr>
        <w:kern w:val="0"/>
        <w:szCs w:val="21"/>
      </w:rPr>
      <w:fldChar w:fldCharType="begin"/>
    </w:r>
    <w:r>
      <w:rPr>
        <w:kern w:val="0"/>
        <w:szCs w:val="21"/>
      </w:rPr>
      <w:instrText xml:space="preserve"> PAGE </w:instrText>
    </w:r>
    <w:r w:rsidR="001A29A2">
      <w:rPr>
        <w:kern w:val="0"/>
        <w:szCs w:val="21"/>
      </w:rPr>
      <w:fldChar w:fldCharType="separate"/>
    </w:r>
    <w:r w:rsidR="00925B9F">
      <w:rPr>
        <w:noProof/>
        <w:kern w:val="0"/>
        <w:szCs w:val="21"/>
      </w:rPr>
      <w:t>1</w:t>
    </w:r>
    <w:r w:rsidR="001A29A2">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1A29A2">
      <w:rPr>
        <w:kern w:val="0"/>
        <w:szCs w:val="21"/>
      </w:rPr>
      <w:fldChar w:fldCharType="begin"/>
    </w:r>
    <w:r>
      <w:rPr>
        <w:kern w:val="0"/>
        <w:szCs w:val="21"/>
      </w:rPr>
      <w:instrText xml:space="preserve"> NUMPAGES </w:instrText>
    </w:r>
    <w:r w:rsidR="001A29A2">
      <w:rPr>
        <w:kern w:val="0"/>
        <w:szCs w:val="21"/>
      </w:rPr>
      <w:fldChar w:fldCharType="separate"/>
    </w:r>
    <w:r w:rsidR="00925B9F">
      <w:rPr>
        <w:noProof/>
        <w:kern w:val="0"/>
        <w:szCs w:val="21"/>
      </w:rPr>
      <w:t>12</w:t>
    </w:r>
    <w:r w:rsidR="001A29A2">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FD0" w:rsidRDefault="00CF1FD0" w:rsidP="00876D65">
      <w:r>
        <w:separator/>
      </w:r>
    </w:p>
  </w:footnote>
  <w:footnote w:type="continuationSeparator" w:id="0">
    <w:p w:rsidR="00CF1FD0" w:rsidRDefault="00CF1FD0"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522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29A2"/>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4438"/>
    <w:rsid w:val="002279D3"/>
    <w:rsid w:val="00240248"/>
    <w:rsid w:val="0024363B"/>
    <w:rsid w:val="00244A32"/>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55F5A"/>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A14A2"/>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25B9F"/>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43DE"/>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0E83"/>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1FD0"/>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2268"/>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3EBF"/>
    <w:rsid w:val="00FA775C"/>
    <w:rsid w:val="00FB0BC9"/>
    <w:rsid w:val="00FB1DA3"/>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5:docId w15:val="{4B55E790-1C8F-4619-9B67-CA43B38A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37A94-6ACF-451E-BAB6-DDB11276D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TotalTime>
  <Pages>12</Pages>
  <Words>1108</Words>
  <Characters>6320</Characters>
  <Application>Microsoft Office Word</Application>
  <DocSecurity>0</DocSecurity>
  <Lines>52</Lines>
  <Paragraphs>14</Paragraphs>
  <ScaleCrop>false</ScaleCrop>
  <Company/>
  <LinksUpToDate>false</LinksUpToDate>
  <CharactersWithSpaces>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562</cp:revision>
  <dcterms:created xsi:type="dcterms:W3CDTF">2012-10-16T06:07:00Z</dcterms:created>
  <dcterms:modified xsi:type="dcterms:W3CDTF">2015-01-20T03:43:00Z</dcterms:modified>
</cp:coreProperties>
</file>