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交银施罗德趋势优先股票证券投资基金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二〇一五年一月二十二日</w:t>
      </w:r>
    </w:p>
    <w:p w:rsidR="004061AC" w:rsidRPr="00414345" w:rsidRDefault="004061AC" w:rsidP="00D55F32">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637FD5" w:rsidRDefault="0021475C">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637FD5" w:rsidRDefault="0021475C">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2015</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637FD5" w:rsidRDefault="0021475C">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637FD5" w:rsidRDefault="0021475C">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637FD5" w:rsidRDefault="0021475C">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D55F32">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交银趋势股票</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519702</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2010</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768,247,514.93</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本基金力图通过把握中国人口变化的重大趋势，精选受益其中的优势行业和个股，在控制风险并保持基金资产良好的流动性的前提下，力争实现基金资产的长期稳定增值。</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中信标普全债指数收</w:t>
            </w:r>
            <w:r w:rsidRPr="00414345">
              <w:rPr>
                <w:color w:val="000000"/>
                <w:kern w:val="0"/>
                <w:sz w:val="24"/>
                <w:szCs w:val="24"/>
              </w:rPr>
              <w:lastRenderedPageBreak/>
              <w:t>益率</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本基金是一只股票型基金，属于基金中的高风险品种，本基金的风险与预期收益高于混合型基金和债券型基金。</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D55F32">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1475C" w:rsidRPr="00414345" w:rsidTr="0021475C">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21475C" w:rsidRPr="00414345" w:rsidTr="0021475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86,183,470.98</w:t>
            </w:r>
          </w:p>
        </w:tc>
      </w:tr>
      <w:tr w:rsidR="0021475C" w:rsidRPr="00414345" w:rsidTr="0021475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47,204,534.70</w:t>
            </w:r>
          </w:p>
        </w:tc>
      </w:tr>
      <w:tr w:rsidR="0021475C" w:rsidRPr="00414345" w:rsidTr="0021475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0.0552</w:t>
            </w:r>
          </w:p>
        </w:tc>
      </w:tr>
      <w:tr w:rsidR="0021475C" w:rsidRPr="00414345" w:rsidTr="0021475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744,119,502.77</w:t>
            </w:r>
          </w:p>
        </w:tc>
      </w:tr>
      <w:tr w:rsidR="0021475C" w:rsidRPr="00414345" w:rsidTr="0021475C">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0.969</w:t>
            </w:r>
          </w:p>
        </w:tc>
      </w:tr>
    </w:tbl>
    <w:p w:rsidR="00637FD5" w:rsidRDefault="0021475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2A24DA">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637FD5">
        <w:trPr>
          <w:jc w:val="center"/>
        </w:trPr>
        <w:tc>
          <w:tcPr>
            <w:tcW w:w="1701" w:type="dxa"/>
            <w:vAlign w:val="center"/>
          </w:tcPr>
          <w:p w:rsidR="00637FD5" w:rsidRDefault="0021475C">
            <w:pPr>
              <w:jc w:val="left"/>
            </w:pPr>
            <w:r>
              <w:rPr>
                <w:color w:val="000000"/>
                <w:sz w:val="24"/>
                <w:szCs w:val="24"/>
              </w:rPr>
              <w:t>过去三个月</w:t>
            </w:r>
          </w:p>
        </w:tc>
        <w:tc>
          <w:tcPr>
            <w:tcW w:w="1045" w:type="dxa"/>
            <w:vAlign w:val="center"/>
          </w:tcPr>
          <w:p w:rsidR="00637FD5" w:rsidRDefault="0021475C">
            <w:pPr>
              <w:jc w:val="center"/>
            </w:pPr>
            <w:r>
              <w:rPr>
                <w:color w:val="000000"/>
                <w:sz w:val="24"/>
                <w:szCs w:val="24"/>
              </w:rPr>
              <w:t>6.72%</w:t>
            </w:r>
          </w:p>
        </w:tc>
        <w:tc>
          <w:tcPr>
            <w:tcW w:w="1344" w:type="dxa"/>
            <w:vAlign w:val="center"/>
          </w:tcPr>
          <w:p w:rsidR="00637FD5" w:rsidRDefault="0021475C">
            <w:pPr>
              <w:jc w:val="center"/>
            </w:pPr>
            <w:r>
              <w:rPr>
                <w:color w:val="000000"/>
                <w:sz w:val="24"/>
                <w:szCs w:val="24"/>
              </w:rPr>
              <w:t>1.41%</w:t>
            </w:r>
          </w:p>
        </w:tc>
        <w:tc>
          <w:tcPr>
            <w:tcW w:w="1194" w:type="dxa"/>
            <w:vAlign w:val="center"/>
          </w:tcPr>
          <w:p w:rsidR="00637FD5" w:rsidRDefault="0021475C">
            <w:pPr>
              <w:jc w:val="center"/>
            </w:pPr>
            <w:r>
              <w:rPr>
                <w:color w:val="000000"/>
                <w:sz w:val="24"/>
                <w:szCs w:val="24"/>
              </w:rPr>
              <w:t>32.94%</w:t>
            </w:r>
          </w:p>
        </w:tc>
        <w:tc>
          <w:tcPr>
            <w:tcW w:w="1492" w:type="dxa"/>
            <w:vAlign w:val="center"/>
          </w:tcPr>
          <w:p w:rsidR="00637FD5" w:rsidRDefault="0021475C">
            <w:pPr>
              <w:jc w:val="center"/>
            </w:pPr>
            <w:r>
              <w:rPr>
                <w:color w:val="000000"/>
                <w:sz w:val="24"/>
                <w:szCs w:val="24"/>
              </w:rPr>
              <w:t>1.26%</w:t>
            </w:r>
          </w:p>
        </w:tc>
        <w:tc>
          <w:tcPr>
            <w:tcW w:w="1194" w:type="dxa"/>
            <w:vAlign w:val="center"/>
          </w:tcPr>
          <w:p w:rsidR="00637FD5" w:rsidRDefault="0021475C">
            <w:pPr>
              <w:jc w:val="center"/>
            </w:pPr>
            <w:r>
              <w:rPr>
                <w:color w:val="000000"/>
                <w:sz w:val="24"/>
                <w:szCs w:val="24"/>
              </w:rPr>
              <w:t>-26.22%</w:t>
            </w:r>
          </w:p>
        </w:tc>
        <w:tc>
          <w:tcPr>
            <w:tcW w:w="898" w:type="dxa"/>
            <w:vAlign w:val="center"/>
          </w:tcPr>
          <w:p w:rsidR="00637FD5" w:rsidRDefault="0021475C">
            <w:pPr>
              <w:jc w:val="center"/>
            </w:pPr>
            <w:r>
              <w:rPr>
                <w:color w:val="000000"/>
                <w:sz w:val="24"/>
                <w:szCs w:val="24"/>
              </w:rPr>
              <w:t>0.15%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交银施罗德趋势优先股票证券投资基金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lastRenderedPageBreak/>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D55F32">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637FD5">
        <w:trPr>
          <w:jc w:val="center"/>
        </w:trPr>
        <w:tc>
          <w:tcPr>
            <w:tcW w:w="846" w:type="dxa"/>
            <w:vAlign w:val="center"/>
          </w:tcPr>
          <w:p w:rsidR="00637FD5" w:rsidRDefault="0021475C">
            <w:pPr>
              <w:jc w:val="center"/>
            </w:pPr>
            <w:r>
              <w:rPr>
                <w:color w:val="000000"/>
                <w:sz w:val="24"/>
                <w:szCs w:val="24"/>
              </w:rPr>
              <w:t>管华雨</w:t>
            </w:r>
          </w:p>
        </w:tc>
        <w:tc>
          <w:tcPr>
            <w:tcW w:w="845" w:type="dxa"/>
            <w:vAlign w:val="center"/>
          </w:tcPr>
          <w:p w:rsidR="00637FD5" w:rsidRDefault="0021475C">
            <w:pPr>
              <w:jc w:val="center"/>
            </w:pPr>
            <w:r>
              <w:rPr>
                <w:color w:val="000000"/>
                <w:sz w:val="24"/>
                <w:szCs w:val="24"/>
              </w:rPr>
              <w:t>本基金、交银成长股票、交银成长</w:t>
            </w:r>
            <w:r>
              <w:rPr>
                <w:color w:val="000000"/>
                <w:sz w:val="24"/>
                <w:szCs w:val="24"/>
              </w:rPr>
              <w:t>30</w:t>
            </w:r>
            <w:r>
              <w:rPr>
                <w:color w:val="000000"/>
                <w:sz w:val="24"/>
                <w:szCs w:val="24"/>
              </w:rPr>
              <w:t>股票、交银新成长股票的基金经理，公司权益投资总监</w:t>
            </w:r>
          </w:p>
        </w:tc>
        <w:tc>
          <w:tcPr>
            <w:tcW w:w="1549" w:type="dxa"/>
            <w:vAlign w:val="center"/>
          </w:tcPr>
          <w:p w:rsidR="00637FD5" w:rsidRDefault="0021475C">
            <w:pPr>
              <w:jc w:val="center"/>
            </w:pPr>
            <w:r>
              <w:rPr>
                <w:color w:val="000000"/>
                <w:sz w:val="24"/>
                <w:szCs w:val="24"/>
              </w:rPr>
              <w:t>2013-08-08</w:t>
            </w:r>
          </w:p>
        </w:tc>
        <w:tc>
          <w:tcPr>
            <w:tcW w:w="1548" w:type="dxa"/>
            <w:vAlign w:val="center"/>
          </w:tcPr>
          <w:p w:rsidR="00637FD5" w:rsidRDefault="0021475C">
            <w:pPr>
              <w:jc w:val="center"/>
            </w:pPr>
            <w:r>
              <w:rPr>
                <w:color w:val="000000"/>
                <w:sz w:val="24"/>
                <w:szCs w:val="24"/>
              </w:rPr>
              <w:t>2014-10-22</w:t>
            </w:r>
          </w:p>
        </w:tc>
        <w:tc>
          <w:tcPr>
            <w:tcW w:w="1407" w:type="dxa"/>
            <w:vAlign w:val="center"/>
          </w:tcPr>
          <w:p w:rsidR="00637FD5" w:rsidRDefault="0021475C">
            <w:pPr>
              <w:jc w:val="center"/>
            </w:pPr>
            <w:r>
              <w:rPr>
                <w:color w:val="000000"/>
                <w:sz w:val="24"/>
                <w:szCs w:val="24"/>
              </w:rPr>
              <w:t>12</w:t>
            </w:r>
            <w:r>
              <w:rPr>
                <w:color w:val="000000"/>
                <w:sz w:val="24"/>
                <w:szCs w:val="24"/>
              </w:rPr>
              <w:t>年</w:t>
            </w:r>
          </w:p>
        </w:tc>
        <w:tc>
          <w:tcPr>
            <w:tcW w:w="2673" w:type="dxa"/>
            <w:vAlign w:val="center"/>
          </w:tcPr>
          <w:p w:rsidR="00637FD5" w:rsidRDefault="0021475C" w:rsidP="00792D93">
            <w:r>
              <w:rPr>
                <w:color w:val="000000"/>
                <w:sz w:val="24"/>
                <w:szCs w:val="24"/>
              </w:rPr>
              <w:t>管华雨先生，</w:t>
            </w:r>
            <w:r>
              <w:rPr>
                <w:color w:val="000000"/>
                <w:sz w:val="24"/>
                <w:szCs w:val="24"/>
              </w:rPr>
              <w:t>CFA</w:t>
            </w:r>
            <w:r>
              <w:rPr>
                <w:color w:val="000000"/>
                <w:sz w:val="24"/>
                <w:szCs w:val="24"/>
              </w:rPr>
              <w:t>，博士学历。历任申银万国证券股份有限公司投资部投资经理、高级投资经理，信诚基金管理有限公司分析师、基金经理助理和基金经理。其中</w:t>
            </w:r>
            <w:r>
              <w:rPr>
                <w:color w:val="000000"/>
                <w:sz w:val="24"/>
                <w:szCs w:val="24"/>
              </w:rPr>
              <w:t>2007</w:t>
            </w:r>
            <w:r>
              <w:rPr>
                <w:color w:val="000000"/>
                <w:sz w:val="24"/>
                <w:szCs w:val="24"/>
              </w:rPr>
              <w:t>年</w:t>
            </w:r>
            <w:r>
              <w:rPr>
                <w:color w:val="000000"/>
                <w:sz w:val="24"/>
                <w:szCs w:val="24"/>
              </w:rPr>
              <w:t>5</w:t>
            </w:r>
            <w:r>
              <w:rPr>
                <w:color w:val="000000"/>
                <w:sz w:val="24"/>
                <w:szCs w:val="24"/>
              </w:rPr>
              <w:t>月至</w:t>
            </w:r>
            <w:r>
              <w:rPr>
                <w:color w:val="000000"/>
                <w:sz w:val="24"/>
                <w:szCs w:val="24"/>
              </w:rPr>
              <w:t>2010</w:t>
            </w:r>
            <w:r>
              <w:rPr>
                <w:color w:val="000000"/>
                <w:sz w:val="24"/>
                <w:szCs w:val="24"/>
              </w:rPr>
              <w:t>年</w:t>
            </w:r>
            <w:r>
              <w:rPr>
                <w:color w:val="000000"/>
                <w:sz w:val="24"/>
                <w:szCs w:val="24"/>
              </w:rPr>
              <w:t>5</w:t>
            </w:r>
            <w:r>
              <w:rPr>
                <w:color w:val="000000"/>
                <w:sz w:val="24"/>
                <w:szCs w:val="24"/>
              </w:rPr>
              <w:t>月担任信诚四季红混合型证券投资基金基金经理。</w:t>
            </w:r>
            <w:r>
              <w:rPr>
                <w:color w:val="000000"/>
                <w:sz w:val="24"/>
                <w:szCs w:val="24"/>
              </w:rPr>
              <w:t>2010</w:t>
            </w:r>
            <w:r>
              <w:rPr>
                <w:color w:val="000000"/>
                <w:sz w:val="24"/>
                <w:szCs w:val="24"/>
              </w:rPr>
              <w:t>年加入交银施罗德基金管理有限公司，历任权益部总经理助理、副总经理、总经理，</w:t>
            </w:r>
            <w:r>
              <w:rPr>
                <w:color w:val="000000"/>
                <w:sz w:val="24"/>
                <w:szCs w:val="24"/>
              </w:rPr>
              <w:t>2010</w:t>
            </w:r>
            <w:r>
              <w:rPr>
                <w:color w:val="000000"/>
                <w:sz w:val="24"/>
                <w:szCs w:val="24"/>
              </w:rPr>
              <w:t>年</w:t>
            </w:r>
            <w:r>
              <w:rPr>
                <w:color w:val="000000"/>
                <w:sz w:val="24"/>
                <w:szCs w:val="24"/>
              </w:rPr>
              <w:t>12</w:t>
            </w:r>
            <w:r>
              <w:rPr>
                <w:color w:val="000000"/>
                <w:sz w:val="24"/>
                <w:szCs w:val="24"/>
              </w:rPr>
              <w:t>月</w:t>
            </w:r>
            <w:r>
              <w:rPr>
                <w:color w:val="000000"/>
                <w:sz w:val="24"/>
                <w:szCs w:val="24"/>
              </w:rPr>
              <w:t>22</w:t>
            </w:r>
            <w:r>
              <w:rPr>
                <w:color w:val="000000"/>
                <w:sz w:val="24"/>
                <w:szCs w:val="24"/>
              </w:rPr>
              <w:t>日至</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12</w:t>
            </w:r>
            <w:r>
              <w:rPr>
                <w:color w:val="000000"/>
                <w:sz w:val="24"/>
                <w:szCs w:val="24"/>
              </w:rPr>
              <w:t>日担任交银施罗德趋势优先股票证券投资基金基金经理，</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13</w:t>
            </w:r>
            <w:r>
              <w:rPr>
                <w:color w:val="000000"/>
                <w:sz w:val="24"/>
                <w:szCs w:val="24"/>
              </w:rPr>
              <w:t>日至</w:t>
            </w: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25</w:t>
            </w:r>
            <w:r>
              <w:rPr>
                <w:color w:val="000000"/>
                <w:sz w:val="24"/>
                <w:szCs w:val="24"/>
              </w:rPr>
              <w:t>日担任交银施罗德精选股票证券投资基金基金经理，</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5</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21</w:t>
            </w:r>
            <w:r>
              <w:rPr>
                <w:color w:val="000000"/>
                <w:sz w:val="24"/>
                <w:szCs w:val="24"/>
              </w:rPr>
              <w:t>日担任交银施罗德成长</w:t>
            </w:r>
            <w:r>
              <w:rPr>
                <w:color w:val="000000"/>
                <w:sz w:val="24"/>
                <w:szCs w:val="24"/>
              </w:rPr>
              <w:t>30</w:t>
            </w:r>
            <w:r>
              <w:rPr>
                <w:color w:val="000000"/>
                <w:sz w:val="24"/>
                <w:szCs w:val="24"/>
              </w:rPr>
              <w:t>股票型证券投资基金基金经理，</w:t>
            </w:r>
            <w:r>
              <w:rPr>
                <w:color w:val="000000"/>
                <w:sz w:val="24"/>
                <w:szCs w:val="24"/>
              </w:rPr>
              <w:t>2013</w:t>
            </w:r>
            <w:r>
              <w:rPr>
                <w:color w:val="000000"/>
                <w:sz w:val="24"/>
                <w:szCs w:val="24"/>
              </w:rPr>
              <w:t>年</w:t>
            </w:r>
            <w:r>
              <w:rPr>
                <w:color w:val="000000"/>
                <w:sz w:val="24"/>
                <w:szCs w:val="24"/>
              </w:rPr>
              <w:t>8</w:t>
            </w:r>
            <w:r>
              <w:rPr>
                <w:color w:val="000000"/>
                <w:sz w:val="24"/>
                <w:szCs w:val="24"/>
              </w:rPr>
              <w:t>月</w:t>
            </w:r>
            <w:r>
              <w:rPr>
                <w:color w:val="000000"/>
                <w:sz w:val="24"/>
                <w:szCs w:val="24"/>
              </w:rPr>
              <w:t>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21</w:t>
            </w:r>
            <w:r>
              <w:rPr>
                <w:color w:val="000000"/>
                <w:sz w:val="24"/>
                <w:szCs w:val="24"/>
              </w:rPr>
              <w:t>日担任交银施罗德趋势优先股票证券投资基金基金经理。</w:t>
            </w:r>
          </w:p>
        </w:tc>
      </w:tr>
      <w:tr w:rsidR="00637FD5">
        <w:trPr>
          <w:jc w:val="center"/>
        </w:trPr>
        <w:tc>
          <w:tcPr>
            <w:tcW w:w="846" w:type="dxa"/>
            <w:vAlign w:val="center"/>
          </w:tcPr>
          <w:p w:rsidR="00637FD5" w:rsidRDefault="0021475C">
            <w:pPr>
              <w:jc w:val="center"/>
            </w:pPr>
            <w:r>
              <w:rPr>
                <w:color w:val="000000"/>
                <w:sz w:val="24"/>
                <w:szCs w:val="24"/>
              </w:rPr>
              <w:t>曹文俊</w:t>
            </w:r>
          </w:p>
        </w:tc>
        <w:tc>
          <w:tcPr>
            <w:tcW w:w="845" w:type="dxa"/>
            <w:vAlign w:val="center"/>
          </w:tcPr>
          <w:p w:rsidR="00637FD5" w:rsidRDefault="0021475C">
            <w:pPr>
              <w:jc w:val="center"/>
            </w:pPr>
            <w:r>
              <w:rPr>
                <w:color w:val="000000"/>
                <w:sz w:val="24"/>
                <w:szCs w:val="24"/>
              </w:rPr>
              <w:t>本基金、交银施罗德精选股票证券投资基金的基金经理</w:t>
            </w:r>
          </w:p>
        </w:tc>
        <w:tc>
          <w:tcPr>
            <w:tcW w:w="1549" w:type="dxa"/>
            <w:vAlign w:val="center"/>
          </w:tcPr>
          <w:p w:rsidR="00637FD5" w:rsidRDefault="0021475C">
            <w:pPr>
              <w:jc w:val="center"/>
            </w:pPr>
            <w:r>
              <w:rPr>
                <w:color w:val="000000"/>
                <w:sz w:val="24"/>
                <w:szCs w:val="24"/>
              </w:rPr>
              <w:t>2013-08-08</w:t>
            </w:r>
          </w:p>
        </w:tc>
        <w:tc>
          <w:tcPr>
            <w:tcW w:w="1548" w:type="dxa"/>
            <w:vAlign w:val="center"/>
          </w:tcPr>
          <w:p w:rsidR="00637FD5" w:rsidRDefault="0021475C">
            <w:pPr>
              <w:jc w:val="center"/>
            </w:pPr>
            <w:r>
              <w:rPr>
                <w:color w:val="000000"/>
                <w:sz w:val="24"/>
                <w:szCs w:val="24"/>
              </w:rPr>
              <w:t>-</w:t>
            </w:r>
          </w:p>
        </w:tc>
        <w:tc>
          <w:tcPr>
            <w:tcW w:w="1407" w:type="dxa"/>
            <w:vAlign w:val="center"/>
          </w:tcPr>
          <w:p w:rsidR="00637FD5" w:rsidRDefault="0021475C">
            <w:pPr>
              <w:jc w:val="center"/>
            </w:pPr>
            <w:r>
              <w:rPr>
                <w:color w:val="000000"/>
                <w:sz w:val="24"/>
                <w:szCs w:val="24"/>
              </w:rPr>
              <w:t>9</w:t>
            </w:r>
            <w:r>
              <w:rPr>
                <w:color w:val="000000"/>
                <w:sz w:val="24"/>
                <w:szCs w:val="24"/>
              </w:rPr>
              <w:t>年</w:t>
            </w:r>
          </w:p>
        </w:tc>
        <w:tc>
          <w:tcPr>
            <w:tcW w:w="2673" w:type="dxa"/>
            <w:vAlign w:val="center"/>
          </w:tcPr>
          <w:p w:rsidR="00637FD5" w:rsidRDefault="0021475C">
            <w:r>
              <w:rPr>
                <w:color w:val="000000"/>
                <w:sz w:val="24"/>
                <w:szCs w:val="24"/>
              </w:rPr>
              <w:t>曹文俊先生，硕士学位。历任申银万国证券研究所有限公司助理分析师，申万巴黎基金管理有限公司（现申万菱信基金管理有限公司）研究员。</w:t>
            </w:r>
            <w:r>
              <w:rPr>
                <w:color w:val="000000"/>
                <w:sz w:val="24"/>
                <w:szCs w:val="24"/>
              </w:rPr>
              <w:t>2010</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637FD5" w:rsidRDefault="0021475C">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637FD5" w:rsidRDefault="0021475C">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637FD5" w:rsidRDefault="0021475C">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637FD5" w:rsidRDefault="0021475C">
      <w:pPr>
        <w:spacing w:before="29" w:line="288" w:lineRule="auto"/>
        <w:ind w:firstLineChars="200" w:firstLine="480"/>
        <w:rPr>
          <w:color w:val="000000"/>
          <w:sz w:val="24"/>
          <w:szCs w:val="24"/>
        </w:rPr>
      </w:pPr>
      <w:r>
        <w:rPr>
          <w:color w:val="000000"/>
          <w:sz w:val="24"/>
          <w:szCs w:val="24"/>
        </w:rPr>
        <w:t>2014</w:t>
      </w:r>
      <w:r>
        <w:rPr>
          <w:color w:val="000000"/>
          <w:sz w:val="24"/>
          <w:szCs w:val="24"/>
        </w:rPr>
        <w:t>年四季度沪深股市表现异常强劲，其中沪深</w:t>
      </w:r>
      <w:r>
        <w:rPr>
          <w:color w:val="000000"/>
          <w:sz w:val="24"/>
          <w:szCs w:val="24"/>
        </w:rPr>
        <w:t>300</w:t>
      </w:r>
      <w:r>
        <w:rPr>
          <w:color w:val="000000"/>
          <w:sz w:val="24"/>
          <w:szCs w:val="24"/>
        </w:rPr>
        <w:t>指数上涨</w:t>
      </w:r>
      <w:r>
        <w:rPr>
          <w:color w:val="000000"/>
          <w:sz w:val="24"/>
          <w:szCs w:val="24"/>
        </w:rPr>
        <w:t>44.17%</w:t>
      </w:r>
      <w:r>
        <w:rPr>
          <w:color w:val="000000"/>
          <w:sz w:val="24"/>
          <w:szCs w:val="24"/>
        </w:rPr>
        <w:t>，中小板指数下跌</w:t>
      </w:r>
      <w:r>
        <w:rPr>
          <w:color w:val="000000"/>
          <w:sz w:val="24"/>
          <w:szCs w:val="24"/>
        </w:rPr>
        <w:t>2.56%</w:t>
      </w:r>
      <w:r>
        <w:rPr>
          <w:color w:val="000000"/>
          <w:sz w:val="24"/>
          <w:szCs w:val="24"/>
        </w:rPr>
        <w:t>，创业板指数下跌</w:t>
      </w:r>
      <w:r>
        <w:rPr>
          <w:color w:val="000000"/>
          <w:sz w:val="24"/>
          <w:szCs w:val="24"/>
        </w:rPr>
        <w:t>4.49%</w:t>
      </w:r>
      <w:r>
        <w:rPr>
          <w:color w:val="000000"/>
          <w:sz w:val="24"/>
          <w:szCs w:val="24"/>
        </w:rPr>
        <w:t>。四季度大小盘分化严重，低估值蓝筹表现耀眼，银行、非银金融、钢铁、交运和地产等行业表现突出，增量资金入市引发的低估值板块价值重估是市场表现的主要线索。四季度本基金净值涨幅</w:t>
      </w:r>
      <w:r>
        <w:rPr>
          <w:color w:val="000000"/>
          <w:sz w:val="24"/>
          <w:szCs w:val="24"/>
        </w:rPr>
        <w:t>6.72%</w:t>
      </w:r>
      <w:r>
        <w:rPr>
          <w:color w:val="000000"/>
          <w:sz w:val="24"/>
          <w:szCs w:val="24"/>
        </w:rPr>
        <w:t>，净值表现未能跑赢业绩比较基准，主要缘于前期组合结构偏高估值成长股，估值收缩造成对组合表现的影响。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一个季度，在经济低迷和通缩预期的双重压力下，适度的货币政策放松或将是一个合理选择。流动性宽裕加之大类资产配置，有利于市场整体估值水平的提升。我们认为低估值蓝筹股的价值重估过程仍将延续；成长股则需精挑细选，具备强逻辑和稀缺性的标的才能走出独立行情。</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0.969</w:t>
      </w:r>
      <w:r w:rsidRPr="00414345">
        <w:rPr>
          <w:color w:val="000000"/>
          <w:sz w:val="24"/>
          <w:szCs w:val="24"/>
        </w:rPr>
        <w:t>元，本报告期份额净值增长率为</w:t>
      </w:r>
      <w:r w:rsidRPr="00414345">
        <w:rPr>
          <w:color w:val="000000"/>
          <w:sz w:val="24"/>
          <w:szCs w:val="24"/>
        </w:rPr>
        <w:t>6.72%</w:t>
      </w:r>
      <w:r w:rsidRPr="00414345">
        <w:rPr>
          <w:color w:val="000000"/>
          <w:sz w:val="24"/>
          <w:szCs w:val="24"/>
        </w:rPr>
        <w:t>，同期业绩比较基准增长率为</w:t>
      </w:r>
      <w:r w:rsidRPr="00414345">
        <w:rPr>
          <w:color w:val="000000"/>
          <w:sz w:val="24"/>
          <w:szCs w:val="24"/>
        </w:rPr>
        <w:t>32.94%</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21475C">
        <w:rPr>
          <w:rFonts w:hint="eastAsia"/>
          <w:b/>
          <w:color w:val="000000"/>
          <w:kern w:val="0"/>
          <w:sz w:val="24"/>
        </w:rPr>
        <w:t xml:space="preserve"> </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61AC" w:rsidRPr="00414345" w:rsidRDefault="004061AC" w:rsidP="00D55F32">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603,908,169.48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79.53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603,908,169.48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79.53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4,317,757.60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0.57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4,317,757.60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0.57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149,622,709.33</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19.70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1,503,613.85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0.20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759,352,250.26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36,086,720.00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4.85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171,062,796.38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7,753,550.03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33,415,544.20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18,709,601.20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28,409,620.00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149,149,520.00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80,411,707.01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10.81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3,291,000.00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8,250,825.00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44,481,051.56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15,427,104.10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7,459,130.00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603,908,169.48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81.16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637FD5">
        <w:trPr>
          <w:jc w:val="center"/>
        </w:trPr>
        <w:tc>
          <w:tcPr>
            <w:tcW w:w="855" w:type="dxa"/>
            <w:vAlign w:val="center"/>
          </w:tcPr>
          <w:p w:rsidR="00637FD5" w:rsidRDefault="0021475C">
            <w:pPr>
              <w:jc w:val="center"/>
            </w:pPr>
            <w:r>
              <w:rPr>
                <w:color w:val="000000"/>
                <w:sz w:val="24"/>
                <w:szCs w:val="24"/>
              </w:rPr>
              <w:t>1</w:t>
            </w:r>
          </w:p>
        </w:tc>
        <w:tc>
          <w:tcPr>
            <w:tcW w:w="1334" w:type="dxa"/>
            <w:vAlign w:val="center"/>
          </w:tcPr>
          <w:p w:rsidR="00637FD5" w:rsidRDefault="0021475C">
            <w:pPr>
              <w:jc w:val="center"/>
            </w:pPr>
            <w:r>
              <w:rPr>
                <w:color w:val="000000"/>
                <w:sz w:val="24"/>
                <w:szCs w:val="24"/>
              </w:rPr>
              <w:t>601318</w:t>
            </w:r>
          </w:p>
        </w:tc>
        <w:tc>
          <w:tcPr>
            <w:tcW w:w="1777" w:type="dxa"/>
            <w:vAlign w:val="center"/>
          </w:tcPr>
          <w:p w:rsidR="00637FD5" w:rsidRDefault="0021475C">
            <w:pPr>
              <w:jc w:val="center"/>
            </w:pPr>
            <w:r>
              <w:rPr>
                <w:color w:val="000000"/>
                <w:sz w:val="24"/>
                <w:szCs w:val="24"/>
              </w:rPr>
              <w:t>中国平安</w:t>
            </w:r>
          </w:p>
        </w:tc>
        <w:tc>
          <w:tcPr>
            <w:tcW w:w="1334" w:type="dxa"/>
            <w:vAlign w:val="center"/>
          </w:tcPr>
          <w:p w:rsidR="00637FD5" w:rsidRDefault="0021475C">
            <w:pPr>
              <w:jc w:val="right"/>
            </w:pPr>
            <w:r>
              <w:rPr>
                <w:color w:val="000000"/>
                <w:sz w:val="24"/>
                <w:szCs w:val="24"/>
              </w:rPr>
              <w:t>500,000</w:t>
            </w:r>
          </w:p>
        </w:tc>
        <w:tc>
          <w:tcPr>
            <w:tcW w:w="1924" w:type="dxa"/>
            <w:vAlign w:val="center"/>
          </w:tcPr>
          <w:p w:rsidR="00637FD5" w:rsidRDefault="0021475C">
            <w:pPr>
              <w:jc w:val="right"/>
            </w:pPr>
            <w:r>
              <w:rPr>
                <w:color w:val="000000"/>
                <w:sz w:val="24"/>
                <w:szCs w:val="24"/>
              </w:rPr>
              <w:t>37,355,000.00</w:t>
            </w:r>
          </w:p>
        </w:tc>
        <w:tc>
          <w:tcPr>
            <w:tcW w:w="1644" w:type="dxa"/>
            <w:vAlign w:val="center"/>
          </w:tcPr>
          <w:p w:rsidR="00637FD5" w:rsidRDefault="0021475C">
            <w:pPr>
              <w:jc w:val="right"/>
            </w:pPr>
            <w:r>
              <w:rPr>
                <w:color w:val="000000"/>
                <w:sz w:val="24"/>
                <w:szCs w:val="24"/>
              </w:rPr>
              <w:t>5.02</w:t>
            </w:r>
          </w:p>
        </w:tc>
      </w:tr>
      <w:tr w:rsidR="00637FD5">
        <w:trPr>
          <w:jc w:val="center"/>
        </w:trPr>
        <w:tc>
          <w:tcPr>
            <w:tcW w:w="855" w:type="dxa"/>
            <w:vAlign w:val="center"/>
          </w:tcPr>
          <w:p w:rsidR="00637FD5" w:rsidRDefault="0021475C">
            <w:pPr>
              <w:jc w:val="center"/>
            </w:pPr>
            <w:r>
              <w:rPr>
                <w:color w:val="000000"/>
                <w:sz w:val="24"/>
                <w:szCs w:val="24"/>
              </w:rPr>
              <w:t>2</w:t>
            </w:r>
          </w:p>
        </w:tc>
        <w:tc>
          <w:tcPr>
            <w:tcW w:w="1334" w:type="dxa"/>
            <w:vAlign w:val="center"/>
          </w:tcPr>
          <w:p w:rsidR="00637FD5" w:rsidRDefault="0021475C">
            <w:pPr>
              <w:jc w:val="center"/>
            </w:pPr>
            <w:r>
              <w:rPr>
                <w:color w:val="000000"/>
                <w:sz w:val="24"/>
                <w:szCs w:val="24"/>
              </w:rPr>
              <w:t>601628</w:t>
            </w:r>
          </w:p>
        </w:tc>
        <w:tc>
          <w:tcPr>
            <w:tcW w:w="1777" w:type="dxa"/>
            <w:vAlign w:val="center"/>
          </w:tcPr>
          <w:p w:rsidR="00637FD5" w:rsidRDefault="0021475C">
            <w:pPr>
              <w:jc w:val="center"/>
            </w:pPr>
            <w:r>
              <w:rPr>
                <w:color w:val="000000"/>
                <w:sz w:val="24"/>
                <w:szCs w:val="24"/>
              </w:rPr>
              <w:t>中国人寿</w:t>
            </w:r>
          </w:p>
        </w:tc>
        <w:tc>
          <w:tcPr>
            <w:tcW w:w="1334" w:type="dxa"/>
            <w:vAlign w:val="center"/>
          </w:tcPr>
          <w:p w:rsidR="00637FD5" w:rsidRDefault="0021475C">
            <w:pPr>
              <w:jc w:val="right"/>
            </w:pPr>
            <w:r>
              <w:rPr>
                <w:color w:val="000000"/>
                <w:sz w:val="24"/>
                <w:szCs w:val="24"/>
              </w:rPr>
              <w:t>1,000,000</w:t>
            </w:r>
          </w:p>
        </w:tc>
        <w:tc>
          <w:tcPr>
            <w:tcW w:w="1924" w:type="dxa"/>
            <w:vAlign w:val="center"/>
          </w:tcPr>
          <w:p w:rsidR="00637FD5" w:rsidRDefault="0021475C">
            <w:pPr>
              <w:jc w:val="right"/>
            </w:pPr>
            <w:r>
              <w:rPr>
                <w:color w:val="000000"/>
                <w:sz w:val="24"/>
                <w:szCs w:val="24"/>
              </w:rPr>
              <w:t>34,150,000.00</w:t>
            </w:r>
          </w:p>
        </w:tc>
        <w:tc>
          <w:tcPr>
            <w:tcW w:w="1644" w:type="dxa"/>
            <w:vAlign w:val="center"/>
          </w:tcPr>
          <w:p w:rsidR="00637FD5" w:rsidRDefault="0021475C">
            <w:pPr>
              <w:jc w:val="right"/>
            </w:pPr>
            <w:r>
              <w:rPr>
                <w:color w:val="000000"/>
                <w:sz w:val="24"/>
                <w:szCs w:val="24"/>
              </w:rPr>
              <w:t>4.59</w:t>
            </w:r>
          </w:p>
        </w:tc>
      </w:tr>
      <w:tr w:rsidR="00637FD5">
        <w:trPr>
          <w:jc w:val="center"/>
        </w:trPr>
        <w:tc>
          <w:tcPr>
            <w:tcW w:w="855" w:type="dxa"/>
            <w:vAlign w:val="center"/>
          </w:tcPr>
          <w:p w:rsidR="00637FD5" w:rsidRDefault="0021475C">
            <w:pPr>
              <w:jc w:val="center"/>
            </w:pPr>
            <w:r>
              <w:rPr>
                <w:color w:val="000000"/>
                <w:sz w:val="24"/>
                <w:szCs w:val="24"/>
              </w:rPr>
              <w:t>3</w:t>
            </w:r>
          </w:p>
        </w:tc>
        <w:tc>
          <w:tcPr>
            <w:tcW w:w="1334" w:type="dxa"/>
            <w:vAlign w:val="center"/>
          </w:tcPr>
          <w:p w:rsidR="00637FD5" w:rsidRDefault="0021475C">
            <w:pPr>
              <w:jc w:val="center"/>
            </w:pPr>
            <w:r>
              <w:rPr>
                <w:color w:val="000000"/>
                <w:sz w:val="24"/>
                <w:szCs w:val="24"/>
              </w:rPr>
              <w:t>601166</w:t>
            </w:r>
          </w:p>
        </w:tc>
        <w:tc>
          <w:tcPr>
            <w:tcW w:w="1777" w:type="dxa"/>
            <w:vAlign w:val="center"/>
          </w:tcPr>
          <w:p w:rsidR="00637FD5" w:rsidRDefault="0021475C">
            <w:pPr>
              <w:jc w:val="center"/>
            </w:pPr>
            <w:r>
              <w:rPr>
                <w:color w:val="000000"/>
                <w:sz w:val="24"/>
                <w:szCs w:val="24"/>
              </w:rPr>
              <w:t>兴业银行</w:t>
            </w:r>
          </w:p>
        </w:tc>
        <w:tc>
          <w:tcPr>
            <w:tcW w:w="1334" w:type="dxa"/>
            <w:vAlign w:val="center"/>
          </w:tcPr>
          <w:p w:rsidR="00637FD5" w:rsidRDefault="0021475C">
            <w:pPr>
              <w:jc w:val="right"/>
            </w:pPr>
            <w:r>
              <w:rPr>
                <w:color w:val="000000"/>
                <w:sz w:val="24"/>
                <w:szCs w:val="24"/>
              </w:rPr>
              <w:t>2,000,046</w:t>
            </w:r>
          </w:p>
        </w:tc>
        <w:tc>
          <w:tcPr>
            <w:tcW w:w="1924" w:type="dxa"/>
            <w:vAlign w:val="center"/>
          </w:tcPr>
          <w:p w:rsidR="00637FD5" w:rsidRDefault="0021475C">
            <w:pPr>
              <w:jc w:val="right"/>
            </w:pPr>
            <w:r>
              <w:rPr>
                <w:color w:val="000000"/>
                <w:sz w:val="24"/>
                <w:szCs w:val="24"/>
              </w:rPr>
              <w:t>33,000,759.00</w:t>
            </w:r>
          </w:p>
        </w:tc>
        <w:tc>
          <w:tcPr>
            <w:tcW w:w="1644" w:type="dxa"/>
            <w:vAlign w:val="center"/>
          </w:tcPr>
          <w:p w:rsidR="00637FD5" w:rsidRDefault="0021475C">
            <w:pPr>
              <w:jc w:val="right"/>
            </w:pPr>
            <w:r>
              <w:rPr>
                <w:color w:val="000000"/>
                <w:sz w:val="24"/>
                <w:szCs w:val="24"/>
              </w:rPr>
              <w:t>4.43</w:t>
            </w:r>
          </w:p>
        </w:tc>
      </w:tr>
      <w:tr w:rsidR="00637FD5">
        <w:trPr>
          <w:jc w:val="center"/>
        </w:trPr>
        <w:tc>
          <w:tcPr>
            <w:tcW w:w="855" w:type="dxa"/>
            <w:vAlign w:val="center"/>
          </w:tcPr>
          <w:p w:rsidR="00637FD5" w:rsidRDefault="0021475C">
            <w:pPr>
              <w:jc w:val="center"/>
            </w:pPr>
            <w:r>
              <w:rPr>
                <w:color w:val="000000"/>
                <w:sz w:val="24"/>
                <w:szCs w:val="24"/>
              </w:rPr>
              <w:t>4</w:t>
            </w:r>
          </w:p>
        </w:tc>
        <w:tc>
          <w:tcPr>
            <w:tcW w:w="1334" w:type="dxa"/>
            <w:vAlign w:val="center"/>
          </w:tcPr>
          <w:p w:rsidR="00637FD5" w:rsidRDefault="0021475C">
            <w:pPr>
              <w:jc w:val="center"/>
            </w:pPr>
            <w:r>
              <w:rPr>
                <w:color w:val="000000"/>
                <w:sz w:val="24"/>
                <w:szCs w:val="24"/>
              </w:rPr>
              <w:t>600048</w:t>
            </w:r>
          </w:p>
        </w:tc>
        <w:tc>
          <w:tcPr>
            <w:tcW w:w="1777" w:type="dxa"/>
            <w:vAlign w:val="center"/>
          </w:tcPr>
          <w:p w:rsidR="00637FD5" w:rsidRDefault="0021475C">
            <w:pPr>
              <w:jc w:val="center"/>
            </w:pPr>
            <w:r>
              <w:rPr>
                <w:color w:val="000000"/>
                <w:sz w:val="24"/>
                <w:szCs w:val="24"/>
              </w:rPr>
              <w:t>保利地产</w:t>
            </w:r>
          </w:p>
        </w:tc>
        <w:tc>
          <w:tcPr>
            <w:tcW w:w="1334" w:type="dxa"/>
            <w:vAlign w:val="center"/>
          </w:tcPr>
          <w:p w:rsidR="00637FD5" w:rsidRDefault="0021475C">
            <w:pPr>
              <w:jc w:val="right"/>
            </w:pPr>
            <w:r>
              <w:rPr>
                <w:color w:val="000000"/>
                <w:sz w:val="24"/>
                <w:szCs w:val="24"/>
              </w:rPr>
              <w:t>3,000,125</w:t>
            </w:r>
          </w:p>
        </w:tc>
        <w:tc>
          <w:tcPr>
            <w:tcW w:w="1924" w:type="dxa"/>
            <w:vAlign w:val="center"/>
          </w:tcPr>
          <w:p w:rsidR="00637FD5" w:rsidRDefault="0021475C">
            <w:pPr>
              <w:jc w:val="right"/>
            </w:pPr>
            <w:r>
              <w:rPr>
                <w:color w:val="000000"/>
                <w:sz w:val="24"/>
                <w:szCs w:val="24"/>
              </w:rPr>
              <w:t>32,461,352.50</w:t>
            </w:r>
          </w:p>
        </w:tc>
        <w:tc>
          <w:tcPr>
            <w:tcW w:w="1644" w:type="dxa"/>
            <w:vAlign w:val="center"/>
          </w:tcPr>
          <w:p w:rsidR="00637FD5" w:rsidRDefault="0021475C">
            <w:pPr>
              <w:jc w:val="right"/>
            </w:pPr>
            <w:r>
              <w:rPr>
                <w:color w:val="000000"/>
                <w:sz w:val="24"/>
                <w:szCs w:val="24"/>
              </w:rPr>
              <w:t>4.36</w:t>
            </w:r>
          </w:p>
        </w:tc>
      </w:tr>
      <w:tr w:rsidR="00637FD5">
        <w:trPr>
          <w:jc w:val="center"/>
        </w:trPr>
        <w:tc>
          <w:tcPr>
            <w:tcW w:w="855" w:type="dxa"/>
            <w:vAlign w:val="center"/>
          </w:tcPr>
          <w:p w:rsidR="00637FD5" w:rsidRDefault="0021475C">
            <w:pPr>
              <w:jc w:val="center"/>
            </w:pPr>
            <w:r>
              <w:rPr>
                <w:color w:val="000000"/>
                <w:sz w:val="24"/>
                <w:szCs w:val="24"/>
              </w:rPr>
              <w:t>5</w:t>
            </w:r>
          </w:p>
        </w:tc>
        <w:tc>
          <w:tcPr>
            <w:tcW w:w="1334" w:type="dxa"/>
            <w:vAlign w:val="center"/>
          </w:tcPr>
          <w:p w:rsidR="00637FD5" w:rsidRDefault="0021475C">
            <w:pPr>
              <w:jc w:val="center"/>
            </w:pPr>
            <w:r>
              <w:rPr>
                <w:color w:val="000000"/>
                <w:sz w:val="24"/>
                <w:szCs w:val="24"/>
              </w:rPr>
              <w:t>300347</w:t>
            </w:r>
          </w:p>
        </w:tc>
        <w:tc>
          <w:tcPr>
            <w:tcW w:w="1777" w:type="dxa"/>
            <w:vAlign w:val="center"/>
          </w:tcPr>
          <w:p w:rsidR="00637FD5" w:rsidRDefault="0021475C">
            <w:pPr>
              <w:jc w:val="center"/>
            </w:pPr>
            <w:r>
              <w:rPr>
                <w:color w:val="000000"/>
                <w:sz w:val="24"/>
                <w:szCs w:val="24"/>
              </w:rPr>
              <w:t>泰格医药</w:t>
            </w:r>
          </w:p>
        </w:tc>
        <w:tc>
          <w:tcPr>
            <w:tcW w:w="1334" w:type="dxa"/>
            <w:vAlign w:val="center"/>
          </w:tcPr>
          <w:p w:rsidR="00637FD5" w:rsidRDefault="0021475C">
            <w:pPr>
              <w:jc w:val="right"/>
            </w:pPr>
            <w:r>
              <w:rPr>
                <w:color w:val="000000"/>
                <w:sz w:val="24"/>
                <w:szCs w:val="24"/>
              </w:rPr>
              <w:t>1,023,170</w:t>
            </w:r>
          </w:p>
        </w:tc>
        <w:tc>
          <w:tcPr>
            <w:tcW w:w="1924" w:type="dxa"/>
            <w:vAlign w:val="center"/>
          </w:tcPr>
          <w:p w:rsidR="00637FD5" w:rsidRDefault="0021475C">
            <w:pPr>
              <w:jc w:val="right"/>
            </w:pPr>
            <w:r>
              <w:rPr>
                <w:color w:val="000000"/>
                <w:sz w:val="24"/>
                <w:szCs w:val="24"/>
              </w:rPr>
              <w:t>30,081,198.00</w:t>
            </w:r>
          </w:p>
        </w:tc>
        <w:tc>
          <w:tcPr>
            <w:tcW w:w="1644" w:type="dxa"/>
            <w:vAlign w:val="center"/>
          </w:tcPr>
          <w:p w:rsidR="00637FD5" w:rsidRDefault="0021475C">
            <w:pPr>
              <w:jc w:val="right"/>
            </w:pPr>
            <w:r>
              <w:rPr>
                <w:color w:val="000000"/>
                <w:sz w:val="24"/>
                <w:szCs w:val="24"/>
              </w:rPr>
              <w:t>4.04</w:t>
            </w:r>
          </w:p>
        </w:tc>
      </w:tr>
      <w:tr w:rsidR="00637FD5">
        <w:trPr>
          <w:jc w:val="center"/>
        </w:trPr>
        <w:tc>
          <w:tcPr>
            <w:tcW w:w="855" w:type="dxa"/>
            <w:vAlign w:val="center"/>
          </w:tcPr>
          <w:p w:rsidR="00637FD5" w:rsidRDefault="0021475C">
            <w:pPr>
              <w:jc w:val="center"/>
            </w:pPr>
            <w:r>
              <w:rPr>
                <w:color w:val="000000"/>
                <w:sz w:val="24"/>
                <w:szCs w:val="24"/>
              </w:rPr>
              <w:t>6</w:t>
            </w:r>
          </w:p>
        </w:tc>
        <w:tc>
          <w:tcPr>
            <w:tcW w:w="1334" w:type="dxa"/>
            <w:vAlign w:val="center"/>
          </w:tcPr>
          <w:p w:rsidR="00637FD5" w:rsidRDefault="0021475C">
            <w:pPr>
              <w:jc w:val="center"/>
            </w:pPr>
            <w:r>
              <w:rPr>
                <w:color w:val="000000"/>
                <w:sz w:val="24"/>
                <w:szCs w:val="24"/>
              </w:rPr>
              <w:t>002081</w:t>
            </w:r>
          </w:p>
        </w:tc>
        <w:tc>
          <w:tcPr>
            <w:tcW w:w="1777" w:type="dxa"/>
            <w:vAlign w:val="center"/>
          </w:tcPr>
          <w:p w:rsidR="00637FD5" w:rsidRDefault="0021475C">
            <w:pPr>
              <w:jc w:val="center"/>
            </w:pPr>
            <w:r>
              <w:rPr>
                <w:color w:val="000000"/>
                <w:sz w:val="24"/>
                <w:szCs w:val="24"/>
              </w:rPr>
              <w:t>金</w:t>
            </w:r>
            <w:r>
              <w:rPr>
                <w:color w:val="000000"/>
                <w:sz w:val="24"/>
                <w:szCs w:val="24"/>
              </w:rPr>
              <w:t xml:space="preserve"> </w:t>
            </w:r>
            <w:r>
              <w:rPr>
                <w:color w:val="000000"/>
                <w:sz w:val="24"/>
                <w:szCs w:val="24"/>
              </w:rPr>
              <w:t>螳</w:t>
            </w:r>
            <w:r>
              <w:rPr>
                <w:color w:val="000000"/>
                <w:sz w:val="24"/>
                <w:szCs w:val="24"/>
              </w:rPr>
              <w:t xml:space="preserve"> </w:t>
            </w:r>
            <w:r>
              <w:rPr>
                <w:color w:val="000000"/>
                <w:sz w:val="24"/>
                <w:szCs w:val="24"/>
              </w:rPr>
              <w:t>螂</w:t>
            </w:r>
          </w:p>
        </w:tc>
        <w:tc>
          <w:tcPr>
            <w:tcW w:w="1334" w:type="dxa"/>
            <w:vAlign w:val="center"/>
          </w:tcPr>
          <w:p w:rsidR="00637FD5" w:rsidRDefault="0021475C">
            <w:pPr>
              <w:jc w:val="right"/>
            </w:pPr>
            <w:r>
              <w:rPr>
                <w:color w:val="000000"/>
                <w:sz w:val="24"/>
                <w:szCs w:val="24"/>
              </w:rPr>
              <w:t>1,499,694</w:t>
            </w:r>
          </w:p>
        </w:tc>
        <w:tc>
          <w:tcPr>
            <w:tcW w:w="1924" w:type="dxa"/>
            <w:vAlign w:val="center"/>
          </w:tcPr>
          <w:p w:rsidR="00637FD5" w:rsidRDefault="0021475C">
            <w:pPr>
              <w:jc w:val="right"/>
            </w:pPr>
            <w:r>
              <w:rPr>
                <w:color w:val="000000"/>
                <w:sz w:val="24"/>
                <w:szCs w:val="24"/>
              </w:rPr>
              <w:t>25,194,859.20</w:t>
            </w:r>
          </w:p>
        </w:tc>
        <w:tc>
          <w:tcPr>
            <w:tcW w:w="1644" w:type="dxa"/>
            <w:vAlign w:val="center"/>
          </w:tcPr>
          <w:p w:rsidR="00637FD5" w:rsidRDefault="0021475C">
            <w:pPr>
              <w:jc w:val="right"/>
            </w:pPr>
            <w:r>
              <w:rPr>
                <w:color w:val="000000"/>
                <w:sz w:val="24"/>
                <w:szCs w:val="24"/>
              </w:rPr>
              <w:t>3.39</w:t>
            </w:r>
          </w:p>
        </w:tc>
      </w:tr>
      <w:tr w:rsidR="00637FD5">
        <w:trPr>
          <w:jc w:val="center"/>
        </w:trPr>
        <w:tc>
          <w:tcPr>
            <w:tcW w:w="855" w:type="dxa"/>
            <w:vAlign w:val="center"/>
          </w:tcPr>
          <w:p w:rsidR="00637FD5" w:rsidRDefault="0021475C">
            <w:pPr>
              <w:jc w:val="center"/>
            </w:pPr>
            <w:r>
              <w:rPr>
                <w:color w:val="000000"/>
                <w:sz w:val="24"/>
                <w:szCs w:val="24"/>
              </w:rPr>
              <w:t>7</w:t>
            </w:r>
          </w:p>
        </w:tc>
        <w:tc>
          <w:tcPr>
            <w:tcW w:w="1334" w:type="dxa"/>
            <w:vAlign w:val="center"/>
          </w:tcPr>
          <w:p w:rsidR="00637FD5" w:rsidRDefault="0021475C">
            <w:pPr>
              <w:jc w:val="center"/>
            </w:pPr>
            <w:r>
              <w:rPr>
                <w:color w:val="000000"/>
                <w:sz w:val="24"/>
                <w:szCs w:val="24"/>
              </w:rPr>
              <w:t>600887</w:t>
            </w:r>
          </w:p>
        </w:tc>
        <w:tc>
          <w:tcPr>
            <w:tcW w:w="1777" w:type="dxa"/>
            <w:vAlign w:val="center"/>
          </w:tcPr>
          <w:p w:rsidR="00637FD5" w:rsidRDefault="0021475C">
            <w:pPr>
              <w:jc w:val="center"/>
            </w:pPr>
            <w:r>
              <w:rPr>
                <w:color w:val="000000"/>
                <w:sz w:val="24"/>
                <w:szCs w:val="24"/>
              </w:rPr>
              <w:t>伊利股份</w:t>
            </w:r>
          </w:p>
        </w:tc>
        <w:tc>
          <w:tcPr>
            <w:tcW w:w="1334" w:type="dxa"/>
            <w:vAlign w:val="center"/>
          </w:tcPr>
          <w:p w:rsidR="00637FD5" w:rsidRDefault="0021475C">
            <w:pPr>
              <w:jc w:val="right"/>
            </w:pPr>
            <w:r>
              <w:rPr>
                <w:color w:val="000000"/>
                <w:sz w:val="24"/>
                <w:szCs w:val="24"/>
              </w:rPr>
              <w:t>799,990</w:t>
            </w:r>
          </w:p>
        </w:tc>
        <w:tc>
          <w:tcPr>
            <w:tcW w:w="1924" w:type="dxa"/>
            <w:vAlign w:val="center"/>
          </w:tcPr>
          <w:p w:rsidR="00637FD5" w:rsidRDefault="0021475C">
            <w:pPr>
              <w:jc w:val="right"/>
            </w:pPr>
            <w:r>
              <w:rPr>
                <w:color w:val="000000"/>
                <w:sz w:val="24"/>
                <w:szCs w:val="24"/>
              </w:rPr>
              <w:t>22,903,713.70</w:t>
            </w:r>
          </w:p>
        </w:tc>
        <w:tc>
          <w:tcPr>
            <w:tcW w:w="1644" w:type="dxa"/>
            <w:vAlign w:val="center"/>
          </w:tcPr>
          <w:p w:rsidR="00637FD5" w:rsidRDefault="0021475C">
            <w:pPr>
              <w:jc w:val="right"/>
            </w:pPr>
            <w:r>
              <w:rPr>
                <w:color w:val="000000"/>
                <w:sz w:val="24"/>
                <w:szCs w:val="24"/>
              </w:rPr>
              <w:t>3.08</w:t>
            </w:r>
          </w:p>
        </w:tc>
      </w:tr>
      <w:tr w:rsidR="00637FD5">
        <w:trPr>
          <w:jc w:val="center"/>
        </w:trPr>
        <w:tc>
          <w:tcPr>
            <w:tcW w:w="855" w:type="dxa"/>
            <w:vAlign w:val="center"/>
          </w:tcPr>
          <w:p w:rsidR="00637FD5" w:rsidRDefault="0021475C">
            <w:pPr>
              <w:jc w:val="center"/>
            </w:pPr>
            <w:r>
              <w:rPr>
                <w:color w:val="000000"/>
                <w:sz w:val="24"/>
                <w:szCs w:val="24"/>
              </w:rPr>
              <w:t>8</w:t>
            </w:r>
          </w:p>
        </w:tc>
        <w:tc>
          <w:tcPr>
            <w:tcW w:w="1334" w:type="dxa"/>
            <w:vAlign w:val="center"/>
          </w:tcPr>
          <w:p w:rsidR="00637FD5" w:rsidRDefault="0021475C">
            <w:pPr>
              <w:jc w:val="center"/>
            </w:pPr>
            <w:r>
              <w:rPr>
                <w:color w:val="000000"/>
                <w:sz w:val="24"/>
                <w:szCs w:val="24"/>
              </w:rPr>
              <w:t>600016</w:t>
            </w:r>
          </w:p>
        </w:tc>
        <w:tc>
          <w:tcPr>
            <w:tcW w:w="1777" w:type="dxa"/>
            <w:vAlign w:val="center"/>
          </w:tcPr>
          <w:p w:rsidR="00637FD5" w:rsidRDefault="0021475C">
            <w:pPr>
              <w:jc w:val="center"/>
            </w:pPr>
            <w:r>
              <w:rPr>
                <w:color w:val="000000"/>
                <w:sz w:val="24"/>
                <w:szCs w:val="24"/>
              </w:rPr>
              <w:t>民生银行</w:t>
            </w:r>
          </w:p>
        </w:tc>
        <w:tc>
          <w:tcPr>
            <w:tcW w:w="1334" w:type="dxa"/>
            <w:vAlign w:val="center"/>
          </w:tcPr>
          <w:p w:rsidR="00637FD5" w:rsidRDefault="0021475C">
            <w:pPr>
              <w:jc w:val="right"/>
            </w:pPr>
            <w:r>
              <w:rPr>
                <w:color w:val="000000"/>
                <w:sz w:val="24"/>
                <w:szCs w:val="24"/>
              </w:rPr>
              <w:t>2,000,100</w:t>
            </w:r>
          </w:p>
        </w:tc>
        <w:tc>
          <w:tcPr>
            <w:tcW w:w="1924" w:type="dxa"/>
            <w:vAlign w:val="center"/>
          </w:tcPr>
          <w:p w:rsidR="00637FD5" w:rsidRDefault="0021475C">
            <w:pPr>
              <w:jc w:val="right"/>
            </w:pPr>
            <w:r>
              <w:rPr>
                <w:color w:val="000000"/>
                <w:sz w:val="24"/>
                <w:szCs w:val="24"/>
              </w:rPr>
              <w:t>21,761,088.00</w:t>
            </w:r>
          </w:p>
        </w:tc>
        <w:tc>
          <w:tcPr>
            <w:tcW w:w="1644" w:type="dxa"/>
            <w:vAlign w:val="center"/>
          </w:tcPr>
          <w:p w:rsidR="00637FD5" w:rsidRDefault="0021475C">
            <w:pPr>
              <w:jc w:val="right"/>
            </w:pPr>
            <w:r>
              <w:rPr>
                <w:color w:val="000000"/>
                <w:sz w:val="24"/>
                <w:szCs w:val="24"/>
              </w:rPr>
              <w:t>2.92</w:t>
            </w:r>
          </w:p>
        </w:tc>
      </w:tr>
      <w:tr w:rsidR="00637FD5">
        <w:trPr>
          <w:jc w:val="center"/>
        </w:trPr>
        <w:tc>
          <w:tcPr>
            <w:tcW w:w="855" w:type="dxa"/>
            <w:vAlign w:val="center"/>
          </w:tcPr>
          <w:p w:rsidR="00637FD5" w:rsidRDefault="0021475C">
            <w:pPr>
              <w:jc w:val="center"/>
            </w:pPr>
            <w:r>
              <w:rPr>
                <w:color w:val="000000"/>
                <w:sz w:val="24"/>
                <w:szCs w:val="24"/>
              </w:rPr>
              <w:t>9</w:t>
            </w:r>
          </w:p>
        </w:tc>
        <w:tc>
          <w:tcPr>
            <w:tcW w:w="1334" w:type="dxa"/>
            <w:vAlign w:val="center"/>
          </w:tcPr>
          <w:p w:rsidR="00637FD5" w:rsidRDefault="0021475C">
            <w:pPr>
              <w:jc w:val="center"/>
            </w:pPr>
            <w:r>
              <w:rPr>
                <w:color w:val="000000"/>
                <w:sz w:val="24"/>
                <w:szCs w:val="24"/>
              </w:rPr>
              <w:t>600050</w:t>
            </w:r>
          </w:p>
        </w:tc>
        <w:tc>
          <w:tcPr>
            <w:tcW w:w="1777" w:type="dxa"/>
            <w:vAlign w:val="center"/>
          </w:tcPr>
          <w:p w:rsidR="00637FD5" w:rsidRDefault="0021475C">
            <w:pPr>
              <w:jc w:val="center"/>
            </w:pPr>
            <w:r>
              <w:rPr>
                <w:color w:val="000000"/>
                <w:sz w:val="24"/>
                <w:szCs w:val="24"/>
              </w:rPr>
              <w:t>中国联通</w:t>
            </w:r>
          </w:p>
        </w:tc>
        <w:tc>
          <w:tcPr>
            <w:tcW w:w="1334" w:type="dxa"/>
            <w:vAlign w:val="center"/>
          </w:tcPr>
          <w:p w:rsidR="00637FD5" w:rsidRDefault="0021475C">
            <w:pPr>
              <w:jc w:val="right"/>
            </w:pPr>
            <w:r>
              <w:rPr>
                <w:color w:val="000000"/>
                <w:sz w:val="24"/>
                <w:szCs w:val="24"/>
              </w:rPr>
              <w:t>4,000,000</w:t>
            </w:r>
          </w:p>
        </w:tc>
        <w:tc>
          <w:tcPr>
            <w:tcW w:w="1924" w:type="dxa"/>
            <w:vAlign w:val="center"/>
          </w:tcPr>
          <w:p w:rsidR="00637FD5" w:rsidRDefault="0021475C">
            <w:pPr>
              <w:jc w:val="right"/>
            </w:pPr>
            <w:r>
              <w:rPr>
                <w:color w:val="000000"/>
                <w:sz w:val="24"/>
                <w:szCs w:val="24"/>
              </w:rPr>
              <w:t>19,800,000.00</w:t>
            </w:r>
          </w:p>
        </w:tc>
        <w:tc>
          <w:tcPr>
            <w:tcW w:w="1644" w:type="dxa"/>
            <w:vAlign w:val="center"/>
          </w:tcPr>
          <w:p w:rsidR="00637FD5" w:rsidRDefault="0021475C">
            <w:pPr>
              <w:jc w:val="right"/>
            </w:pPr>
            <w:r>
              <w:rPr>
                <w:color w:val="000000"/>
                <w:sz w:val="24"/>
                <w:szCs w:val="24"/>
              </w:rPr>
              <w:t>2.66</w:t>
            </w:r>
          </w:p>
        </w:tc>
      </w:tr>
      <w:tr w:rsidR="00637FD5">
        <w:trPr>
          <w:jc w:val="center"/>
        </w:trPr>
        <w:tc>
          <w:tcPr>
            <w:tcW w:w="855" w:type="dxa"/>
            <w:vAlign w:val="center"/>
          </w:tcPr>
          <w:p w:rsidR="00637FD5" w:rsidRDefault="0021475C">
            <w:pPr>
              <w:jc w:val="center"/>
            </w:pPr>
            <w:r>
              <w:rPr>
                <w:color w:val="000000"/>
                <w:sz w:val="24"/>
                <w:szCs w:val="24"/>
              </w:rPr>
              <w:t>10</w:t>
            </w:r>
          </w:p>
        </w:tc>
        <w:tc>
          <w:tcPr>
            <w:tcW w:w="1334" w:type="dxa"/>
            <w:vAlign w:val="center"/>
          </w:tcPr>
          <w:p w:rsidR="00637FD5" w:rsidRDefault="0021475C">
            <w:pPr>
              <w:jc w:val="center"/>
            </w:pPr>
            <w:r>
              <w:rPr>
                <w:color w:val="000000"/>
                <w:sz w:val="24"/>
                <w:szCs w:val="24"/>
              </w:rPr>
              <w:t>002475</w:t>
            </w:r>
          </w:p>
        </w:tc>
        <w:tc>
          <w:tcPr>
            <w:tcW w:w="1777" w:type="dxa"/>
            <w:vAlign w:val="center"/>
          </w:tcPr>
          <w:p w:rsidR="00637FD5" w:rsidRDefault="0021475C">
            <w:pPr>
              <w:jc w:val="center"/>
            </w:pPr>
            <w:r>
              <w:rPr>
                <w:color w:val="000000"/>
                <w:sz w:val="24"/>
                <w:szCs w:val="24"/>
              </w:rPr>
              <w:t>立讯精密</w:t>
            </w:r>
          </w:p>
        </w:tc>
        <w:tc>
          <w:tcPr>
            <w:tcW w:w="1334" w:type="dxa"/>
            <w:vAlign w:val="center"/>
          </w:tcPr>
          <w:p w:rsidR="00637FD5" w:rsidRDefault="0021475C">
            <w:pPr>
              <w:jc w:val="right"/>
            </w:pPr>
            <w:r>
              <w:rPr>
                <w:color w:val="000000"/>
                <w:sz w:val="24"/>
                <w:szCs w:val="24"/>
              </w:rPr>
              <w:t>700,115</w:t>
            </w:r>
          </w:p>
        </w:tc>
        <w:tc>
          <w:tcPr>
            <w:tcW w:w="1924" w:type="dxa"/>
            <w:vAlign w:val="center"/>
          </w:tcPr>
          <w:p w:rsidR="00637FD5" w:rsidRDefault="0021475C">
            <w:pPr>
              <w:jc w:val="right"/>
            </w:pPr>
            <w:r>
              <w:rPr>
                <w:color w:val="000000"/>
                <w:sz w:val="24"/>
                <w:szCs w:val="24"/>
              </w:rPr>
              <w:t>19,379,183.20</w:t>
            </w:r>
          </w:p>
        </w:tc>
        <w:tc>
          <w:tcPr>
            <w:tcW w:w="1644" w:type="dxa"/>
            <w:vAlign w:val="center"/>
          </w:tcPr>
          <w:p w:rsidR="00637FD5" w:rsidRDefault="0021475C">
            <w:pPr>
              <w:jc w:val="right"/>
            </w:pPr>
            <w:r>
              <w:rPr>
                <w:color w:val="000000"/>
                <w:sz w:val="24"/>
                <w:szCs w:val="24"/>
              </w:rPr>
              <w:t>2.60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4,317,757.60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0.58</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4,317,757.60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0.58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637FD5">
        <w:trPr>
          <w:jc w:val="center"/>
        </w:trPr>
        <w:tc>
          <w:tcPr>
            <w:tcW w:w="850" w:type="dxa"/>
            <w:vAlign w:val="center"/>
          </w:tcPr>
          <w:p w:rsidR="00637FD5" w:rsidRDefault="0021475C">
            <w:pPr>
              <w:jc w:val="center"/>
            </w:pPr>
            <w:r>
              <w:rPr>
                <w:color w:val="000000"/>
                <w:sz w:val="24"/>
                <w:szCs w:val="24"/>
              </w:rPr>
              <w:t>1</w:t>
            </w:r>
          </w:p>
        </w:tc>
        <w:tc>
          <w:tcPr>
            <w:tcW w:w="1475" w:type="dxa"/>
            <w:vAlign w:val="center"/>
          </w:tcPr>
          <w:p w:rsidR="00637FD5" w:rsidRDefault="0021475C">
            <w:pPr>
              <w:jc w:val="center"/>
            </w:pPr>
            <w:r>
              <w:rPr>
                <w:color w:val="000000"/>
                <w:sz w:val="24"/>
                <w:szCs w:val="24"/>
              </w:rPr>
              <w:t>110028</w:t>
            </w:r>
          </w:p>
        </w:tc>
        <w:tc>
          <w:tcPr>
            <w:tcW w:w="1769" w:type="dxa"/>
            <w:vAlign w:val="center"/>
          </w:tcPr>
          <w:p w:rsidR="00637FD5" w:rsidRDefault="0021475C">
            <w:pPr>
              <w:jc w:val="center"/>
            </w:pPr>
            <w:r>
              <w:rPr>
                <w:color w:val="000000"/>
                <w:sz w:val="24"/>
                <w:szCs w:val="24"/>
              </w:rPr>
              <w:t>冠城转债</w:t>
            </w:r>
          </w:p>
        </w:tc>
        <w:tc>
          <w:tcPr>
            <w:tcW w:w="1387" w:type="dxa"/>
            <w:vAlign w:val="center"/>
          </w:tcPr>
          <w:p w:rsidR="00637FD5" w:rsidRDefault="0021475C">
            <w:pPr>
              <w:jc w:val="right"/>
            </w:pPr>
            <w:r>
              <w:rPr>
                <w:color w:val="000000"/>
                <w:sz w:val="24"/>
                <w:szCs w:val="24"/>
              </w:rPr>
              <w:t>19,640</w:t>
            </w:r>
          </w:p>
        </w:tc>
        <w:tc>
          <w:tcPr>
            <w:tcW w:w="2150" w:type="dxa"/>
            <w:vAlign w:val="center"/>
          </w:tcPr>
          <w:p w:rsidR="00637FD5" w:rsidRDefault="0021475C">
            <w:pPr>
              <w:jc w:val="right"/>
            </w:pPr>
            <w:r>
              <w:rPr>
                <w:color w:val="000000"/>
                <w:sz w:val="24"/>
                <w:szCs w:val="24"/>
              </w:rPr>
              <w:t>2,893,757.60</w:t>
            </w:r>
          </w:p>
        </w:tc>
        <w:tc>
          <w:tcPr>
            <w:tcW w:w="1237" w:type="dxa"/>
            <w:vAlign w:val="center"/>
          </w:tcPr>
          <w:p w:rsidR="00637FD5" w:rsidRDefault="0021475C">
            <w:pPr>
              <w:jc w:val="right"/>
            </w:pPr>
            <w:r>
              <w:rPr>
                <w:color w:val="000000"/>
                <w:sz w:val="24"/>
                <w:szCs w:val="24"/>
              </w:rPr>
              <w:t>0.39</w:t>
            </w:r>
          </w:p>
        </w:tc>
      </w:tr>
      <w:tr w:rsidR="00637FD5">
        <w:trPr>
          <w:jc w:val="center"/>
        </w:trPr>
        <w:tc>
          <w:tcPr>
            <w:tcW w:w="850" w:type="dxa"/>
            <w:vAlign w:val="center"/>
          </w:tcPr>
          <w:p w:rsidR="00637FD5" w:rsidRDefault="0021475C">
            <w:pPr>
              <w:jc w:val="center"/>
            </w:pPr>
            <w:r>
              <w:rPr>
                <w:color w:val="000000"/>
                <w:sz w:val="24"/>
                <w:szCs w:val="24"/>
              </w:rPr>
              <w:t>2</w:t>
            </w:r>
          </w:p>
        </w:tc>
        <w:tc>
          <w:tcPr>
            <w:tcW w:w="1475" w:type="dxa"/>
            <w:vAlign w:val="center"/>
          </w:tcPr>
          <w:p w:rsidR="00637FD5" w:rsidRDefault="0021475C">
            <w:pPr>
              <w:jc w:val="center"/>
            </w:pPr>
            <w:r>
              <w:rPr>
                <w:color w:val="000000"/>
                <w:sz w:val="24"/>
                <w:szCs w:val="24"/>
              </w:rPr>
              <w:t>110030</w:t>
            </w:r>
          </w:p>
        </w:tc>
        <w:tc>
          <w:tcPr>
            <w:tcW w:w="1769" w:type="dxa"/>
            <w:vAlign w:val="center"/>
          </w:tcPr>
          <w:p w:rsidR="00637FD5" w:rsidRDefault="0021475C">
            <w:pPr>
              <w:jc w:val="center"/>
            </w:pPr>
            <w:r>
              <w:rPr>
                <w:color w:val="000000"/>
                <w:sz w:val="24"/>
                <w:szCs w:val="24"/>
              </w:rPr>
              <w:t>格力转债</w:t>
            </w:r>
          </w:p>
        </w:tc>
        <w:tc>
          <w:tcPr>
            <w:tcW w:w="1387" w:type="dxa"/>
            <w:vAlign w:val="center"/>
          </w:tcPr>
          <w:p w:rsidR="00637FD5" w:rsidRDefault="0021475C">
            <w:pPr>
              <w:jc w:val="right"/>
            </w:pPr>
            <w:r>
              <w:rPr>
                <w:color w:val="000000"/>
                <w:sz w:val="24"/>
                <w:szCs w:val="24"/>
              </w:rPr>
              <w:t>14,240</w:t>
            </w:r>
          </w:p>
        </w:tc>
        <w:tc>
          <w:tcPr>
            <w:tcW w:w="2150" w:type="dxa"/>
            <w:vAlign w:val="center"/>
          </w:tcPr>
          <w:p w:rsidR="00637FD5" w:rsidRDefault="0021475C">
            <w:pPr>
              <w:jc w:val="right"/>
            </w:pPr>
            <w:r>
              <w:rPr>
                <w:color w:val="000000"/>
                <w:sz w:val="24"/>
                <w:szCs w:val="24"/>
              </w:rPr>
              <w:t>1,424,000.00</w:t>
            </w:r>
          </w:p>
        </w:tc>
        <w:tc>
          <w:tcPr>
            <w:tcW w:w="1237" w:type="dxa"/>
            <w:vAlign w:val="center"/>
          </w:tcPr>
          <w:p w:rsidR="00637FD5" w:rsidRDefault="0021475C">
            <w:pPr>
              <w:jc w:val="right"/>
            </w:pPr>
            <w:r>
              <w:rPr>
                <w:color w:val="000000"/>
                <w:sz w:val="24"/>
                <w:szCs w:val="24"/>
              </w:rPr>
              <w:t>0.19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458,115.18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1,000,080.00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34,028.73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11,389.94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1,503,613.85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637FD5">
        <w:trPr>
          <w:jc w:val="center"/>
        </w:trPr>
        <w:tc>
          <w:tcPr>
            <w:tcW w:w="1129" w:type="dxa"/>
            <w:vAlign w:val="center"/>
          </w:tcPr>
          <w:p w:rsidR="00637FD5" w:rsidRDefault="0021475C">
            <w:pPr>
              <w:jc w:val="center"/>
            </w:pPr>
            <w:r>
              <w:rPr>
                <w:color w:val="000000"/>
                <w:sz w:val="24"/>
                <w:szCs w:val="24"/>
              </w:rPr>
              <w:t>1</w:t>
            </w:r>
          </w:p>
        </w:tc>
        <w:tc>
          <w:tcPr>
            <w:tcW w:w="1356" w:type="dxa"/>
            <w:vAlign w:val="center"/>
          </w:tcPr>
          <w:p w:rsidR="00637FD5" w:rsidRDefault="0021475C">
            <w:pPr>
              <w:jc w:val="center"/>
            </w:pPr>
            <w:r>
              <w:rPr>
                <w:color w:val="000000"/>
                <w:sz w:val="24"/>
                <w:szCs w:val="24"/>
              </w:rPr>
              <w:t>300347</w:t>
            </w:r>
          </w:p>
        </w:tc>
        <w:tc>
          <w:tcPr>
            <w:tcW w:w="1355" w:type="dxa"/>
            <w:vAlign w:val="center"/>
          </w:tcPr>
          <w:p w:rsidR="00637FD5" w:rsidRDefault="0021475C">
            <w:pPr>
              <w:jc w:val="center"/>
            </w:pPr>
            <w:r>
              <w:rPr>
                <w:color w:val="000000"/>
                <w:sz w:val="24"/>
                <w:szCs w:val="24"/>
              </w:rPr>
              <w:t>泰格医药</w:t>
            </w:r>
          </w:p>
        </w:tc>
        <w:tc>
          <w:tcPr>
            <w:tcW w:w="1880" w:type="dxa"/>
            <w:vAlign w:val="center"/>
          </w:tcPr>
          <w:p w:rsidR="00637FD5" w:rsidRDefault="0021475C">
            <w:pPr>
              <w:jc w:val="right"/>
            </w:pPr>
            <w:r>
              <w:rPr>
                <w:color w:val="000000"/>
                <w:sz w:val="24"/>
                <w:szCs w:val="24"/>
              </w:rPr>
              <w:t>30,081,198.00</w:t>
            </w:r>
          </w:p>
        </w:tc>
        <w:tc>
          <w:tcPr>
            <w:tcW w:w="1724" w:type="dxa"/>
            <w:vAlign w:val="center"/>
          </w:tcPr>
          <w:p w:rsidR="00637FD5" w:rsidRDefault="0021475C">
            <w:pPr>
              <w:jc w:val="right"/>
            </w:pPr>
            <w:r>
              <w:rPr>
                <w:color w:val="000000"/>
                <w:sz w:val="24"/>
                <w:szCs w:val="24"/>
              </w:rPr>
              <w:t>4.04</w:t>
            </w:r>
          </w:p>
        </w:tc>
        <w:tc>
          <w:tcPr>
            <w:tcW w:w="1424" w:type="dxa"/>
            <w:vAlign w:val="center"/>
          </w:tcPr>
          <w:p w:rsidR="00637FD5" w:rsidRDefault="0021475C">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920,268,376.14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6,007,717.27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158,028,578.48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768,247,514.93</w:t>
            </w:r>
          </w:p>
        </w:tc>
      </w:tr>
    </w:tbl>
    <w:p w:rsidR="00637FD5" w:rsidRDefault="0021475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D55F32">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20,001,800.00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20,001,800.00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2.60</w:t>
            </w:r>
          </w:p>
        </w:tc>
      </w:tr>
    </w:tbl>
    <w:p w:rsidR="00637FD5" w:rsidRDefault="0021475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2A24DA">
      <w:pPr>
        <w:autoSpaceDE w:val="0"/>
        <w:autoSpaceDN w:val="0"/>
        <w:adjustRightInd w:val="0"/>
        <w:spacing w:before="29" w:line="288" w:lineRule="auto"/>
        <w:ind w:firstLineChars="200" w:firstLine="480"/>
        <w:jc w:val="left"/>
        <w:rPr>
          <w:rFonts w:eastAsiaTheme="minorEastAsia"/>
          <w:color w:val="000000"/>
          <w:sz w:val="24"/>
        </w:rPr>
      </w:pPr>
      <w:r w:rsidRPr="00ED2620">
        <w:rPr>
          <w:rFonts w:eastAsiaTheme="minorEastAsia"/>
          <w:color w:val="000000"/>
          <w:sz w:val="24"/>
        </w:rPr>
        <w:t>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D55F32">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依据中国证监会《关于进一步规范证券投资基金估值业务的指导意见》（证监会公告</w:t>
      </w:r>
      <w:r w:rsidRPr="00414345">
        <w:rPr>
          <w:color w:val="000000"/>
          <w:sz w:val="24"/>
          <w:szCs w:val="24"/>
        </w:rPr>
        <w:t>[2008]38</w:t>
      </w:r>
      <w:r w:rsidRPr="00414345">
        <w:rPr>
          <w:color w:val="000000"/>
          <w:sz w:val="24"/>
          <w:szCs w:val="24"/>
        </w:rPr>
        <w:t>号）的有关规定和《关于发布中基协（</w:t>
      </w:r>
      <w:r w:rsidRPr="00414345">
        <w:rPr>
          <w:color w:val="000000"/>
          <w:sz w:val="24"/>
          <w:szCs w:val="24"/>
        </w:rPr>
        <w:t>AMAC</w:t>
      </w:r>
      <w:r w:rsidRPr="00414345">
        <w:rPr>
          <w:color w:val="000000"/>
          <w:sz w:val="24"/>
          <w:szCs w:val="24"/>
        </w:rPr>
        <w:t>）基金行业股票估值指数的通知》的指导意见，经与基金托管人协商一致，本基金对其所持有的泰格医药（证券代码：</w:t>
      </w:r>
      <w:r w:rsidRPr="00414345">
        <w:rPr>
          <w:color w:val="000000"/>
          <w:sz w:val="24"/>
          <w:szCs w:val="24"/>
        </w:rPr>
        <w:t>300347</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15</w:t>
      </w:r>
      <w:r w:rsidRPr="00414345">
        <w:rPr>
          <w:color w:val="000000"/>
          <w:sz w:val="24"/>
          <w:szCs w:val="24"/>
        </w:rPr>
        <w:t>日起按照指数收益法进行估值。</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D55F32">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637FD5" w:rsidRDefault="0021475C">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、中国证监会核准交银施罗德趋势优先股票证券投资基金募集的文件；</w:t>
      </w:r>
      <w:r>
        <w:rPr>
          <w:color w:val="000000"/>
          <w:sz w:val="24"/>
          <w:szCs w:val="24"/>
        </w:rPr>
        <w:t xml:space="preserve"> </w:t>
      </w:r>
    </w:p>
    <w:p w:rsidR="00637FD5" w:rsidRDefault="0021475C">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、《交银施罗德趋势优先股票证券投资基金基金合同》；</w:t>
      </w:r>
      <w:r>
        <w:rPr>
          <w:color w:val="000000"/>
          <w:sz w:val="24"/>
          <w:szCs w:val="24"/>
        </w:rPr>
        <w:t xml:space="preserve"> </w:t>
      </w:r>
    </w:p>
    <w:p w:rsidR="00637FD5" w:rsidRDefault="0021475C">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、《交银施罗德趋势优先股票证券投资基金招募说明书》；</w:t>
      </w:r>
    </w:p>
    <w:p w:rsidR="00637FD5" w:rsidRDefault="0021475C">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、《交银施罗德趋势优先股票证券投资基金托管协议》；</w:t>
      </w:r>
      <w:r>
        <w:rPr>
          <w:color w:val="000000"/>
          <w:sz w:val="24"/>
          <w:szCs w:val="24"/>
        </w:rPr>
        <w:t xml:space="preserve"> </w:t>
      </w:r>
    </w:p>
    <w:p w:rsidR="00637FD5" w:rsidRDefault="0021475C">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、关于申请募集交银施罗德趋势优先股票证券投资基金之法律意见书；</w:t>
      </w:r>
    </w:p>
    <w:p w:rsidR="00637FD5" w:rsidRDefault="0021475C">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637FD5" w:rsidRDefault="0021475C">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、报告期内交银施罗德趋势优先股票证券投资基金在指定报刊上各项公告的原稿。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637FD5" w:rsidRDefault="0021475C">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CDD" w:rsidRDefault="00183CDD" w:rsidP="00876D65">
      <w:r>
        <w:separator/>
      </w:r>
    </w:p>
  </w:endnote>
  <w:endnote w:type="continuationSeparator" w:id="0">
    <w:p w:rsidR="00183CDD" w:rsidRDefault="00183CDD"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F441F1">
      <w:rPr>
        <w:kern w:val="0"/>
        <w:szCs w:val="21"/>
      </w:rPr>
      <w:fldChar w:fldCharType="begin"/>
    </w:r>
    <w:r>
      <w:rPr>
        <w:kern w:val="0"/>
        <w:szCs w:val="21"/>
      </w:rPr>
      <w:instrText xml:space="preserve"> PAGE </w:instrText>
    </w:r>
    <w:r w:rsidR="00F441F1">
      <w:rPr>
        <w:kern w:val="0"/>
        <w:szCs w:val="21"/>
      </w:rPr>
      <w:fldChar w:fldCharType="separate"/>
    </w:r>
    <w:r w:rsidR="002A24DA">
      <w:rPr>
        <w:noProof/>
        <w:kern w:val="0"/>
        <w:szCs w:val="21"/>
      </w:rPr>
      <w:t>1</w:t>
    </w:r>
    <w:r w:rsidR="00F441F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F441F1">
      <w:rPr>
        <w:kern w:val="0"/>
        <w:szCs w:val="21"/>
      </w:rPr>
      <w:fldChar w:fldCharType="begin"/>
    </w:r>
    <w:r>
      <w:rPr>
        <w:kern w:val="0"/>
        <w:szCs w:val="21"/>
      </w:rPr>
      <w:instrText xml:space="preserve"> NUMPAGES </w:instrText>
    </w:r>
    <w:r w:rsidR="00F441F1">
      <w:rPr>
        <w:kern w:val="0"/>
        <w:szCs w:val="21"/>
      </w:rPr>
      <w:fldChar w:fldCharType="separate"/>
    </w:r>
    <w:r w:rsidR="002A24DA">
      <w:rPr>
        <w:noProof/>
        <w:kern w:val="0"/>
        <w:szCs w:val="21"/>
      </w:rPr>
      <w:t>12</w:t>
    </w:r>
    <w:r w:rsidR="00F441F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CDD" w:rsidRDefault="00183CDD" w:rsidP="00876D65">
      <w:r>
        <w:separator/>
      </w:r>
    </w:p>
  </w:footnote>
  <w:footnote w:type="continuationSeparator" w:id="0">
    <w:p w:rsidR="00183CDD" w:rsidRDefault="00183CDD"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3CDD"/>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475C"/>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A24DA"/>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2573"/>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37FD5"/>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2D93"/>
    <w:rsid w:val="00794090"/>
    <w:rsid w:val="00796CA8"/>
    <w:rsid w:val="007972F5"/>
    <w:rsid w:val="00797305"/>
    <w:rsid w:val="007A0693"/>
    <w:rsid w:val="007A093F"/>
    <w:rsid w:val="007B035B"/>
    <w:rsid w:val="007B4C04"/>
    <w:rsid w:val="007B5AFB"/>
    <w:rsid w:val="007C395A"/>
    <w:rsid w:val="007C5862"/>
    <w:rsid w:val="007D0922"/>
    <w:rsid w:val="007D100C"/>
    <w:rsid w:val="007D43F1"/>
    <w:rsid w:val="007E2686"/>
    <w:rsid w:val="007E57C0"/>
    <w:rsid w:val="007F29B1"/>
    <w:rsid w:val="007F7F0B"/>
    <w:rsid w:val="008014F9"/>
    <w:rsid w:val="0080358B"/>
    <w:rsid w:val="008059BD"/>
    <w:rsid w:val="0081286B"/>
    <w:rsid w:val="00812D46"/>
    <w:rsid w:val="008148E0"/>
    <w:rsid w:val="00815769"/>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5F32"/>
    <w:rsid w:val="00D57B7C"/>
    <w:rsid w:val="00D65B44"/>
    <w:rsid w:val="00D75E69"/>
    <w:rsid w:val="00D8099B"/>
    <w:rsid w:val="00D866A8"/>
    <w:rsid w:val="00D91E06"/>
    <w:rsid w:val="00D94B8D"/>
    <w:rsid w:val="00D96C8D"/>
    <w:rsid w:val="00D974EF"/>
    <w:rsid w:val="00DA0C61"/>
    <w:rsid w:val="00DA14B0"/>
    <w:rsid w:val="00DA2876"/>
    <w:rsid w:val="00DA66D0"/>
    <w:rsid w:val="00DB00BB"/>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389C"/>
    <w:rsid w:val="00F375F2"/>
    <w:rsid w:val="00F441F1"/>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D872670-3D01-45DD-95A5-D12C6CBF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FE891-580B-48EB-8A77-75E58BF75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TotalTime>
  <Pages>12</Pages>
  <Words>1091</Words>
  <Characters>6225</Characters>
  <Application>Microsoft Office Word</Application>
  <DocSecurity>0</DocSecurity>
  <Lines>51</Lines>
  <Paragraphs>14</Paragraphs>
  <ScaleCrop>false</ScaleCrop>
  <Company/>
  <LinksUpToDate>false</LinksUpToDate>
  <CharactersWithSpaces>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562</cp:revision>
  <dcterms:created xsi:type="dcterms:W3CDTF">2012-10-16T06:07:00Z</dcterms:created>
  <dcterms:modified xsi:type="dcterms:W3CDTF">2015-01-20T03:43:00Z</dcterms:modified>
</cp:coreProperties>
</file>