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563D0A">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6649C" w:rsidRDefault="00D265B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6649C" w:rsidRDefault="00D265B1">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6649C" w:rsidRDefault="00D265B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6649C" w:rsidRDefault="00D265B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6649C" w:rsidRDefault="00D265B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563D0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1,257,018,227.06</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中信标普全债指数收益率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563D0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265B1" w:rsidRPr="00414345" w:rsidTr="00D265B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265B1" w:rsidRPr="00414345" w:rsidTr="00D265B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214,843,841.61</w:t>
            </w:r>
          </w:p>
        </w:tc>
      </w:tr>
      <w:tr w:rsidR="00D265B1" w:rsidRPr="00414345" w:rsidTr="00D265B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352,563,126.89</w:t>
            </w:r>
          </w:p>
        </w:tc>
      </w:tr>
      <w:tr w:rsidR="00D265B1" w:rsidRPr="00414345" w:rsidTr="00D265B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0.4620</w:t>
            </w:r>
          </w:p>
        </w:tc>
      </w:tr>
      <w:tr w:rsidR="00D265B1" w:rsidRPr="00414345" w:rsidTr="00D265B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1,563,810,309.17</w:t>
            </w:r>
          </w:p>
        </w:tc>
      </w:tr>
      <w:tr w:rsidR="00D265B1" w:rsidRPr="00414345" w:rsidTr="00D265B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1.244</w:t>
            </w:r>
          </w:p>
        </w:tc>
      </w:tr>
    </w:tbl>
    <w:p w:rsidR="00D6649C" w:rsidRDefault="00D265B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6649C">
        <w:trPr>
          <w:jc w:val="center"/>
        </w:trPr>
        <w:tc>
          <w:tcPr>
            <w:tcW w:w="1701" w:type="dxa"/>
            <w:vAlign w:val="center"/>
          </w:tcPr>
          <w:p w:rsidR="00D6649C" w:rsidRDefault="00D265B1">
            <w:pPr>
              <w:jc w:val="left"/>
            </w:pPr>
            <w:r>
              <w:rPr>
                <w:color w:val="000000"/>
                <w:sz w:val="24"/>
                <w:szCs w:val="24"/>
              </w:rPr>
              <w:t>过去三个月</w:t>
            </w:r>
          </w:p>
        </w:tc>
        <w:tc>
          <w:tcPr>
            <w:tcW w:w="1045" w:type="dxa"/>
            <w:vAlign w:val="center"/>
          </w:tcPr>
          <w:p w:rsidR="00D6649C" w:rsidRDefault="00D265B1">
            <w:pPr>
              <w:jc w:val="center"/>
            </w:pPr>
            <w:r>
              <w:rPr>
                <w:color w:val="000000"/>
                <w:sz w:val="24"/>
                <w:szCs w:val="24"/>
              </w:rPr>
              <w:t>57.27%</w:t>
            </w:r>
          </w:p>
        </w:tc>
        <w:tc>
          <w:tcPr>
            <w:tcW w:w="1344" w:type="dxa"/>
            <w:vAlign w:val="center"/>
          </w:tcPr>
          <w:p w:rsidR="00D6649C" w:rsidRDefault="00D265B1">
            <w:pPr>
              <w:jc w:val="center"/>
            </w:pPr>
            <w:r>
              <w:rPr>
                <w:color w:val="000000"/>
                <w:sz w:val="24"/>
                <w:szCs w:val="24"/>
              </w:rPr>
              <w:t>1.95%</w:t>
            </w:r>
          </w:p>
        </w:tc>
        <w:tc>
          <w:tcPr>
            <w:tcW w:w="1194" w:type="dxa"/>
            <w:vAlign w:val="center"/>
          </w:tcPr>
          <w:p w:rsidR="00D6649C" w:rsidRDefault="00D265B1">
            <w:pPr>
              <w:jc w:val="center"/>
            </w:pPr>
            <w:r>
              <w:rPr>
                <w:color w:val="000000"/>
                <w:sz w:val="24"/>
                <w:szCs w:val="24"/>
              </w:rPr>
              <w:t>26.57%</w:t>
            </w:r>
          </w:p>
        </w:tc>
        <w:tc>
          <w:tcPr>
            <w:tcW w:w="1492" w:type="dxa"/>
            <w:vAlign w:val="center"/>
          </w:tcPr>
          <w:p w:rsidR="00D6649C" w:rsidRDefault="00D265B1">
            <w:pPr>
              <w:jc w:val="center"/>
            </w:pPr>
            <w:r>
              <w:rPr>
                <w:color w:val="000000"/>
                <w:sz w:val="24"/>
                <w:szCs w:val="24"/>
              </w:rPr>
              <w:t>1.03%</w:t>
            </w:r>
          </w:p>
        </w:tc>
        <w:tc>
          <w:tcPr>
            <w:tcW w:w="1194" w:type="dxa"/>
            <w:vAlign w:val="center"/>
          </w:tcPr>
          <w:p w:rsidR="00D6649C" w:rsidRDefault="00D265B1">
            <w:pPr>
              <w:jc w:val="center"/>
            </w:pPr>
            <w:r>
              <w:rPr>
                <w:color w:val="000000"/>
                <w:sz w:val="24"/>
                <w:szCs w:val="24"/>
              </w:rPr>
              <w:t>30.70%</w:t>
            </w:r>
          </w:p>
        </w:tc>
        <w:tc>
          <w:tcPr>
            <w:tcW w:w="898" w:type="dxa"/>
            <w:vAlign w:val="center"/>
          </w:tcPr>
          <w:p w:rsidR="00D6649C" w:rsidRDefault="00D265B1">
            <w:pPr>
              <w:jc w:val="center"/>
            </w:pPr>
            <w:r>
              <w:rPr>
                <w:color w:val="000000"/>
                <w:sz w:val="24"/>
                <w:szCs w:val="24"/>
              </w:rPr>
              <w:t>0.92%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563D0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6649C">
        <w:trPr>
          <w:jc w:val="center"/>
        </w:trPr>
        <w:tc>
          <w:tcPr>
            <w:tcW w:w="846" w:type="dxa"/>
            <w:vAlign w:val="center"/>
          </w:tcPr>
          <w:p w:rsidR="00D6649C" w:rsidRDefault="00D265B1">
            <w:pPr>
              <w:jc w:val="center"/>
            </w:pPr>
            <w:r>
              <w:rPr>
                <w:color w:val="000000"/>
                <w:sz w:val="24"/>
                <w:szCs w:val="24"/>
              </w:rPr>
              <w:t>李永兴</w:t>
            </w:r>
          </w:p>
        </w:tc>
        <w:tc>
          <w:tcPr>
            <w:tcW w:w="845" w:type="dxa"/>
            <w:vAlign w:val="center"/>
          </w:tcPr>
          <w:p w:rsidR="00D6649C" w:rsidRDefault="00D265B1">
            <w:pPr>
              <w:jc w:val="center"/>
            </w:pPr>
            <w:r>
              <w:rPr>
                <w:color w:val="000000"/>
                <w:sz w:val="24"/>
                <w:szCs w:val="24"/>
              </w:rPr>
              <w:t>本基金、交银施罗德周期回报灵活配置混合型证券投资基金的基金经理</w:t>
            </w:r>
          </w:p>
        </w:tc>
        <w:tc>
          <w:tcPr>
            <w:tcW w:w="1549" w:type="dxa"/>
            <w:vAlign w:val="center"/>
          </w:tcPr>
          <w:p w:rsidR="00D6649C" w:rsidRDefault="00D265B1">
            <w:pPr>
              <w:jc w:val="center"/>
            </w:pPr>
            <w:r>
              <w:rPr>
                <w:color w:val="000000"/>
                <w:sz w:val="24"/>
                <w:szCs w:val="24"/>
              </w:rPr>
              <w:t>2012-03-20</w:t>
            </w:r>
          </w:p>
        </w:tc>
        <w:tc>
          <w:tcPr>
            <w:tcW w:w="1548" w:type="dxa"/>
            <w:vAlign w:val="center"/>
          </w:tcPr>
          <w:p w:rsidR="00D6649C" w:rsidRDefault="00D265B1">
            <w:pPr>
              <w:jc w:val="center"/>
            </w:pPr>
            <w:r>
              <w:rPr>
                <w:color w:val="000000"/>
                <w:sz w:val="24"/>
                <w:szCs w:val="24"/>
              </w:rPr>
              <w:t>-</w:t>
            </w:r>
          </w:p>
        </w:tc>
        <w:tc>
          <w:tcPr>
            <w:tcW w:w="1407" w:type="dxa"/>
            <w:vAlign w:val="center"/>
          </w:tcPr>
          <w:p w:rsidR="00D6649C" w:rsidRDefault="00D265B1">
            <w:pPr>
              <w:jc w:val="center"/>
            </w:pPr>
            <w:r>
              <w:rPr>
                <w:color w:val="000000"/>
                <w:sz w:val="24"/>
                <w:szCs w:val="24"/>
              </w:rPr>
              <w:t>8</w:t>
            </w:r>
            <w:r>
              <w:rPr>
                <w:color w:val="000000"/>
                <w:sz w:val="24"/>
                <w:szCs w:val="24"/>
              </w:rPr>
              <w:t>年</w:t>
            </w:r>
          </w:p>
        </w:tc>
        <w:tc>
          <w:tcPr>
            <w:tcW w:w="2673" w:type="dxa"/>
            <w:vAlign w:val="center"/>
          </w:tcPr>
          <w:p w:rsidR="00D6649C" w:rsidRDefault="00D265B1">
            <w:r>
              <w:rPr>
                <w:color w:val="000000"/>
                <w:sz w:val="24"/>
                <w:szCs w:val="24"/>
              </w:rPr>
              <w:t>李永兴先生，经济学硕士。</w:t>
            </w:r>
            <w:r>
              <w:rPr>
                <w:color w:val="000000"/>
                <w:sz w:val="24"/>
                <w:szCs w:val="24"/>
              </w:rPr>
              <w:t>2006</w:t>
            </w:r>
            <w:r>
              <w:rPr>
                <w:color w:val="000000"/>
                <w:sz w:val="24"/>
                <w:szCs w:val="24"/>
              </w:rPr>
              <w:t>年加入交银施罗德基金管理有限公司，历任投资研究部研究员、基金经理助理。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6649C" w:rsidRDefault="00D265B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6649C" w:rsidRDefault="00D265B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6649C" w:rsidRDefault="00D265B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6649C" w:rsidRDefault="00D265B1">
      <w:pPr>
        <w:spacing w:before="29" w:line="288" w:lineRule="auto"/>
        <w:ind w:firstLineChars="200" w:firstLine="480"/>
        <w:rPr>
          <w:color w:val="000000"/>
          <w:sz w:val="24"/>
          <w:szCs w:val="24"/>
        </w:rPr>
      </w:pPr>
      <w:r>
        <w:rPr>
          <w:color w:val="000000"/>
          <w:sz w:val="24"/>
          <w:szCs w:val="24"/>
        </w:rPr>
        <w:t>2014</w:t>
      </w:r>
      <w:r>
        <w:rPr>
          <w:color w:val="000000"/>
          <w:sz w:val="24"/>
          <w:szCs w:val="24"/>
        </w:rPr>
        <w:t>年四季度股票市场呈现严重的两极分化。蓝筹股大幅上涨，而另一方面创业板四季度甚至出现下跌。其中受益增量资金入市的证券行业以及受益</w:t>
      </w:r>
      <w:r>
        <w:rPr>
          <w:color w:val="000000"/>
          <w:sz w:val="24"/>
          <w:szCs w:val="24"/>
        </w:rPr>
        <w:t>“</w:t>
      </w:r>
      <w:r>
        <w:rPr>
          <w:color w:val="000000"/>
          <w:sz w:val="24"/>
          <w:szCs w:val="24"/>
        </w:rPr>
        <w:t>一带一路</w:t>
      </w:r>
      <w:r>
        <w:rPr>
          <w:color w:val="000000"/>
          <w:sz w:val="24"/>
          <w:szCs w:val="24"/>
        </w:rPr>
        <w:t>”</w:t>
      </w:r>
      <w:r>
        <w:rPr>
          <w:color w:val="000000"/>
          <w:sz w:val="24"/>
          <w:szCs w:val="24"/>
        </w:rPr>
        <w:t>主题的建筑行业涨幅较大，而医药、电子等行业则出现下跌。</w:t>
      </w:r>
    </w:p>
    <w:p w:rsidR="00D6649C" w:rsidRDefault="00D265B1">
      <w:pPr>
        <w:spacing w:before="29" w:line="288" w:lineRule="auto"/>
        <w:ind w:firstLineChars="200" w:firstLine="480"/>
        <w:rPr>
          <w:color w:val="000000"/>
          <w:sz w:val="24"/>
          <w:szCs w:val="24"/>
        </w:rPr>
      </w:pPr>
      <w:r>
        <w:rPr>
          <w:color w:val="000000"/>
          <w:sz w:val="24"/>
          <w:szCs w:val="24"/>
        </w:rPr>
        <w:t>本基金在四季度中，由于配置了较多的蓝筹股，因此跑赢业绩比较基准表现。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2015</w:t>
      </w:r>
      <w:r w:rsidRPr="00414345">
        <w:rPr>
          <w:color w:val="000000"/>
          <w:sz w:val="24"/>
          <w:szCs w:val="24"/>
        </w:rPr>
        <w:t>年，牛市赚钱效应的基础或已经形成，后续牛市持续的时间、幅度以及结构都要取决于是否仍有增量资金继续入市。本基金将根据增量资金的后续变化，对仓位和持仓结构做出相应调整。</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1.244</w:t>
      </w:r>
      <w:r w:rsidRPr="00414345">
        <w:rPr>
          <w:color w:val="000000"/>
          <w:sz w:val="24"/>
          <w:szCs w:val="24"/>
        </w:rPr>
        <w:t>元，本报告期份额净值增长率为</w:t>
      </w:r>
      <w:r w:rsidRPr="00414345">
        <w:rPr>
          <w:color w:val="000000"/>
          <w:sz w:val="24"/>
          <w:szCs w:val="24"/>
        </w:rPr>
        <w:t>57.27%</w:t>
      </w:r>
      <w:r w:rsidRPr="00414345">
        <w:rPr>
          <w:color w:val="000000"/>
          <w:sz w:val="24"/>
          <w:szCs w:val="24"/>
        </w:rPr>
        <w:t>，同期业绩比较基准增长率为</w:t>
      </w:r>
      <w:r w:rsidRPr="00414345">
        <w:rPr>
          <w:color w:val="000000"/>
          <w:sz w:val="24"/>
          <w:szCs w:val="24"/>
        </w:rPr>
        <w:t>26.57%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D265B1">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563D0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872,224,431.21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54.24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872,224,431.21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54.24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73,615,553.71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73,615,553.71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498,596,707.90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31.01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141,601,343.54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8.81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22,055,064.19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1,608,093,100.55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139,450,277.49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8.92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308,033,526.97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33,219,863.28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6,516,177.46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6,079,131.00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0.39</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10,866,292.00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308,886,593.01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35,884,002.00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23,288,568.00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872,224,431.21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55.78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6649C">
        <w:trPr>
          <w:jc w:val="center"/>
        </w:trPr>
        <w:tc>
          <w:tcPr>
            <w:tcW w:w="855" w:type="dxa"/>
            <w:vAlign w:val="center"/>
          </w:tcPr>
          <w:p w:rsidR="00D6649C" w:rsidRDefault="00D265B1">
            <w:pPr>
              <w:jc w:val="center"/>
            </w:pPr>
            <w:r>
              <w:rPr>
                <w:color w:val="000000"/>
                <w:sz w:val="24"/>
                <w:szCs w:val="24"/>
              </w:rPr>
              <w:t>1</w:t>
            </w:r>
          </w:p>
        </w:tc>
        <w:tc>
          <w:tcPr>
            <w:tcW w:w="1334" w:type="dxa"/>
            <w:vAlign w:val="center"/>
          </w:tcPr>
          <w:p w:rsidR="00D6649C" w:rsidRDefault="00D265B1">
            <w:pPr>
              <w:jc w:val="center"/>
            </w:pPr>
            <w:r>
              <w:rPr>
                <w:color w:val="000000"/>
                <w:sz w:val="24"/>
                <w:szCs w:val="24"/>
              </w:rPr>
              <w:t>601166</w:t>
            </w:r>
          </w:p>
        </w:tc>
        <w:tc>
          <w:tcPr>
            <w:tcW w:w="1777" w:type="dxa"/>
            <w:vAlign w:val="center"/>
          </w:tcPr>
          <w:p w:rsidR="00D6649C" w:rsidRDefault="00D265B1">
            <w:pPr>
              <w:jc w:val="center"/>
            </w:pPr>
            <w:r>
              <w:rPr>
                <w:color w:val="000000"/>
                <w:sz w:val="24"/>
                <w:szCs w:val="24"/>
              </w:rPr>
              <w:t>兴业银行</w:t>
            </w:r>
          </w:p>
        </w:tc>
        <w:tc>
          <w:tcPr>
            <w:tcW w:w="1334" w:type="dxa"/>
            <w:vAlign w:val="center"/>
          </w:tcPr>
          <w:p w:rsidR="00D6649C" w:rsidRDefault="00D265B1">
            <w:pPr>
              <w:jc w:val="right"/>
            </w:pPr>
            <w:r>
              <w:rPr>
                <w:color w:val="000000"/>
                <w:sz w:val="24"/>
                <w:szCs w:val="24"/>
              </w:rPr>
              <w:t>4,515,500</w:t>
            </w:r>
          </w:p>
        </w:tc>
        <w:tc>
          <w:tcPr>
            <w:tcW w:w="1924" w:type="dxa"/>
            <w:vAlign w:val="center"/>
          </w:tcPr>
          <w:p w:rsidR="00D6649C" w:rsidRDefault="00D265B1">
            <w:pPr>
              <w:jc w:val="right"/>
            </w:pPr>
            <w:r>
              <w:rPr>
                <w:color w:val="000000"/>
                <w:sz w:val="24"/>
                <w:szCs w:val="24"/>
              </w:rPr>
              <w:t>74,505,750.00</w:t>
            </w:r>
          </w:p>
        </w:tc>
        <w:tc>
          <w:tcPr>
            <w:tcW w:w="1644" w:type="dxa"/>
            <w:vAlign w:val="center"/>
          </w:tcPr>
          <w:p w:rsidR="00D6649C" w:rsidRDefault="00D265B1">
            <w:pPr>
              <w:jc w:val="right"/>
            </w:pPr>
            <w:r>
              <w:rPr>
                <w:color w:val="000000"/>
                <w:sz w:val="24"/>
                <w:szCs w:val="24"/>
              </w:rPr>
              <w:t>4.76</w:t>
            </w:r>
          </w:p>
        </w:tc>
      </w:tr>
      <w:tr w:rsidR="00D6649C">
        <w:trPr>
          <w:jc w:val="center"/>
        </w:trPr>
        <w:tc>
          <w:tcPr>
            <w:tcW w:w="855" w:type="dxa"/>
            <w:vAlign w:val="center"/>
          </w:tcPr>
          <w:p w:rsidR="00D6649C" w:rsidRDefault="00D265B1">
            <w:pPr>
              <w:jc w:val="center"/>
            </w:pPr>
            <w:r>
              <w:rPr>
                <w:color w:val="000000"/>
                <w:sz w:val="24"/>
                <w:szCs w:val="24"/>
              </w:rPr>
              <w:t>2</w:t>
            </w:r>
          </w:p>
        </w:tc>
        <w:tc>
          <w:tcPr>
            <w:tcW w:w="1334" w:type="dxa"/>
            <w:vAlign w:val="center"/>
          </w:tcPr>
          <w:p w:rsidR="00D6649C" w:rsidRDefault="00D265B1">
            <w:pPr>
              <w:jc w:val="center"/>
            </w:pPr>
            <w:r>
              <w:rPr>
                <w:color w:val="000000"/>
                <w:sz w:val="24"/>
                <w:szCs w:val="24"/>
              </w:rPr>
              <w:t>601318</w:t>
            </w:r>
          </w:p>
        </w:tc>
        <w:tc>
          <w:tcPr>
            <w:tcW w:w="1777" w:type="dxa"/>
            <w:vAlign w:val="center"/>
          </w:tcPr>
          <w:p w:rsidR="00D6649C" w:rsidRDefault="00D265B1">
            <w:pPr>
              <w:jc w:val="center"/>
            </w:pPr>
            <w:r>
              <w:rPr>
                <w:color w:val="000000"/>
                <w:sz w:val="24"/>
                <w:szCs w:val="24"/>
              </w:rPr>
              <w:t>中国平安</w:t>
            </w:r>
          </w:p>
        </w:tc>
        <w:tc>
          <w:tcPr>
            <w:tcW w:w="1334" w:type="dxa"/>
            <w:vAlign w:val="center"/>
          </w:tcPr>
          <w:p w:rsidR="00D6649C" w:rsidRDefault="00D265B1">
            <w:pPr>
              <w:jc w:val="right"/>
            </w:pPr>
            <w:r>
              <w:rPr>
                <w:color w:val="000000"/>
                <w:sz w:val="24"/>
                <w:szCs w:val="24"/>
              </w:rPr>
              <w:t>991,555</w:t>
            </w:r>
          </w:p>
        </w:tc>
        <w:tc>
          <w:tcPr>
            <w:tcW w:w="1924" w:type="dxa"/>
            <w:vAlign w:val="center"/>
          </w:tcPr>
          <w:p w:rsidR="00D6649C" w:rsidRDefault="00D265B1">
            <w:pPr>
              <w:jc w:val="right"/>
            </w:pPr>
            <w:r>
              <w:rPr>
                <w:color w:val="000000"/>
                <w:sz w:val="24"/>
                <w:szCs w:val="24"/>
              </w:rPr>
              <w:t>74,079,074.05</w:t>
            </w:r>
          </w:p>
        </w:tc>
        <w:tc>
          <w:tcPr>
            <w:tcW w:w="1644" w:type="dxa"/>
            <w:vAlign w:val="center"/>
          </w:tcPr>
          <w:p w:rsidR="00D6649C" w:rsidRDefault="00D265B1">
            <w:pPr>
              <w:jc w:val="right"/>
            </w:pPr>
            <w:r>
              <w:rPr>
                <w:color w:val="000000"/>
                <w:sz w:val="24"/>
                <w:szCs w:val="24"/>
              </w:rPr>
              <w:t>4.74</w:t>
            </w:r>
          </w:p>
        </w:tc>
      </w:tr>
      <w:tr w:rsidR="00D6649C">
        <w:trPr>
          <w:jc w:val="center"/>
        </w:trPr>
        <w:tc>
          <w:tcPr>
            <w:tcW w:w="855" w:type="dxa"/>
            <w:vAlign w:val="center"/>
          </w:tcPr>
          <w:p w:rsidR="00D6649C" w:rsidRDefault="00D265B1">
            <w:pPr>
              <w:jc w:val="center"/>
            </w:pPr>
            <w:r>
              <w:rPr>
                <w:color w:val="000000"/>
                <w:sz w:val="24"/>
                <w:szCs w:val="24"/>
              </w:rPr>
              <w:t>3</w:t>
            </w:r>
          </w:p>
        </w:tc>
        <w:tc>
          <w:tcPr>
            <w:tcW w:w="1334" w:type="dxa"/>
            <w:vAlign w:val="center"/>
          </w:tcPr>
          <w:p w:rsidR="00D6649C" w:rsidRDefault="00D265B1">
            <w:pPr>
              <w:jc w:val="center"/>
            </w:pPr>
            <w:r>
              <w:rPr>
                <w:color w:val="000000"/>
                <w:sz w:val="24"/>
                <w:szCs w:val="24"/>
              </w:rPr>
              <w:t>000001</w:t>
            </w:r>
          </w:p>
        </w:tc>
        <w:tc>
          <w:tcPr>
            <w:tcW w:w="1777" w:type="dxa"/>
            <w:vAlign w:val="center"/>
          </w:tcPr>
          <w:p w:rsidR="00D6649C" w:rsidRDefault="00D265B1">
            <w:pPr>
              <w:jc w:val="center"/>
            </w:pPr>
            <w:r>
              <w:rPr>
                <w:color w:val="000000"/>
                <w:sz w:val="24"/>
                <w:szCs w:val="24"/>
              </w:rPr>
              <w:t>平安银行</w:t>
            </w:r>
          </w:p>
        </w:tc>
        <w:tc>
          <w:tcPr>
            <w:tcW w:w="1334" w:type="dxa"/>
            <w:vAlign w:val="center"/>
          </w:tcPr>
          <w:p w:rsidR="00D6649C" w:rsidRDefault="00D265B1">
            <w:pPr>
              <w:jc w:val="right"/>
            </w:pPr>
            <w:r>
              <w:rPr>
                <w:color w:val="000000"/>
                <w:sz w:val="24"/>
                <w:szCs w:val="24"/>
              </w:rPr>
              <w:t>3,546,700</w:t>
            </w:r>
          </w:p>
        </w:tc>
        <w:tc>
          <w:tcPr>
            <w:tcW w:w="1924" w:type="dxa"/>
            <w:vAlign w:val="center"/>
          </w:tcPr>
          <w:p w:rsidR="00D6649C" w:rsidRDefault="00D265B1">
            <w:pPr>
              <w:jc w:val="right"/>
            </w:pPr>
            <w:r>
              <w:rPr>
                <w:color w:val="000000"/>
                <w:sz w:val="24"/>
                <w:szCs w:val="24"/>
              </w:rPr>
              <w:t>56,179,728.00</w:t>
            </w:r>
          </w:p>
        </w:tc>
        <w:tc>
          <w:tcPr>
            <w:tcW w:w="1644" w:type="dxa"/>
            <w:vAlign w:val="center"/>
          </w:tcPr>
          <w:p w:rsidR="00D6649C" w:rsidRDefault="00D265B1">
            <w:pPr>
              <w:jc w:val="right"/>
            </w:pPr>
            <w:r>
              <w:rPr>
                <w:color w:val="000000"/>
                <w:sz w:val="24"/>
                <w:szCs w:val="24"/>
              </w:rPr>
              <w:t>3.59</w:t>
            </w:r>
          </w:p>
        </w:tc>
      </w:tr>
      <w:tr w:rsidR="00D6649C">
        <w:trPr>
          <w:jc w:val="center"/>
        </w:trPr>
        <w:tc>
          <w:tcPr>
            <w:tcW w:w="855" w:type="dxa"/>
            <w:vAlign w:val="center"/>
          </w:tcPr>
          <w:p w:rsidR="00D6649C" w:rsidRDefault="00D265B1">
            <w:pPr>
              <w:jc w:val="center"/>
            </w:pPr>
            <w:r>
              <w:rPr>
                <w:color w:val="000000"/>
                <w:sz w:val="24"/>
                <w:szCs w:val="24"/>
              </w:rPr>
              <w:t>4</w:t>
            </w:r>
          </w:p>
        </w:tc>
        <w:tc>
          <w:tcPr>
            <w:tcW w:w="1334" w:type="dxa"/>
            <w:vAlign w:val="center"/>
          </w:tcPr>
          <w:p w:rsidR="00D6649C" w:rsidRDefault="00D265B1">
            <w:pPr>
              <w:jc w:val="center"/>
            </w:pPr>
            <w:r>
              <w:rPr>
                <w:color w:val="000000"/>
                <w:sz w:val="24"/>
                <w:szCs w:val="24"/>
              </w:rPr>
              <w:t>600000</w:t>
            </w:r>
          </w:p>
        </w:tc>
        <w:tc>
          <w:tcPr>
            <w:tcW w:w="1777" w:type="dxa"/>
            <w:vAlign w:val="center"/>
          </w:tcPr>
          <w:p w:rsidR="00D6649C" w:rsidRDefault="00D265B1">
            <w:pPr>
              <w:jc w:val="center"/>
            </w:pPr>
            <w:r>
              <w:rPr>
                <w:color w:val="000000"/>
                <w:sz w:val="24"/>
                <w:szCs w:val="24"/>
              </w:rPr>
              <w:t>浦发银行</w:t>
            </w:r>
          </w:p>
        </w:tc>
        <w:tc>
          <w:tcPr>
            <w:tcW w:w="1334" w:type="dxa"/>
            <w:vAlign w:val="center"/>
          </w:tcPr>
          <w:p w:rsidR="00D6649C" w:rsidRDefault="00D265B1">
            <w:pPr>
              <w:jc w:val="right"/>
            </w:pPr>
            <w:r>
              <w:rPr>
                <w:color w:val="000000"/>
                <w:sz w:val="24"/>
                <w:szCs w:val="24"/>
              </w:rPr>
              <w:t>3,033,200</w:t>
            </w:r>
          </w:p>
        </w:tc>
        <w:tc>
          <w:tcPr>
            <w:tcW w:w="1924" w:type="dxa"/>
            <w:vAlign w:val="center"/>
          </w:tcPr>
          <w:p w:rsidR="00D6649C" w:rsidRDefault="00D265B1">
            <w:pPr>
              <w:jc w:val="right"/>
            </w:pPr>
            <w:r>
              <w:rPr>
                <w:color w:val="000000"/>
                <w:sz w:val="24"/>
                <w:szCs w:val="24"/>
              </w:rPr>
              <w:t>47,590,908.00</w:t>
            </w:r>
          </w:p>
        </w:tc>
        <w:tc>
          <w:tcPr>
            <w:tcW w:w="1644" w:type="dxa"/>
            <w:vAlign w:val="center"/>
          </w:tcPr>
          <w:p w:rsidR="00D6649C" w:rsidRDefault="00D265B1">
            <w:pPr>
              <w:jc w:val="right"/>
            </w:pPr>
            <w:r>
              <w:rPr>
                <w:color w:val="000000"/>
                <w:sz w:val="24"/>
                <w:szCs w:val="24"/>
              </w:rPr>
              <w:t>3.04</w:t>
            </w:r>
          </w:p>
        </w:tc>
      </w:tr>
      <w:tr w:rsidR="00D6649C">
        <w:trPr>
          <w:jc w:val="center"/>
        </w:trPr>
        <w:tc>
          <w:tcPr>
            <w:tcW w:w="855" w:type="dxa"/>
            <w:vAlign w:val="center"/>
          </w:tcPr>
          <w:p w:rsidR="00D6649C" w:rsidRDefault="00D265B1">
            <w:pPr>
              <w:jc w:val="center"/>
            </w:pPr>
            <w:r>
              <w:rPr>
                <w:color w:val="000000"/>
                <w:sz w:val="24"/>
                <w:szCs w:val="24"/>
              </w:rPr>
              <w:t>5</w:t>
            </w:r>
          </w:p>
        </w:tc>
        <w:tc>
          <w:tcPr>
            <w:tcW w:w="1334" w:type="dxa"/>
            <w:vAlign w:val="center"/>
          </w:tcPr>
          <w:p w:rsidR="00D6649C" w:rsidRDefault="00D265B1">
            <w:pPr>
              <w:jc w:val="center"/>
            </w:pPr>
            <w:r>
              <w:rPr>
                <w:color w:val="000000"/>
                <w:sz w:val="24"/>
                <w:szCs w:val="24"/>
              </w:rPr>
              <w:t>000528</w:t>
            </w:r>
          </w:p>
        </w:tc>
        <w:tc>
          <w:tcPr>
            <w:tcW w:w="1777" w:type="dxa"/>
            <w:vAlign w:val="center"/>
          </w:tcPr>
          <w:p w:rsidR="00D6649C" w:rsidRDefault="00D265B1">
            <w:pPr>
              <w:jc w:val="center"/>
            </w:pPr>
            <w:r>
              <w:rPr>
                <w:color w:val="000000"/>
                <w:sz w:val="24"/>
                <w:szCs w:val="24"/>
              </w:rPr>
              <w:t>柳</w:t>
            </w:r>
            <w:r>
              <w:rPr>
                <w:color w:val="000000"/>
                <w:sz w:val="24"/>
                <w:szCs w:val="24"/>
              </w:rPr>
              <w:t xml:space="preserve">    </w:t>
            </w:r>
            <w:r>
              <w:rPr>
                <w:color w:val="000000"/>
                <w:sz w:val="24"/>
                <w:szCs w:val="24"/>
              </w:rPr>
              <w:t>工</w:t>
            </w:r>
          </w:p>
        </w:tc>
        <w:tc>
          <w:tcPr>
            <w:tcW w:w="1334" w:type="dxa"/>
            <w:vAlign w:val="center"/>
          </w:tcPr>
          <w:p w:rsidR="00D6649C" w:rsidRDefault="00D265B1">
            <w:pPr>
              <w:jc w:val="right"/>
            </w:pPr>
            <w:r>
              <w:rPr>
                <w:color w:val="000000"/>
                <w:sz w:val="24"/>
                <w:szCs w:val="24"/>
              </w:rPr>
              <w:t>3,642,800</w:t>
            </w:r>
          </w:p>
        </w:tc>
        <w:tc>
          <w:tcPr>
            <w:tcW w:w="1924" w:type="dxa"/>
            <w:vAlign w:val="center"/>
          </w:tcPr>
          <w:p w:rsidR="00D6649C" w:rsidRDefault="00D265B1">
            <w:pPr>
              <w:jc w:val="right"/>
            </w:pPr>
            <w:r>
              <w:rPr>
                <w:color w:val="000000"/>
                <w:sz w:val="24"/>
                <w:szCs w:val="24"/>
              </w:rPr>
              <w:t>45,826,424.00</w:t>
            </w:r>
          </w:p>
        </w:tc>
        <w:tc>
          <w:tcPr>
            <w:tcW w:w="1644" w:type="dxa"/>
            <w:vAlign w:val="center"/>
          </w:tcPr>
          <w:p w:rsidR="00D6649C" w:rsidRDefault="00D265B1">
            <w:pPr>
              <w:jc w:val="right"/>
            </w:pPr>
            <w:r>
              <w:rPr>
                <w:color w:val="000000"/>
                <w:sz w:val="24"/>
                <w:szCs w:val="24"/>
              </w:rPr>
              <w:t>2.93</w:t>
            </w:r>
          </w:p>
        </w:tc>
      </w:tr>
      <w:tr w:rsidR="00D6649C">
        <w:trPr>
          <w:jc w:val="center"/>
        </w:trPr>
        <w:tc>
          <w:tcPr>
            <w:tcW w:w="855" w:type="dxa"/>
            <w:vAlign w:val="center"/>
          </w:tcPr>
          <w:p w:rsidR="00D6649C" w:rsidRDefault="00D265B1">
            <w:pPr>
              <w:jc w:val="center"/>
            </w:pPr>
            <w:r>
              <w:rPr>
                <w:color w:val="000000"/>
                <w:sz w:val="24"/>
                <w:szCs w:val="24"/>
              </w:rPr>
              <w:t>6</w:t>
            </w:r>
          </w:p>
        </w:tc>
        <w:tc>
          <w:tcPr>
            <w:tcW w:w="1334" w:type="dxa"/>
            <w:vAlign w:val="center"/>
          </w:tcPr>
          <w:p w:rsidR="00D6649C" w:rsidRDefault="00D265B1">
            <w:pPr>
              <w:jc w:val="center"/>
            </w:pPr>
            <w:r>
              <w:rPr>
                <w:color w:val="000000"/>
                <w:sz w:val="24"/>
                <w:szCs w:val="24"/>
              </w:rPr>
              <w:t>000425</w:t>
            </w:r>
          </w:p>
        </w:tc>
        <w:tc>
          <w:tcPr>
            <w:tcW w:w="1777" w:type="dxa"/>
            <w:vAlign w:val="center"/>
          </w:tcPr>
          <w:p w:rsidR="00D6649C" w:rsidRDefault="00D265B1">
            <w:pPr>
              <w:jc w:val="center"/>
            </w:pPr>
            <w:r>
              <w:rPr>
                <w:color w:val="000000"/>
                <w:sz w:val="24"/>
                <w:szCs w:val="24"/>
              </w:rPr>
              <w:t>徐工机械</w:t>
            </w:r>
          </w:p>
        </w:tc>
        <w:tc>
          <w:tcPr>
            <w:tcW w:w="1334" w:type="dxa"/>
            <w:vAlign w:val="center"/>
          </w:tcPr>
          <w:p w:rsidR="00D6649C" w:rsidRDefault="00D265B1">
            <w:pPr>
              <w:jc w:val="right"/>
            </w:pPr>
            <w:r>
              <w:rPr>
                <w:color w:val="000000"/>
                <w:sz w:val="24"/>
                <w:szCs w:val="24"/>
              </w:rPr>
              <w:t>2,830,421</w:t>
            </w:r>
          </w:p>
        </w:tc>
        <w:tc>
          <w:tcPr>
            <w:tcW w:w="1924" w:type="dxa"/>
            <w:vAlign w:val="center"/>
          </w:tcPr>
          <w:p w:rsidR="00D6649C" w:rsidRDefault="00D265B1">
            <w:pPr>
              <w:jc w:val="right"/>
            </w:pPr>
            <w:r>
              <w:rPr>
                <w:color w:val="000000"/>
                <w:sz w:val="24"/>
                <w:szCs w:val="24"/>
              </w:rPr>
              <w:t>42,371,402.37</w:t>
            </w:r>
          </w:p>
        </w:tc>
        <w:tc>
          <w:tcPr>
            <w:tcW w:w="1644" w:type="dxa"/>
            <w:vAlign w:val="center"/>
          </w:tcPr>
          <w:p w:rsidR="00D6649C" w:rsidRDefault="00D265B1">
            <w:pPr>
              <w:jc w:val="right"/>
            </w:pPr>
            <w:r>
              <w:rPr>
                <w:color w:val="000000"/>
                <w:sz w:val="24"/>
                <w:szCs w:val="24"/>
              </w:rPr>
              <w:t>2.71</w:t>
            </w:r>
          </w:p>
        </w:tc>
      </w:tr>
      <w:tr w:rsidR="00D6649C">
        <w:trPr>
          <w:jc w:val="center"/>
        </w:trPr>
        <w:tc>
          <w:tcPr>
            <w:tcW w:w="855" w:type="dxa"/>
            <w:vAlign w:val="center"/>
          </w:tcPr>
          <w:p w:rsidR="00D6649C" w:rsidRDefault="00D265B1">
            <w:pPr>
              <w:jc w:val="center"/>
            </w:pPr>
            <w:r>
              <w:rPr>
                <w:color w:val="000000"/>
                <w:sz w:val="24"/>
                <w:szCs w:val="24"/>
              </w:rPr>
              <w:t>7</w:t>
            </w:r>
          </w:p>
        </w:tc>
        <w:tc>
          <w:tcPr>
            <w:tcW w:w="1334" w:type="dxa"/>
            <w:vAlign w:val="center"/>
          </w:tcPr>
          <w:p w:rsidR="00D6649C" w:rsidRDefault="00D265B1">
            <w:pPr>
              <w:jc w:val="center"/>
            </w:pPr>
            <w:r>
              <w:rPr>
                <w:color w:val="000000"/>
                <w:sz w:val="24"/>
                <w:szCs w:val="24"/>
              </w:rPr>
              <w:t>000157</w:t>
            </w:r>
          </w:p>
        </w:tc>
        <w:tc>
          <w:tcPr>
            <w:tcW w:w="1777" w:type="dxa"/>
            <w:vAlign w:val="center"/>
          </w:tcPr>
          <w:p w:rsidR="00D6649C" w:rsidRDefault="00D265B1">
            <w:pPr>
              <w:jc w:val="center"/>
            </w:pPr>
            <w:r>
              <w:rPr>
                <w:color w:val="000000"/>
                <w:sz w:val="24"/>
                <w:szCs w:val="24"/>
              </w:rPr>
              <w:t>中联重科</w:t>
            </w:r>
          </w:p>
        </w:tc>
        <w:tc>
          <w:tcPr>
            <w:tcW w:w="1334" w:type="dxa"/>
            <w:vAlign w:val="center"/>
          </w:tcPr>
          <w:p w:rsidR="00D6649C" w:rsidRDefault="00D265B1">
            <w:pPr>
              <w:jc w:val="right"/>
            </w:pPr>
            <w:r>
              <w:rPr>
                <w:color w:val="000000"/>
                <w:sz w:val="24"/>
                <w:szCs w:val="24"/>
              </w:rPr>
              <w:t>5,542,200</w:t>
            </w:r>
          </w:p>
        </w:tc>
        <w:tc>
          <w:tcPr>
            <w:tcW w:w="1924" w:type="dxa"/>
            <w:vAlign w:val="center"/>
          </w:tcPr>
          <w:p w:rsidR="00D6649C" w:rsidRDefault="00D265B1">
            <w:pPr>
              <w:jc w:val="right"/>
            </w:pPr>
            <w:r>
              <w:rPr>
                <w:color w:val="000000"/>
                <w:sz w:val="24"/>
                <w:szCs w:val="24"/>
              </w:rPr>
              <w:t>39,127,932.00</w:t>
            </w:r>
          </w:p>
        </w:tc>
        <w:tc>
          <w:tcPr>
            <w:tcW w:w="1644" w:type="dxa"/>
            <w:vAlign w:val="center"/>
          </w:tcPr>
          <w:p w:rsidR="00D6649C" w:rsidRDefault="00D265B1">
            <w:pPr>
              <w:jc w:val="right"/>
            </w:pPr>
            <w:r>
              <w:rPr>
                <w:color w:val="000000"/>
                <w:sz w:val="24"/>
                <w:szCs w:val="24"/>
              </w:rPr>
              <w:t>2.50</w:t>
            </w:r>
          </w:p>
        </w:tc>
      </w:tr>
      <w:tr w:rsidR="00D6649C">
        <w:trPr>
          <w:jc w:val="center"/>
        </w:trPr>
        <w:tc>
          <w:tcPr>
            <w:tcW w:w="855" w:type="dxa"/>
            <w:vAlign w:val="center"/>
          </w:tcPr>
          <w:p w:rsidR="00D6649C" w:rsidRDefault="00D265B1">
            <w:pPr>
              <w:jc w:val="center"/>
            </w:pPr>
            <w:r>
              <w:rPr>
                <w:color w:val="000000"/>
                <w:sz w:val="24"/>
                <w:szCs w:val="24"/>
              </w:rPr>
              <w:t>8</w:t>
            </w:r>
          </w:p>
        </w:tc>
        <w:tc>
          <w:tcPr>
            <w:tcW w:w="1334" w:type="dxa"/>
            <w:vAlign w:val="center"/>
          </w:tcPr>
          <w:p w:rsidR="00D6649C" w:rsidRDefault="00D265B1">
            <w:pPr>
              <w:jc w:val="center"/>
            </w:pPr>
            <w:r>
              <w:rPr>
                <w:color w:val="000000"/>
                <w:sz w:val="24"/>
                <w:szCs w:val="24"/>
              </w:rPr>
              <w:t>600720</w:t>
            </w:r>
          </w:p>
        </w:tc>
        <w:tc>
          <w:tcPr>
            <w:tcW w:w="1777" w:type="dxa"/>
            <w:vAlign w:val="center"/>
          </w:tcPr>
          <w:p w:rsidR="00D6649C" w:rsidRDefault="00D265B1">
            <w:pPr>
              <w:jc w:val="center"/>
            </w:pPr>
            <w:r>
              <w:rPr>
                <w:color w:val="000000"/>
                <w:sz w:val="24"/>
                <w:szCs w:val="24"/>
              </w:rPr>
              <w:t>祁连山</w:t>
            </w:r>
          </w:p>
        </w:tc>
        <w:tc>
          <w:tcPr>
            <w:tcW w:w="1334" w:type="dxa"/>
            <w:vAlign w:val="center"/>
          </w:tcPr>
          <w:p w:rsidR="00D6649C" w:rsidRDefault="00D265B1">
            <w:pPr>
              <w:jc w:val="right"/>
            </w:pPr>
            <w:r>
              <w:rPr>
                <w:color w:val="000000"/>
                <w:sz w:val="24"/>
                <w:szCs w:val="24"/>
              </w:rPr>
              <w:t>3,489,513</w:t>
            </w:r>
          </w:p>
        </w:tc>
        <w:tc>
          <w:tcPr>
            <w:tcW w:w="1924" w:type="dxa"/>
            <w:vAlign w:val="center"/>
          </w:tcPr>
          <w:p w:rsidR="00D6649C" w:rsidRDefault="00D265B1">
            <w:pPr>
              <w:jc w:val="right"/>
            </w:pPr>
            <w:r>
              <w:rPr>
                <w:color w:val="000000"/>
                <w:sz w:val="24"/>
                <w:szCs w:val="24"/>
              </w:rPr>
              <w:t>38,279,957.61</w:t>
            </w:r>
          </w:p>
        </w:tc>
        <w:tc>
          <w:tcPr>
            <w:tcW w:w="1644" w:type="dxa"/>
            <w:vAlign w:val="center"/>
          </w:tcPr>
          <w:p w:rsidR="00D6649C" w:rsidRDefault="00D265B1">
            <w:pPr>
              <w:jc w:val="right"/>
            </w:pPr>
            <w:r>
              <w:rPr>
                <w:color w:val="000000"/>
                <w:sz w:val="24"/>
                <w:szCs w:val="24"/>
              </w:rPr>
              <w:t>2.45</w:t>
            </w:r>
          </w:p>
        </w:tc>
      </w:tr>
      <w:tr w:rsidR="00D6649C">
        <w:trPr>
          <w:jc w:val="center"/>
        </w:trPr>
        <w:tc>
          <w:tcPr>
            <w:tcW w:w="855" w:type="dxa"/>
            <w:vAlign w:val="center"/>
          </w:tcPr>
          <w:p w:rsidR="00D6649C" w:rsidRDefault="00D265B1">
            <w:pPr>
              <w:jc w:val="center"/>
            </w:pPr>
            <w:r>
              <w:rPr>
                <w:color w:val="000000"/>
                <w:sz w:val="24"/>
                <w:szCs w:val="24"/>
              </w:rPr>
              <w:t>9</w:t>
            </w:r>
          </w:p>
        </w:tc>
        <w:tc>
          <w:tcPr>
            <w:tcW w:w="1334" w:type="dxa"/>
            <w:vAlign w:val="center"/>
          </w:tcPr>
          <w:p w:rsidR="00D6649C" w:rsidRDefault="00D265B1">
            <w:pPr>
              <w:jc w:val="center"/>
            </w:pPr>
            <w:r>
              <w:rPr>
                <w:color w:val="000000"/>
                <w:sz w:val="24"/>
                <w:szCs w:val="24"/>
              </w:rPr>
              <w:t>600395</w:t>
            </w:r>
          </w:p>
        </w:tc>
        <w:tc>
          <w:tcPr>
            <w:tcW w:w="1777" w:type="dxa"/>
            <w:vAlign w:val="center"/>
          </w:tcPr>
          <w:p w:rsidR="00D6649C" w:rsidRDefault="00D265B1">
            <w:pPr>
              <w:jc w:val="center"/>
            </w:pPr>
            <w:r>
              <w:rPr>
                <w:color w:val="000000"/>
                <w:sz w:val="24"/>
                <w:szCs w:val="24"/>
              </w:rPr>
              <w:t>盘江股份</w:t>
            </w:r>
          </w:p>
        </w:tc>
        <w:tc>
          <w:tcPr>
            <w:tcW w:w="1334" w:type="dxa"/>
            <w:vAlign w:val="center"/>
          </w:tcPr>
          <w:p w:rsidR="00D6649C" w:rsidRDefault="00D265B1">
            <w:pPr>
              <w:jc w:val="right"/>
            </w:pPr>
            <w:r>
              <w:rPr>
                <w:color w:val="000000"/>
                <w:sz w:val="24"/>
                <w:szCs w:val="24"/>
              </w:rPr>
              <w:t>3,170,543</w:t>
            </w:r>
          </w:p>
        </w:tc>
        <w:tc>
          <w:tcPr>
            <w:tcW w:w="1924" w:type="dxa"/>
            <w:vAlign w:val="center"/>
          </w:tcPr>
          <w:p w:rsidR="00D6649C" w:rsidRDefault="00D265B1">
            <w:pPr>
              <w:jc w:val="right"/>
            </w:pPr>
            <w:r>
              <w:rPr>
                <w:color w:val="000000"/>
                <w:sz w:val="24"/>
                <w:szCs w:val="24"/>
              </w:rPr>
              <w:t>37,792,872.56</w:t>
            </w:r>
          </w:p>
        </w:tc>
        <w:tc>
          <w:tcPr>
            <w:tcW w:w="1644" w:type="dxa"/>
            <w:vAlign w:val="center"/>
          </w:tcPr>
          <w:p w:rsidR="00D6649C" w:rsidRDefault="00D265B1">
            <w:pPr>
              <w:jc w:val="right"/>
            </w:pPr>
            <w:r>
              <w:rPr>
                <w:color w:val="000000"/>
                <w:sz w:val="24"/>
                <w:szCs w:val="24"/>
              </w:rPr>
              <w:t>2.42</w:t>
            </w:r>
          </w:p>
        </w:tc>
      </w:tr>
      <w:tr w:rsidR="00D6649C">
        <w:trPr>
          <w:jc w:val="center"/>
        </w:trPr>
        <w:tc>
          <w:tcPr>
            <w:tcW w:w="855" w:type="dxa"/>
            <w:vAlign w:val="center"/>
          </w:tcPr>
          <w:p w:rsidR="00D6649C" w:rsidRDefault="00D265B1">
            <w:pPr>
              <w:jc w:val="center"/>
            </w:pPr>
            <w:r>
              <w:rPr>
                <w:color w:val="000000"/>
                <w:sz w:val="24"/>
                <w:szCs w:val="24"/>
              </w:rPr>
              <w:t>10</w:t>
            </w:r>
          </w:p>
        </w:tc>
        <w:tc>
          <w:tcPr>
            <w:tcW w:w="1334" w:type="dxa"/>
            <w:vAlign w:val="center"/>
          </w:tcPr>
          <w:p w:rsidR="00D6649C" w:rsidRDefault="00D265B1">
            <w:pPr>
              <w:jc w:val="center"/>
            </w:pPr>
            <w:r>
              <w:rPr>
                <w:color w:val="000000"/>
                <w:sz w:val="24"/>
                <w:szCs w:val="24"/>
              </w:rPr>
              <w:t>600158</w:t>
            </w:r>
          </w:p>
        </w:tc>
        <w:tc>
          <w:tcPr>
            <w:tcW w:w="1777" w:type="dxa"/>
            <w:vAlign w:val="center"/>
          </w:tcPr>
          <w:p w:rsidR="00D6649C" w:rsidRDefault="00D265B1">
            <w:pPr>
              <w:jc w:val="center"/>
            </w:pPr>
            <w:r>
              <w:rPr>
                <w:color w:val="000000"/>
                <w:sz w:val="24"/>
                <w:szCs w:val="24"/>
              </w:rPr>
              <w:t>中体产业</w:t>
            </w:r>
          </w:p>
        </w:tc>
        <w:tc>
          <w:tcPr>
            <w:tcW w:w="1334" w:type="dxa"/>
            <w:vAlign w:val="center"/>
          </w:tcPr>
          <w:p w:rsidR="00D6649C" w:rsidRDefault="00D265B1">
            <w:pPr>
              <w:jc w:val="right"/>
            </w:pPr>
            <w:r>
              <w:rPr>
                <w:color w:val="000000"/>
                <w:sz w:val="24"/>
                <w:szCs w:val="24"/>
              </w:rPr>
              <w:t>2,026,200</w:t>
            </w:r>
          </w:p>
        </w:tc>
        <w:tc>
          <w:tcPr>
            <w:tcW w:w="1924" w:type="dxa"/>
            <w:vAlign w:val="center"/>
          </w:tcPr>
          <w:p w:rsidR="00D6649C" w:rsidRDefault="00D265B1">
            <w:pPr>
              <w:jc w:val="right"/>
            </w:pPr>
            <w:r>
              <w:rPr>
                <w:color w:val="000000"/>
                <w:sz w:val="24"/>
                <w:szCs w:val="24"/>
              </w:rPr>
              <w:t>35,884,002.00</w:t>
            </w:r>
          </w:p>
        </w:tc>
        <w:tc>
          <w:tcPr>
            <w:tcW w:w="1644" w:type="dxa"/>
            <w:vAlign w:val="center"/>
          </w:tcPr>
          <w:p w:rsidR="00D6649C" w:rsidRDefault="00D265B1">
            <w:pPr>
              <w:jc w:val="right"/>
            </w:pPr>
            <w:r>
              <w:rPr>
                <w:color w:val="000000"/>
                <w:sz w:val="24"/>
                <w:szCs w:val="24"/>
              </w:rPr>
              <w:t>2.29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73,615,553.71</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73,615,553.71</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6649C">
        <w:trPr>
          <w:jc w:val="center"/>
        </w:trPr>
        <w:tc>
          <w:tcPr>
            <w:tcW w:w="850" w:type="dxa"/>
            <w:vAlign w:val="center"/>
          </w:tcPr>
          <w:p w:rsidR="00D6649C" w:rsidRDefault="00D265B1">
            <w:pPr>
              <w:jc w:val="center"/>
            </w:pPr>
            <w:r>
              <w:rPr>
                <w:color w:val="000000"/>
                <w:sz w:val="24"/>
                <w:szCs w:val="24"/>
              </w:rPr>
              <w:t>1</w:t>
            </w:r>
          </w:p>
        </w:tc>
        <w:tc>
          <w:tcPr>
            <w:tcW w:w="1475" w:type="dxa"/>
            <w:vAlign w:val="center"/>
          </w:tcPr>
          <w:p w:rsidR="00D6649C" w:rsidRDefault="00D265B1">
            <w:pPr>
              <w:jc w:val="center"/>
            </w:pPr>
            <w:r>
              <w:rPr>
                <w:color w:val="000000"/>
                <w:sz w:val="24"/>
                <w:szCs w:val="24"/>
              </w:rPr>
              <w:t>127002</w:t>
            </w:r>
          </w:p>
        </w:tc>
        <w:tc>
          <w:tcPr>
            <w:tcW w:w="1769" w:type="dxa"/>
            <w:vAlign w:val="center"/>
          </w:tcPr>
          <w:p w:rsidR="00D6649C" w:rsidRDefault="00D265B1">
            <w:pPr>
              <w:jc w:val="center"/>
            </w:pPr>
            <w:r>
              <w:rPr>
                <w:color w:val="000000"/>
                <w:sz w:val="24"/>
                <w:szCs w:val="24"/>
              </w:rPr>
              <w:t>徐工转债</w:t>
            </w:r>
          </w:p>
        </w:tc>
        <w:tc>
          <w:tcPr>
            <w:tcW w:w="1387" w:type="dxa"/>
            <w:vAlign w:val="center"/>
          </w:tcPr>
          <w:p w:rsidR="00D6649C" w:rsidRDefault="00D265B1">
            <w:pPr>
              <w:jc w:val="right"/>
            </w:pPr>
            <w:r>
              <w:rPr>
                <w:color w:val="000000"/>
                <w:sz w:val="24"/>
                <w:szCs w:val="24"/>
              </w:rPr>
              <w:t>399,285</w:t>
            </w:r>
          </w:p>
        </w:tc>
        <w:tc>
          <w:tcPr>
            <w:tcW w:w="2150" w:type="dxa"/>
            <w:vAlign w:val="center"/>
          </w:tcPr>
          <w:p w:rsidR="00D6649C" w:rsidRDefault="00D265B1">
            <w:pPr>
              <w:jc w:val="right"/>
            </w:pPr>
            <w:r>
              <w:rPr>
                <w:color w:val="000000"/>
                <w:sz w:val="24"/>
                <w:szCs w:val="24"/>
              </w:rPr>
              <w:t>71,394,553.71</w:t>
            </w:r>
          </w:p>
        </w:tc>
        <w:tc>
          <w:tcPr>
            <w:tcW w:w="1237" w:type="dxa"/>
            <w:vAlign w:val="center"/>
          </w:tcPr>
          <w:p w:rsidR="00D6649C" w:rsidRDefault="00D265B1">
            <w:pPr>
              <w:jc w:val="right"/>
            </w:pPr>
            <w:r>
              <w:rPr>
                <w:color w:val="000000"/>
                <w:sz w:val="24"/>
                <w:szCs w:val="24"/>
              </w:rPr>
              <w:t>4.57</w:t>
            </w:r>
          </w:p>
        </w:tc>
      </w:tr>
      <w:tr w:rsidR="00D6649C">
        <w:trPr>
          <w:jc w:val="center"/>
        </w:trPr>
        <w:tc>
          <w:tcPr>
            <w:tcW w:w="850" w:type="dxa"/>
            <w:vAlign w:val="center"/>
          </w:tcPr>
          <w:p w:rsidR="00D6649C" w:rsidRDefault="00D265B1">
            <w:pPr>
              <w:jc w:val="center"/>
            </w:pPr>
            <w:r>
              <w:rPr>
                <w:color w:val="000000"/>
                <w:sz w:val="24"/>
                <w:szCs w:val="24"/>
              </w:rPr>
              <w:t>2</w:t>
            </w:r>
          </w:p>
        </w:tc>
        <w:tc>
          <w:tcPr>
            <w:tcW w:w="1475" w:type="dxa"/>
            <w:vAlign w:val="center"/>
          </w:tcPr>
          <w:p w:rsidR="00D6649C" w:rsidRDefault="00D265B1">
            <w:pPr>
              <w:jc w:val="center"/>
            </w:pPr>
            <w:r>
              <w:rPr>
                <w:color w:val="000000"/>
                <w:sz w:val="24"/>
                <w:szCs w:val="24"/>
              </w:rPr>
              <w:t>110030</w:t>
            </w:r>
          </w:p>
        </w:tc>
        <w:tc>
          <w:tcPr>
            <w:tcW w:w="1769" w:type="dxa"/>
            <w:vAlign w:val="center"/>
          </w:tcPr>
          <w:p w:rsidR="00D6649C" w:rsidRDefault="00D265B1">
            <w:pPr>
              <w:jc w:val="center"/>
            </w:pPr>
            <w:r>
              <w:rPr>
                <w:color w:val="000000"/>
                <w:sz w:val="24"/>
                <w:szCs w:val="24"/>
              </w:rPr>
              <w:t>格力转债</w:t>
            </w:r>
          </w:p>
        </w:tc>
        <w:tc>
          <w:tcPr>
            <w:tcW w:w="1387" w:type="dxa"/>
            <w:vAlign w:val="center"/>
          </w:tcPr>
          <w:p w:rsidR="00D6649C" w:rsidRDefault="00D265B1">
            <w:pPr>
              <w:jc w:val="right"/>
            </w:pPr>
            <w:r>
              <w:rPr>
                <w:color w:val="000000"/>
                <w:sz w:val="24"/>
                <w:szCs w:val="24"/>
              </w:rPr>
              <w:t>22,210</w:t>
            </w:r>
          </w:p>
        </w:tc>
        <w:tc>
          <w:tcPr>
            <w:tcW w:w="2150" w:type="dxa"/>
            <w:vAlign w:val="center"/>
          </w:tcPr>
          <w:p w:rsidR="00D6649C" w:rsidRDefault="00D265B1">
            <w:pPr>
              <w:jc w:val="right"/>
            </w:pPr>
            <w:r>
              <w:rPr>
                <w:color w:val="000000"/>
                <w:sz w:val="24"/>
                <w:szCs w:val="24"/>
              </w:rPr>
              <w:t>2,221,000.00</w:t>
            </w:r>
          </w:p>
        </w:tc>
        <w:tc>
          <w:tcPr>
            <w:tcW w:w="1237" w:type="dxa"/>
            <w:vAlign w:val="center"/>
          </w:tcPr>
          <w:p w:rsidR="00D6649C" w:rsidRDefault="00D265B1">
            <w:pPr>
              <w:jc w:val="right"/>
            </w:pPr>
            <w:r>
              <w:rPr>
                <w:color w:val="000000"/>
                <w:sz w:val="24"/>
                <w:szCs w:val="24"/>
              </w:rPr>
              <w:t>0.14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242,125.64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265,586.83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21,547,351.72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22,055,064.19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D6649C">
        <w:trPr>
          <w:jc w:val="center"/>
        </w:trPr>
        <w:tc>
          <w:tcPr>
            <w:tcW w:w="1883" w:type="dxa"/>
            <w:vAlign w:val="center"/>
          </w:tcPr>
          <w:p w:rsidR="00D6649C" w:rsidRDefault="00D265B1">
            <w:pPr>
              <w:jc w:val="center"/>
            </w:pPr>
            <w:r>
              <w:rPr>
                <w:color w:val="000000"/>
                <w:sz w:val="24"/>
                <w:szCs w:val="24"/>
              </w:rPr>
              <w:t>1</w:t>
            </w:r>
          </w:p>
        </w:tc>
        <w:tc>
          <w:tcPr>
            <w:tcW w:w="1801" w:type="dxa"/>
            <w:vAlign w:val="center"/>
          </w:tcPr>
          <w:p w:rsidR="00D6649C" w:rsidRDefault="00D265B1">
            <w:pPr>
              <w:jc w:val="center"/>
            </w:pPr>
            <w:r>
              <w:rPr>
                <w:color w:val="000000"/>
                <w:sz w:val="24"/>
                <w:szCs w:val="24"/>
              </w:rPr>
              <w:t>127002</w:t>
            </w:r>
          </w:p>
        </w:tc>
        <w:tc>
          <w:tcPr>
            <w:tcW w:w="1727" w:type="dxa"/>
            <w:vAlign w:val="center"/>
          </w:tcPr>
          <w:p w:rsidR="00D6649C" w:rsidRDefault="00D265B1">
            <w:pPr>
              <w:jc w:val="center"/>
            </w:pPr>
            <w:r>
              <w:rPr>
                <w:color w:val="000000"/>
                <w:sz w:val="24"/>
                <w:szCs w:val="24"/>
              </w:rPr>
              <w:t>徐工转债</w:t>
            </w:r>
          </w:p>
        </w:tc>
        <w:tc>
          <w:tcPr>
            <w:tcW w:w="1768" w:type="dxa"/>
            <w:vAlign w:val="center"/>
          </w:tcPr>
          <w:p w:rsidR="00D6649C" w:rsidRDefault="00D265B1">
            <w:pPr>
              <w:jc w:val="right"/>
            </w:pPr>
            <w:r>
              <w:rPr>
                <w:color w:val="000000"/>
                <w:sz w:val="24"/>
                <w:szCs w:val="24"/>
              </w:rPr>
              <w:t>71,394,553.71</w:t>
            </w:r>
          </w:p>
        </w:tc>
        <w:tc>
          <w:tcPr>
            <w:tcW w:w="1689" w:type="dxa"/>
            <w:vAlign w:val="center"/>
          </w:tcPr>
          <w:p w:rsidR="00D6649C" w:rsidRDefault="00D265B1">
            <w:pPr>
              <w:jc w:val="right"/>
            </w:pPr>
            <w:r>
              <w:rPr>
                <w:color w:val="000000"/>
                <w:sz w:val="24"/>
                <w:szCs w:val="24"/>
              </w:rPr>
              <w:t>4.57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646,332,630.20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980,979,577.03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370,293,980.17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1,257,018,227.06</w:t>
            </w:r>
          </w:p>
        </w:tc>
      </w:tr>
    </w:tbl>
    <w:p w:rsidR="00D6649C" w:rsidRDefault="00D265B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563D0A">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202,878,105.88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202,878,105.88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16.14</w:t>
            </w:r>
          </w:p>
        </w:tc>
      </w:tr>
    </w:tbl>
    <w:p w:rsidR="00D6649C" w:rsidRDefault="00D265B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563D0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563D0A" w:rsidP="00627CA4">
      <w:pPr>
        <w:spacing w:before="29" w:line="288" w:lineRule="auto"/>
        <w:rPr>
          <w:color w:val="000000"/>
          <w:sz w:val="24"/>
          <w:szCs w:val="24"/>
        </w:rPr>
      </w:pPr>
      <w:r>
        <w:rPr>
          <w:rFonts w:hint="eastAsia"/>
          <w:color w:val="000000"/>
          <w:sz w:val="24"/>
          <w:szCs w:val="24"/>
        </w:rPr>
        <w:t>1</w:t>
      </w:r>
      <w:r>
        <w:rPr>
          <w:rFonts w:hint="eastAsia"/>
          <w:color w:val="000000"/>
          <w:sz w:val="24"/>
          <w:szCs w:val="24"/>
        </w:rPr>
        <w:t>、</w:t>
      </w:r>
      <w:r w:rsidR="004061AC" w:rsidRPr="00414345">
        <w:rPr>
          <w:color w:val="000000"/>
          <w:sz w:val="24"/>
          <w:szCs w:val="24"/>
        </w:rPr>
        <w:t>依据中国证监会《关于进一步规范证券投资基金估值业务的指导意见》（证监会公告</w:t>
      </w:r>
      <w:r w:rsidR="004061AC" w:rsidRPr="00414345">
        <w:rPr>
          <w:color w:val="000000"/>
          <w:sz w:val="24"/>
          <w:szCs w:val="24"/>
        </w:rPr>
        <w:t>[2008]38</w:t>
      </w:r>
      <w:r w:rsidR="004061AC" w:rsidRPr="00414345">
        <w:rPr>
          <w:color w:val="000000"/>
          <w:sz w:val="24"/>
          <w:szCs w:val="24"/>
        </w:rPr>
        <w:t>号）的有关规定和《关于发布中基协（</w:t>
      </w:r>
      <w:r w:rsidR="004061AC" w:rsidRPr="00414345">
        <w:rPr>
          <w:color w:val="000000"/>
          <w:sz w:val="24"/>
          <w:szCs w:val="24"/>
        </w:rPr>
        <w:t>AMAC</w:t>
      </w:r>
      <w:r w:rsidR="004061AC" w:rsidRPr="00414345">
        <w:rPr>
          <w:color w:val="000000"/>
          <w:sz w:val="24"/>
          <w:szCs w:val="24"/>
        </w:rPr>
        <w:t>）基金行业股票估值指数的通知》的指导意见，经与基金托管人协商一致，本基金对其所持有的东华软件（证券代码：</w:t>
      </w:r>
      <w:r w:rsidR="004061AC" w:rsidRPr="00414345">
        <w:rPr>
          <w:color w:val="000000"/>
          <w:sz w:val="24"/>
          <w:szCs w:val="24"/>
        </w:rPr>
        <w:t>002065</w:t>
      </w:r>
      <w:r w:rsidR="004061AC" w:rsidRPr="00414345">
        <w:rPr>
          <w:color w:val="000000"/>
          <w:sz w:val="24"/>
          <w:szCs w:val="24"/>
        </w:rPr>
        <w:t>）股票自</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9</w:t>
      </w:r>
      <w:r w:rsidR="004061AC" w:rsidRPr="00414345">
        <w:rPr>
          <w:color w:val="000000"/>
          <w:sz w:val="24"/>
          <w:szCs w:val="24"/>
        </w:rPr>
        <w:t>月</w:t>
      </w:r>
      <w:r w:rsidR="004061AC" w:rsidRPr="00414345">
        <w:rPr>
          <w:color w:val="000000"/>
          <w:sz w:val="24"/>
          <w:szCs w:val="24"/>
        </w:rPr>
        <w:t>25</w:t>
      </w:r>
      <w:r w:rsidR="004061AC" w:rsidRPr="00414345">
        <w:rPr>
          <w:color w:val="000000"/>
          <w:sz w:val="24"/>
          <w:szCs w:val="24"/>
        </w:rPr>
        <w:t>日起按照指数收益法进行估值，并已于</w:t>
      </w:r>
      <w:r w:rsidR="004061AC" w:rsidRPr="00414345">
        <w:rPr>
          <w:color w:val="000000"/>
          <w:sz w:val="24"/>
          <w:szCs w:val="24"/>
        </w:rPr>
        <w:t>2014</w:t>
      </w:r>
      <w:r w:rsidR="004061AC" w:rsidRPr="00414345">
        <w:rPr>
          <w:color w:val="000000"/>
          <w:sz w:val="24"/>
          <w:szCs w:val="24"/>
        </w:rPr>
        <w:t>年</w:t>
      </w:r>
      <w:r w:rsidR="004061AC" w:rsidRPr="00414345">
        <w:rPr>
          <w:color w:val="000000"/>
          <w:sz w:val="24"/>
          <w:szCs w:val="24"/>
        </w:rPr>
        <w:t>11</w:t>
      </w:r>
      <w:r w:rsidR="004061AC" w:rsidRPr="00414345">
        <w:rPr>
          <w:color w:val="000000"/>
          <w:sz w:val="24"/>
          <w:szCs w:val="24"/>
        </w:rPr>
        <w:t>月</w:t>
      </w:r>
      <w:r w:rsidR="004061AC" w:rsidRPr="00414345">
        <w:rPr>
          <w:color w:val="000000"/>
          <w:sz w:val="24"/>
          <w:szCs w:val="24"/>
        </w:rPr>
        <w:t>19</w:t>
      </w:r>
      <w:r w:rsidR="004061AC" w:rsidRPr="00414345">
        <w:rPr>
          <w:color w:val="000000"/>
          <w:sz w:val="24"/>
          <w:szCs w:val="24"/>
        </w:rPr>
        <w:t>日恢复按市场价格进行估值。</w:t>
      </w:r>
    </w:p>
    <w:p w:rsidR="00082E36" w:rsidRDefault="00563D0A" w:rsidP="00627CA4">
      <w:pPr>
        <w:spacing w:before="29" w:line="288" w:lineRule="auto"/>
        <w:rPr>
          <w:color w:val="000000"/>
          <w:sz w:val="24"/>
          <w:szCs w:val="24"/>
        </w:rPr>
      </w:pPr>
      <w:r>
        <w:rPr>
          <w:rFonts w:hint="eastAsia"/>
          <w:color w:val="000000"/>
          <w:sz w:val="24"/>
          <w:szCs w:val="24"/>
        </w:rPr>
        <w:t>2</w:t>
      </w:r>
      <w:r>
        <w:rPr>
          <w:rFonts w:hint="eastAsia"/>
          <w:color w:val="000000"/>
          <w:sz w:val="24"/>
          <w:szCs w:val="24"/>
        </w:rPr>
        <w:t>、</w:t>
      </w:r>
      <w:r w:rsidR="00082E36">
        <w:rPr>
          <w:rFonts w:hint="eastAsia"/>
          <w:color w:val="000000"/>
          <w:sz w:val="24"/>
          <w:szCs w:val="24"/>
        </w:rPr>
        <w:t>本基金托管人</w:t>
      </w:r>
      <w:r w:rsidR="00082E36">
        <w:rPr>
          <w:color w:val="000000"/>
          <w:sz w:val="24"/>
          <w:szCs w:val="24"/>
        </w:rPr>
        <w:t>2014</w:t>
      </w:r>
      <w:r w:rsidR="00082E36">
        <w:rPr>
          <w:rFonts w:hint="eastAsia"/>
          <w:color w:val="000000"/>
          <w:sz w:val="24"/>
          <w:szCs w:val="24"/>
        </w:rPr>
        <w:t>年</w:t>
      </w:r>
      <w:r w:rsidR="00392A20">
        <w:rPr>
          <w:color w:val="000000"/>
          <w:sz w:val="24"/>
          <w:szCs w:val="24"/>
        </w:rPr>
        <w:t>11</w:t>
      </w:r>
      <w:r w:rsidR="00082E36">
        <w:rPr>
          <w:rFonts w:hint="eastAsia"/>
          <w:color w:val="000000"/>
          <w:sz w:val="24"/>
          <w:szCs w:val="24"/>
        </w:rPr>
        <w:t>月</w:t>
      </w:r>
      <w:r w:rsidR="00392A20">
        <w:rPr>
          <w:color w:val="000000"/>
          <w:sz w:val="24"/>
          <w:szCs w:val="24"/>
        </w:rPr>
        <w:t>3</w:t>
      </w:r>
      <w:bookmarkStart w:id="0" w:name="_GoBack"/>
      <w:bookmarkEnd w:id="0"/>
      <w:r w:rsidR="00082E36">
        <w:rPr>
          <w:rFonts w:hint="eastAsia"/>
          <w:color w:val="000000"/>
          <w:sz w:val="24"/>
          <w:szCs w:val="24"/>
        </w:rPr>
        <w:t>日发布公告，聘任赵观甫为中国建设银行投资托管业务部总经理。</w:t>
      </w:r>
    </w:p>
    <w:p w:rsidR="00ED6E80" w:rsidRPr="00082E36" w:rsidRDefault="00ED6E80" w:rsidP="00C15CAC">
      <w:pPr>
        <w:spacing w:before="29" w:line="288" w:lineRule="auto"/>
        <w:ind w:firstLineChars="200" w:firstLine="480"/>
        <w:rPr>
          <w:color w:val="000000"/>
          <w:sz w:val="24"/>
          <w:szCs w:val="24"/>
        </w:rPr>
      </w:pPr>
    </w:p>
    <w:p w:rsidR="00B22DEE" w:rsidRPr="00E02660" w:rsidRDefault="004061AC" w:rsidP="00563D0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D6649C" w:rsidRDefault="00D265B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D6649C" w:rsidRDefault="00D265B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D6649C" w:rsidRDefault="00D265B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D6649C" w:rsidRDefault="00D265B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D6649C" w:rsidRDefault="00D265B1">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D6649C" w:rsidRDefault="00D265B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6649C" w:rsidRDefault="00D265B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D6649C" w:rsidRDefault="00D265B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323" w:rsidRDefault="00673323" w:rsidP="00876D65">
      <w:r>
        <w:separator/>
      </w:r>
    </w:p>
  </w:endnote>
  <w:endnote w:type="continuationSeparator" w:id="0">
    <w:p w:rsidR="00673323" w:rsidRDefault="0067332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465244">
      <w:rPr>
        <w:kern w:val="0"/>
        <w:szCs w:val="21"/>
      </w:rPr>
      <w:fldChar w:fldCharType="begin"/>
    </w:r>
    <w:r>
      <w:rPr>
        <w:kern w:val="0"/>
        <w:szCs w:val="21"/>
      </w:rPr>
      <w:instrText xml:space="preserve"> PAGE </w:instrText>
    </w:r>
    <w:r w:rsidR="00465244">
      <w:rPr>
        <w:kern w:val="0"/>
        <w:szCs w:val="21"/>
      </w:rPr>
      <w:fldChar w:fldCharType="separate"/>
    </w:r>
    <w:r w:rsidR="00392A20">
      <w:rPr>
        <w:noProof/>
        <w:kern w:val="0"/>
        <w:szCs w:val="21"/>
      </w:rPr>
      <w:t>10</w:t>
    </w:r>
    <w:r w:rsidR="00465244">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465244">
      <w:rPr>
        <w:kern w:val="0"/>
        <w:szCs w:val="21"/>
      </w:rPr>
      <w:fldChar w:fldCharType="begin"/>
    </w:r>
    <w:r>
      <w:rPr>
        <w:kern w:val="0"/>
        <w:szCs w:val="21"/>
      </w:rPr>
      <w:instrText xml:space="preserve"> NUMPAGES </w:instrText>
    </w:r>
    <w:r w:rsidR="00465244">
      <w:rPr>
        <w:kern w:val="0"/>
        <w:szCs w:val="21"/>
      </w:rPr>
      <w:fldChar w:fldCharType="separate"/>
    </w:r>
    <w:r w:rsidR="00392A20">
      <w:rPr>
        <w:noProof/>
        <w:kern w:val="0"/>
        <w:szCs w:val="21"/>
      </w:rPr>
      <w:t>11</w:t>
    </w:r>
    <w:r w:rsidR="00465244">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323" w:rsidRDefault="00673323" w:rsidP="00876D65">
      <w:r>
        <w:separator/>
      </w:r>
    </w:p>
  </w:footnote>
  <w:footnote w:type="continuationSeparator" w:id="0">
    <w:p w:rsidR="00673323" w:rsidRDefault="0067332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2E36"/>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2A20"/>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65244"/>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3D0A"/>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CA4"/>
    <w:rsid w:val="00627E2D"/>
    <w:rsid w:val="00627EDE"/>
    <w:rsid w:val="00631ED8"/>
    <w:rsid w:val="006326E3"/>
    <w:rsid w:val="00632B0F"/>
    <w:rsid w:val="00636DB7"/>
    <w:rsid w:val="0063783A"/>
    <w:rsid w:val="006423B9"/>
    <w:rsid w:val="00642FA0"/>
    <w:rsid w:val="00653458"/>
    <w:rsid w:val="00654B0D"/>
    <w:rsid w:val="0065599B"/>
    <w:rsid w:val="00655CD8"/>
    <w:rsid w:val="00655E1C"/>
    <w:rsid w:val="006571DC"/>
    <w:rsid w:val="00660D4B"/>
    <w:rsid w:val="00664ECC"/>
    <w:rsid w:val="00670547"/>
    <w:rsid w:val="00670989"/>
    <w:rsid w:val="00672A26"/>
    <w:rsid w:val="00673323"/>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4EC1"/>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65B1"/>
    <w:rsid w:val="00D272A5"/>
    <w:rsid w:val="00D346D9"/>
    <w:rsid w:val="00D43AFB"/>
    <w:rsid w:val="00D44EE8"/>
    <w:rsid w:val="00D57B7C"/>
    <w:rsid w:val="00D65B44"/>
    <w:rsid w:val="00D6649C"/>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11BE3C2-7FF5-41F4-B87C-99FC4C5D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4800">
      <w:bodyDiv w:val="1"/>
      <w:marLeft w:val="0"/>
      <w:marRight w:val="0"/>
      <w:marTop w:val="0"/>
      <w:marBottom w:val="0"/>
      <w:divBdr>
        <w:top w:val="none" w:sz="0" w:space="0" w:color="auto"/>
        <w:left w:val="none" w:sz="0" w:space="0" w:color="auto"/>
        <w:bottom w:val="none" w:sz="0" w:space="0" w:color="auto"/>
        <w:right w:val="none" w:sz="0" w:space="0" w:color="auto"/>
      </w:divBdr>
    </w:div>
    <w:div w:id="194773141">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AC1A1-5394-42F7-92D8-C51E5E5E2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11</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564</cp:revision>
  <dcterms:created xsi:type="dcterms:W3CDTF">2012-10-16T06:07:00Z</dcterms:created>
  <dcterms:modified xsi:type="dcterms:W3CDTF">2015-01-20T06:47:00Z</dcterms:modified>
</cp:coreProperties>
</file>