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bookmarkStart w:id="0" w:name="_GoBack"/>
      <w:bookmarkEnd w:id="0"/>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交银施罗德上证</w:t>
      </w:r>
      <w:r w:rsidRPr="006C615F">
        <w:rPr>
          <w:b/>
          <w:sz w:val="36"/>
          <w:szCs w:val="36"/>
        </w:rPr>
        <w:t>180</w:t>
      </w:r>
      <w:r w:rsidRPr="006C615F">
        <w:rPr>
          <w:b/>
          <w:sz w:val="36"/>
          <w:szCs w:val="36"/>
        </w:rPr>
        <w:t>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2014</w:t>
      </w:r>
      <w:r w:rsidRPr="006C615F">
        <w:rPr>
          <w:b/>
          <w:sz w:val="36"/>
          <w:szCs w:val="36"/>
        </w:rPr>
        <w:t>年第</w:t>
      </w:r>
      <w:r w:rsidRPr="006C615F">
        <w:rPr>
          <w:b/>
          <w:sz w:val="36"/>
          <w:szCs w:val="36"/>
        </w:rPr>
        <w:t>4</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2014</w:t>
      </w:r>
      <w:r w:rsidRPr="006C615F">
        <w:rPr>
          <w:b/>
          <w:sz w:val="36"/>
          <w:szCs w:val="36"/>
        </w:rPr>
        <w:t>年</w:t>
      </w:r>
      <w:r w:rsidRPr="006C615F">
        <w:rPr>
          <w:b/>
          <w:sz w:val="36"/>
          <w:szCs w:val="36"/>
        </w:rPr>
        <w:t>12</w:t>
      </w:r>
      <w:r w:rsidRPr="006C615F">
        <w:rPr>
          <w:b/>
          <w:sz w:val="36"/>
          <w:szCs w:val="36"/>
        </w:rPr>
        <w:t>月</w:t>
      </w:r>
      <w:r w:rsidRPr="006C615F">
        <w:rPr>
          <w:b/>
          <w:sz w:val="36"/>
          <w:szCs w:val="36"/>
        </w:rPr>
        <w:t>31</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二〇一五年一月二十二日</w:t>
      </w:r>
    </w:p>
    <w:p w:rsidR="00220542" w:rsidRPr="00324C76" w:rsidRDefault="00220542" w:rsidP="00D621B5">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5D189E" w:rsidRDefault="00E050C9">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D189E" w:rsidRDefault="00E050C9">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1</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D189E" w:rsidRDefault="00E050C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D189E" w:rsidRDefault="00E050C9">
      <w:pPr>
        <w:spacing w:before="29" w:line="288" w:lineRule="auto"/>
        <w:ind w:firstLineChars="200" w:firstLine="480"/>
        <w:rPr>
          <w:color w:val="000000"/>
          <w:sz w:val="24"/>
        </w:rPr>
      </w:pPr>
      <w:r>
        <w:rPr>
          <w:color w:val="000000"/>
          <w:sz w:val="24"/>
        </w:rPr>
        <w:t>基金的过往业绩并不代表其未来表现。投资有风险，投资者在作出</w:t>
      </w:r>
      <w:r>
        <w:rPr>
          <w:color w:val="000000"/>
          <w:sz w:val="24"/>
        </w:rPr>
        <w:t>投资决策前应仔细阅读本基金的招募说明书。</w:t>
      </w:r>
      <w:r>
        <w:rPr>
          <w:color w:val="000000"/>
          <w:sz w:val="24"/>
        </w:rPr>
        <w:t xml:space="preserve"> </w:t>
      </w:r>
    </w:p>
    <w:p w:rsidR="005D189E" w:rsidRDefault="00E050C9">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2014</w:t>
      </w:r>
      <w:r w:rsidRPr="00324C76">
        <w:rPr>
          <w:color w:val="000000"/>
          <w:sz w:val="24"/>
        </w:rPr>
        <w:t>年</w:t>
      </w:r>
      <w:r w:rsidRPr="00324C76">
        <w:rPr>
          <w:color w:val="000000"/>
          <w:sz w:val="24"/>
        </w:rPr>
        <w:t>10</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12</w:t>
      </w:r>
      <w:r w:rsidRPr="00324C76">
        <w:rPr>
          <w:color w:val="000000"/>
          <w:sz w:val="24"/>
        </w:rPr>
        <w:t>月</w:t>
      </w:r>
      <w:r w:rsidRPr="00324C76">
        <w:rPr>
          <w:color w:val="000000"/>
          <w:sz w:val="24"/>
        </w:rPr>
        <w:t>31</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D621B5">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1" w:name="_Toc245193810"/>
      <w:r w:rsidRPr="00324C76">
        <w:rPr>
          <w:rFonts w:ascii="Times New Roman" w:hAnsi="Times New Roman" w:cs="Times New Roman"/>
          <w:szCs w:val="24"/>
        </w:rPr>
        <w:t>2.1</w:t>
      </w:r>
      <w:bookmarkEnd w:id="1"/>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479"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C1750D">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C1750D">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479"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1,714,581,217.63</w:t>
            </w:r>
            <w:r w:rsidR="0083349B" w:rsidRPr="00324C76">
              <w:rPr>
                <w:color w:val="000000"/>
                <w:kern w:val="0"/>
                <w:sz w:val="24"/>
              </w:rPr>
              <w:t>份</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w:t>
            </w:r>
            <w:r w:rsidRPr="00324C76">
              <w:rPr>
                <w:color w:val="000000"/>
                <w:kern w:val="0"/>
                <w:sz w:val="24"/>
              </w:rPr>
              <w:lastRenderedPageBreak/>
              <w:t>相似的风险收益特征，属于证券投资基金中风险较高、收益较高的品种。</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基金管理人</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D621B5">
      <w:pPr>
        <w:pStyle w:val="1"/>
        <w:spacing w:beforeLines="100" w:before="312" w:afterLines="100" w:after="312" w:line="288" w:lineRule="auto"/>
        <w:jc w:val="center"/>
        <w:rPr>
          <w:kern w:val="0"/>
          <w:sz w:val="24"/>
          <w:szCs w:val="24"/>
        </w:rPr>
      </w:pPr>
      <w:r w:rsidRPr="00324C76">
        <w:rPr>
          <w:kern w:val="0"/>
          <w:sz w:val="24"/>
          <w:szCs w:val="24"/>
        </w:rPr>
        <w:lastRenderedPageBreak/>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E050C9" w:rsidRPr="00324C76" w:rsidTr="00E050C9">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2014</w:t>
            </w:r>
            <w:r w:rsidRPr="00324C76">
              <w:rPr>
                <w:color w:val="000000"/>
                <w:sz w:val="24"/>
              </w:rPr>
              <w:t>年</w:t>
            </w:r>
            <w:r w:rsidRPr="00324C76">
              <w:rPr>
                <w:color w:val="000000"/>
                <w:sz w:val="24"/>
              </w:rPr>
              <w:t>10</w:t>
            </w:r>
            <w:r w:rsidRPr="00324C76">
              <w:rPr>
                <w:color w:val="000000"/>
                <w:sz w:val="24"/>
              </w:rPr>
              <w:t>月</w:t>
            </w:r>
            <w:r w:rsidRPr="00324C76">
              <w:rPr>
                <w:color w:val="000000"/>
                <w:sz w:val="24"/>
              </w:rPr>
              <w:t>1</w:t>
            </w:r>
            <w:r w:rsidRPr="00324C76">
              <w:rPr>
                <w:color w:val="000000"/>
                <w:sz w:val="24"/>
              </w:rPr>
              <w:t>日</w:t>
            </w:r>
            <w:r w:rsidRPr="00324C76">
              <w:rPr>
                <w:color w:val="000000"/>
                <w:sz w:val="24"/>
              </w:rPr>
              <w:t>-2014</w:t>
            </w:r>
            <w:r w:rsidRPr="00324C76">
              <w:rPr>
                <w:color w:val="000000"/>
                <w:sz w:val="24"/>
              </w:rPr>
              <w:t>年</w:t>
            </w:r>
            <w:r w:rsidRPr="00324C76">
              <w:rPr>
                <w:color w:val="000000"/>
                <w:sz w:val="24"/>
              </w:rPr>
              <w:t>12</w:t>
            </w:r>
            <w:r w:rsidRPr="00324C76">
              <w:rPr>
                <w:color w:val="000000"/>
                <w:sz w:val="24"/>
              </w:rPr>
              <w:t>月</w:t>
            </w:r>
            <w:r w:rsidRPr="00324C76">
              <w:rPr>
                <w:color w:val="000000"/>
                <w:sz w:val="24"/>
              </w:rPr>
              <w:t>31</w:t>
            </w:r>
            <w:r w:rsidRPr="00324C76">
              <w:rPr>
                <w:color w:val="000000"/>
                <w:sz w:val="24"/>
              </w:rPr>
              <w:t>日</w:t>
            </w:r>
            <w:r w:rsidR="00F53C6A" w:rsidRPr="00324C76">
              <w:rPr>
                <w:color w:val="000000"/>
                <w:kern w:val="0"/>
                <w:sz w:val="24"/>
              </w:rPr>
              <w:t>)</w:t>
            </w:r>
          </w:p>
        </w:tc>
      </w:tr>
      <w:tr w:rsidR="00E050C9" w:rsidRPr="00324C76" w:rsidTr="00E050C9">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94,740,589.39</w:t>
            </w:r>
          </w:p>
        </w:tc>
      </w:tr>
      <w:tr w:rsidR="00E050C9" w:rsidRPr="00324C76" w:rsidTr="00E050C9">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878,264,856.25</w:t>
            </w:r>
          </w:p>
        </w:tc>
      </w:tr>
      <w:tr w:rsidR="00E050C9" w:rsidRPr="00324C76" w:rsidTr="00E050C9">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0.3982</w:t>
            </w:r>
          </w:p>
        </w:tc>
      </w:tr>
      <w:tr w:rsidR="00E050C9" w:rsidRPr="00324C76" w:rsidTr="00E050C9">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2,035,557,648.30</w:t>
            </w:r>
          </w:p>
        </w:tc>
      </w:tr>
      <w:tr w:rsidR="00E050C9" w:rsidRPr="00324C76" w:rsidTr="00E050C9">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1.187</w:t>
            </w:r>
          </w:p>
        </w:tc>
      </w:tr>
    </w:tbl>
    <w:p w:rsidR="005D189E" w:rsidRDefault="00E050C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5D189E">
        <w:trPr>
          <w:jc w:val="center"/>
        </w:trPr>
        <w:tc>
          <w:tcPr>
            <w:tcW w:w="1469" w:type="dxa"/>
            <w:vAlign w:val="center"/>
          </w:tcPr>
          <w:p w:rsidR="005D189E" w:rsidRDefault="00E050C9">
            <w:pPr>
              <w:jc w:val="left"/>
            </w:pPr>
            <w:r>
              <w:rPr>
                <w:color w:val="000000"/>
                <w:sz w:val="24"/>
              </w:rPr>
              <w:t>过去三个月</w:t>
            </w:r>
          </w:p>
        </w:tc>
        <w:tc>
          <w:tcPr>
            <w:tcW w:w="1150" w:type="dxa"/>
            <w:vAlign w:val="center"/>
          </w:tcPr>
          <w:p w:rsidR="005D189E" w:rsidRDefault="00E050C9">
            <w:pPr>
              <w:jc w:val="center"/>
            </w:pPr>
            <w:r>
              <w:rPr>
                <w:color w:val="000000"/>
                <w:sz w:val="24"/>
              </w:rPr>
              <w:t>54.56%</w:t>
            </w:r>
          </w:p>
        </w:tc>
        <w:tc>
          <w:tcPr>
            <w:tcW w:w="1223" w:type="dxa"/>
            <w:vAlign w:val="center"/>
          </w:tcPr>
          <w:p w:rsidR="005D189E" w:rsidRDefault="00E050C9">
            <w:pPr>
              <w:jc w:val="center"/>
            </w:pPr>
            <w:r>
              <w:rPr>
                <w:color w:val="000000"/>
                <w:sz w:val="24"/>
              </w:rPr>
              <w:t>1.85%</w:t>
            </w:r>
          </w:p>
        </w:tc>
        <w:tc>
          <w:tcPr>
            <w:tcW w:w="1244" w:type="dxa"/>
            <w:vAlign w:val="center"/>
          </w:tcPr>
          <w:p w:rsidR="005D189E" w:rsidRDefault="00E050C9">
            <w:pPr>
              <w:jc w:val="center"/>
            </w:pPr>
            <w:r>
              <w:rPr>
                <w:color w:val="000000"/>
                <w:sz w:val="24"/>
              </w:rPr>
              <w:t>54.75%</w:t>
            </w:r>
          </w:p>
        </w:tc>
        <w:tc>
          <w:tcPr>
            <w:tcW w:w="1251" w:type="dxa"/>
            <w:vAlign w:val="center"/>
          </w:tcPr>
          <w:p w:rsidR="005D189E" w:rsidRDefault="00E050C9">
            <w:pPr>
              <w:jc w:val="center"/>
            </w:pPr>
            <w:r>
              <w:rPr>
                <w:color w:val="000000"/>
                <w:sz w:val="24"/>
              </w:rPr>
              <w:t>1.88%</w:t>
            </w:r>
          </w:p>
        </w:tc>
        <w:tc>
          <w:tcPr>
            <w:tcW w:w="1263" w:type="dxa"/>
            <w:vAlign w:val="center"/>
          </w:tcPr>
          <w:p w:rsidR="005D189E" w:rsidRDefault="00E050C9">
            <w:pPr>
              <w:jc w:val="center"/>
            </w:pPr>
            <w:r>
              <w:rPr>
                <w:color w:val="000000"/>
                <w:sz w:val="24"/>
              </w:rPr>
              <w:t>-0.19%</w:t>
            </w:r>
          </w:p>
        </w:tc>
        <w:tc>
          <w:tcPr>
            <w:tcW w:w="1268" w:type="dxa"/>
            <w:vAlign w:val="center"/>
          </w:tcPr>
          <w:p w:rsidR="005D189E" w:rsidRDefault="00E050C9">
            <w:pPr>
              <w:jc w:val="center"/>
            </w:pPr>
            <w:r>
              <w:rPr>
                <w:color w:val="000000"/>
                <w:sz w:val="24"/>
              </w:rPr>
              <w:t>-0.03%</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交银施罗德上证</w:t>
      </w:r>
      <w:r w:rsidRPr="00324C76">
        <w:rPr>
          <w:sz w:val="24"/>
        </w:rPr>
        <w:t>180</w:t>
      </w:r>
      <w:r w:rsidRPr="00324C76">
        <w:rPr>
          <w:sz w:val="24"/>
        </w:rPr>
        <w:t>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2014</w:t>
      </w:r>
      <w:r w:rsidRPr="00324C76">
        <w:rPr>
          <w:color w:val="000000"/>
          <w:kern w:val="0"/>
          <w:sz w:val="24"/>
        </w:rPr>
        <w:t>年</w:t>
      </w:r>
      <w:r w:rsidRPr="00324C76">
        <w:rPr>
          <w:color w:val="000000"/>
          <w:kern w:val="0"/>
          <w:sz w:val="24"/>
        </w:rPr>
        <w:t>12</w:t>
      </w:r>
      <w:r w:rsidRPr="00324C76">
        <w:rPr>
          <w:color w:val="000000"/>
          <w:kern w:val="0"/>
          <w:sz w:val="24"/>
        </w:rPr>
        <w:t>月</w:t>
      </w:r>
      <w:r w:rsidRPr="00324C76">
        <w:rPr>
          <w:color w:val="000000"/>
          <w:kern w:val="0"/>
          <w:sz w:val="24"/>
        </w:rPr>
        <w:t>31</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D621B5">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5D189E">
        <w:trPr>
          <w:jc w:val="center"/>
        </w:trPr>
        <w:tc>
          <w:tcPr>
            <w:tcW w:w="846" w:type="dxa"/>
            <w:vAlign w:val="center"/>
          </w:tcPr>
          <w:p w:rsidR="005D189E" w:rsidRDefault="00E050C9">
            <w:pPr>
              <w:jc w:val="center"/>
            </w:pPr>
            <w:r>
              <w:rPr>
                <w:color w:val="000000"/>
                <w:sz w:val="24"/>
              </w:rPr>
              <w:t>蔡铮</w:t>
            </w:r>
          </w:p>
        </w:tc>
        <w:tc>
          <w:tcPr>
            <w:tcW w:w="845" w:type="dxa"/>
            <w:vAlign w:val="center"/>
          </w:tcPr>
          <w:p w:rsidR="005D189E" w:rsidRDefault="00E050C9">
            <w:pPr>
              <w:jc w:val="center"/>
            </w:pPr>
            <w:r>
              <w:rPr>
                <w:color w:val="000000"/>
                <w:sz w:val="24"/>
              </w:rPr>
              <w:t>本基金及上证</w:t>
            </w:r>
            <w:r>
              <w:rPr>
                <w:color w:val="000000"/>
                <w:sz w:val="24"/>
              </w:rPr>
              <w:t>180</w:t>
            </w:r>
            <w:r>
              <w:rPr>
                <w:color w:val="000000"/>
                <w:sz w:val="24"/>
              </w:rPr>
              <w:t>公司治理</w:t>
            </w:r>
            <w:r>
              <w:rPr>
                <w:color w:val="000000"/>
                <w:sz w:val="24"/>
              </w:rPr>
              <w:t>ETF</w:t>
            </w:r>
            <w:r>
              <w:rPr>
                <w:color w:val="000000"/>
                <w:sz w:val="24"/>
              </w:rPr>
              <w:t>、交银深证</w:t>
            </w:r>
            <w:r>
              <w:rPr>
                <w:color w:val="000000"/>
                <w:sz w:val="24"/>
              </w:rPr>
              <w:t>300</w:t>
            </w:r>
            <w:r>
              <w:rPr>
                <w:color w:val="000000"/>
                <w:sz w:val="24"/>
              </w:rPr>
              <w:t>价值</w:t>
            </w:r>
            <w:r>
              <w:rPr>
                <w:color w:val="000000"/>
                <w:sz w:val="24"/>
              </w:rPr>
              <w:t>ETF</w:t>
            </w:r>
            <w:r>
              <w:rPr>
                <w:color w:val="000000"/>
                <w:sz w:val="24"/>
              </w:rPr>
              <w:t>及其联接基金、交银沪深</w:t>
            </w:r>
            <w:r>
              <w:rPr>
                <w:color w:val="000000"/>
                <w:sz w:val="24"/>
              </w:rPr>
              <w:t>300</w:t>
            </w:r>
            <w:r>
              <w:rPr>
                <w:color w:val="000000"/>
                <w:sz w:val="24"/>
              </w:rPr>
              <w:t>分层等权指数基金基金经理，公司量化投资部助理总经理</w:t>
            </w:r>
          </w:p>
        </w:tc>
        <w:tc>
          <w:tcPr>
            <w:tcW w:w="1549" w:type="dxa"/>
            <w:vAlign w:val="center"/>
          </w:tcPr>
          <w:p w:rsidR="005D189E" w:rsidRDefault="00E050C9">
            <w:pPr>
              <w:jc w:val="center"/>
            </w:pPr>
            <w:r>
              <w:rPr>
                <w:color w:val="000000"/>
                <w:sz w:val="24"/>
              </w:rPr>
              <w:t>2012-12-27</w:t>
            </w:r>
          </w:p>
        </w:tc>
        <w:tc>
          <w:tcPr>
            <w:tcW w:w="1548" w:type="dxa"/>
            <w:vAlign w:val="center"/>
          </w:tcPr>
          <w:p w:rsidR="005D189E" w:rsidRDefault="00E050C9">
            <w:pPr>
              <w:jc w:val="center"/>
            </w:pPr>
            <w:r>
              <w:rPr>
                <w:color w:val="000000"/>
                <w:sz w:val="24"/>
              </w:rPr>
              <w:t>-</w:t>
            </w:r>
          </w:p>
        </w:tc>
        <w:tc>
          <w:tcPr>
            <w:tcW w:w="1407" w:type="dxa"/>
            <w:vAlign w:val="center"/>
          </w:tcPr>
          <w:p w:rsidR="005D189E" w:rsidRDefault="00E050C9">
            <w:pPr>
              <w:jc w:val="center"/>
            </w:pPr>
            <w:r>
              <w:rPr>
                <w:color w:val="000000"/>
                <w:sz w:val="24"/>
              </w:rPr>
              <w:t>5</w:t>
            </w:r>
            <w:r>
              <w:rPr>
                <w:color w:val="000000"/>
                <w:sz w:val="24"/>
              </w:rPr>
              <w:t>年</w:t>
            </w:r>
          </w:p>
        </w:tc>
        <w:tc>
          <w:tcPr>
            <w:tcW w:w="2673" w:type="dxa"/>
            <w:vAlign w:val="center"/>
          </w:tcPr>
          <w:p w:rsidR="005D189E" w:rsidRDefault="00E050C9">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 xml:space="preserve"> </w:t>
      </w:r>
      <w:r w:rsidRPr="00324C76">
        <w:rPr>
          <w:sz w:val="24"/>
        </w:rPr>
        <w:t>公平交易制度的执行情况</w:t>
      </w:r>
    </w:p>
    <w:p w:rsidR="005D189E" w:rsidRDefault="00E050C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D189E" w:rsidRDefault="00E050C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D189E" w:rsidRDefault="00E050C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w:t>
      </w:r>
      <w:r w:rsidRPr="00324C76">
        <w:rPr>
          <w:color w:val="000000"/>
          <w:sz w:val="24"/>
        </w:rPr>
        <w:t>,</w:t>
      </w:r>
      <w:r w:rsidRPr="00324C76">
        <w:rPr>
          <w:color w:val="000000"/>
          <w:sz w:val="24"/>
        </w:rPr>
        <w:t>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5D189E" w:rsidRDefault="00E050C9">
      <w:pPr>
        <w:spacing w:before="29" w:line="288" w:lineRule="auto"/>
        <w:ind w:firstLineChars="200" w:firstLine="480"/>
        <w:rPr>
          <w:color w:val="000000"/>
          <w:sz w:val="24"/>
        </w:rPr>
      </w:pPr>
      <w:r>
        <w:rPr>
          <w:color w:val="000000"/>
          <w:sz w:val="24"/>
        </w:rPr>
        <w:t>2014</w:t>
      </w:r>
      <w:r>
        <w:rPr>
          <w:color w:val="000000"/>
          <w:sz w:val="24"/>
        </w:rPr>
        <w:t>年四季度资本市场表现相当强劲，大小盘分化严重，代表低估值蓝筹股的指数表现较为突出，增量资金入市引发的低估值板块价值重估是市场表现的主要线索。本基金为跟踪基准指数的指数基金，在本报告期内获得较为可喜的上涨。</w:t>
      </w:r>
    </w:p>
    <w:p w:rsidR="004D6E34" w:rsidRPr="00324C76" w:rsidRDefault="00E27AF2" w:rsidP="00B04217">
      <w:pPr>
        <w:spacing w:before="29" w:line="288" w:lineRule="auto"/>
        <w:ind w:firstLineChars="200" w:firstLine="480"/>
        <w:rPr>
          <w:color w:val="000000"/>
          <w:sz w:val="24"/>
        </w:rPr>
      </w:pPr>
      <w:r w:rsidRPr="00324C76">
        <w:rPr>
          <w:color w:val="000000"/>
          <w:sz w:val="24"/>
        </w:rPr>
        <w:t>展望未来，在微刺激的经济政策背景下，预计货币政策仍将保持相对稳定，经济增速较为平稳，股市在温和的外部环境下预计整体风险不大。在整体政策着力于改革与结构调整的大趋势下，预期市场或仍将延续价值修复的过程。</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2014</w:t>
      </w:r>
      <w:r w:rsidRPr="00324C76">
        <w:rPr>
          <w:color w:val="000000"/>
          <w:sz w:val="24"/>
        </w:rPr>
        <w:t>年</w:t>
      </w:r>
      <w:r w:rsidRPr="00324C76">
        <w:rPr>
          <w:color w:val="000000"/>
          <w:sz w:val="24"/>
        </w:rPr>
        <w:t>12</w:t>
      </w:r>
      <w:r w:rsidRPr="00324C76">
        <w:rPr>
          <w:color w:val="000000"/>
          <w:sz w:val="24"/>
        </w:rPr>
        <w:t>月</w:t>
      </w:r>
      <w:r w:rsidRPr="00324C76">
        <w:rPr>
          <w:color w:val="000000"/>
          <w:sz w:val="24"/>
        </w:rPr>
        <w:t>31</w:t>
      </w:r>
      <w:r w:rsidRPr="00324C76">
        <w:rPr>
          <w:color w:val="000000"/>
          <w:sz w:val="24"/>
        </w:rPr>
        <w:t>日，本基金份额净值为</w:t>
      </w:r>
      <w:r w:rsidRPr="00324C76">
        <w:rPr>
          <w:color w:val="000000"/>
          <w:sz w:val="24"/>
        </w:rPr>
        <w:t>1.187</w:t>
      </w:r>
      <w:r w:rsidRPr="00324C76">
        <w:rPr>
          <w:color w:val="000000"/>
          <w:sz w:val="24"/>
        </w:rPr>
        <w:t>元，本报告期份额净值增长率为</w:t>
      </w:r>
      <w:r w:rsidRPr="00324C76">
        <w:rPr>
          <w:color w:val="000000"/>
          <w:sz w:val="24"/>
        </w:rPr>
        <w:t>54.56%</w:t>
      </w:r>
      <w:r w:rsidRPr="00324C76">
        <w:rPr>
          <w:color w:val="000000"/>
          <w:sz w:val="24"/>
        </w:rPr>
        <w:t>，同期业绩比较基准增长率为</w:t>
      </w:r>
      <w:r w:rsidRPr="00324C76">
        <w:rPr>
          <w:color w:val="000000"/>
          <w:sz w:val="24"/>
        </w:rPr>
        <w:t>54.75%</w:t>
      </w:r>
      <w:r w:rsidRPr="00324C76">
        <w:rPr>
          <w:color w:val="000000"/>
          <w:sz w:val="24"/>
        </w:rPr>
        <w:t>。本报告期内本基金的日均跟踪偏离度为</w:t>
      </w:r>
      <w:r w:rsidRPr="00324C76">
        <w:rPr>
          <w:color w:val="000000"/>
          <w:sz w:val="24"/>
        </w:rPr>
        <w:t>0.08%</w:t>
      </w:r>
      <w:r w:rsidRPr="00324C76">
        <w:rPr>
          <w:color w:val="000000"/>
          <w:sz w:val="24"/>
        </w:rPr>
        <w:t>，跟踪误差为</w:t>
      </w:r>
      <w:r w:rsidRPr="00324C76">
        <w:rPr>
          <w:color w:val="000000"/>
          <w:sz w:val="24"/>
        </w:rPr>
        <w:t>0.10%</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D621B5">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15,956,235.99</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0.76</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15,956,235.99</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0.76</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1,915,033,003.23</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90.86</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60,058,000.00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2.85</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60,058,000.00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2.85</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75,691,101.71</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3.59</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40,828,549.17</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1.94</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2,107,566,890.10</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5D189E">
        <w:trPr>
          <w:jc w:val="center"/>
        </w:trPr>
        <w:tc>
          <w:tcPr>
            <w:tcW w:w="1265" w:type="dxa"/>
            <w:vAlign w:val="center"/>
          </w:tcPr>
          <w:p w:rsidR="005D189E" w:rsidRDefault="00E050C9">
            <w:pPr>
              <w:jc w:val="center"/>
            </w:pPr>
            <w:r>
              <w:rPr>
                <w:sz w:val="24"/>
              </w:rPr>
              <w:t>1</w:t>
            </w:r>
          </w:p>
        </w:tc>
        <w:tc>
          <w:tcPr>
            <w:tcW w:w="1266" w:type="dxa"/>
            <w:vAlign w:val="center"/>
          </w:tcPr>
          <w:p w:rsidR="005D189E" w:rsidRDefault="00E050C9">
            <w:pPr>
              <w:jc w:val="center"/>
            </w:pPr>
            <w:r>
              <w:rPr>
                <w:sz w:val="24"/>
              </w:rPr>
              <w:t>上证</w:t>
            </w:r>
            <w:r>
              <w:rPr>
                <w:sz w:val="24"/>
              </w:rPr>
              <w:t>180</w:t>
            </w:r>
            <w:r>
              <w:rPr>
                <w:sz w:val="24"/>
              </w:rPr>
              <w:t>公司治理交易型开放式指数证券投资基金</w:t>
            </w:r>
          </w:p>
        </w:tc>
        <w:tc>
          <w:tcPr>
            <w:tcW w:w="1267" w:type="dxa"/>
            <w:vAlign w:val="center"/>
          </w:tcPr>
          <w:p w:rsidR="005D189E" w:rsidRDefault="00E050C9">
            <w:pPr>
              <w:jc w:val="center"/>
            </w:pPr>
            <w:r>
              <w:rPr>
                <w:sz w:val="24"/>
              </w:rPr>
              <w:t>股票型</w:t>
            </w:r>
          </w:p>
        </w:tc>
        <w:tc>
          <w:tcPr>
            <w:tcW w:w="1267" w:type="dxa"/>
            <w:vAlign w:val="center"/>
          </w:tcPr>
          <w:p w:rsidR="005D189E" w:rsidRDefault="00E050C9">
            <w:pPr>
              <w:jc w:val="center"/>
            </w:pPr>
            <w:r>
              <w:rPr>
                <w:sz w:val="24"/>
              </w:rPr>
              <w:t>交易型开放式</w:t>
            </w:r>
          </w:p>
        </w:tc>
        <w:tc>
          <w:tcPr>
            <w:tcW w:w="1267" w:type="dxa"/>
            <w:vAlign w:val="center"/>
          </w:tcPr>
          <w:p w:rsidR="005D189E" w:rsidRDefault="00E050C9">
            <w:pPr>
              <w:jc w:val="center"/>
            </w:pPr>
            <w:r>
              <w:rPr>
                <w:sz w:val="24"/>
              </w:rPr>
              <w:t>交银施罗德基金管理有限公司</w:t>
            </w:r>
          </w:p>
        </w:tc>
        <w:tc>
          <w:tcPr>
            <w:tcW w:w="1268" w:type="dxa"/>
            <w:vAlign w:val="center"/>
          </w:tcPr>
          <w:p w:rsidR="005D189E" w:rsidRDefault="00E050C9">
            <w:pPr>
              <w:jc w:val="right"/>
            </w:pPr>
            <w:r>
              <w:rPr>
                <w:sz w:val="24"/>
              </w:rPr>
              <w:t>1,915,033,003.23</w:t>
            </w:r>
          </w:p>
        </w:tc>
        <w:tc>
          <w:tcPr>
            <w:tcW w:w="1268" w:type="dxa"/>
            <w:vAlign w:val="center"/>
          </w:tcPr>
          <w:p w:rsidR="005D189E" w:rsidRDefault="00E050C9">
            <w:pPr>
              <w:jc w:val="right"/>
            </w:pPr>
            <w:r>
              <w:rPr>
                <w:sz w:val="24"/>
              </w:rPr>
              <w:t>94.08</w:t>
            </w:r>
          </w:p>
        </w:tc>
      </w:tr>
    </w:tbl>
    <w:p w:rsidR="00C640D9" w:rsidRPr="00324C76" w:rsidRDefault="00C640D9"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33,694.08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527,570.05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6,094,290.59</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0.30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536,824.77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680,952.55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120,033.83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401,475.35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259,004.01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5,872,745.00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0.29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1,332,381.62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97,264.14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15,956,235.99</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0.78</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5D189E">
        <w:trPr>
          <w:jc w:val="center"/>
        </w:trPr>
        <w:tc>
          <w:tcPr>
            <w:tcW w:w="849" w:type="dxa"/>
            <w:vAlign w:val="center"/>
          </w:tcPr>
          <w:p w:rsidR="005D189E" w:rsidRDefault="00E050C9">
            <w:pPr>
              <w:jc w:val="center"/>
            </w:pPr>
            <w:r>
              <w:rPr>
                <w:color w:val="000000"/>
                <w:sz w:val="24"/>
              </w:rPr>
              <w:t>1</w:t>
            </w:r>
          </w:p>
        </w:tc>
        <w:tc>
          <w:tcPr>
            <w:tcW w:w="1327" w:type="dxa"/>
            <w:vAlign w:val="center"/>
          </w:tcPr>
          <w:p w:rsidR="005D189E" w:rsidRDefault="00E050C9">
            <w:pPr>
              <w:jc w:val="center"/>
            </w:pPr>
            <w:r>
              <w:rPr>
                <w:color w:val="000000"/>
                <w:sz w:val="24"/>
              </w:rPr>
              <w:t>601766</w:t>
            </w:r>
          </w:p>
        </w:tc>
        <w:tc>
          <w:tcPr>
            <w:tcW w:w="1621" w:type="dxa"/>
            <w:vAlign w:val="center"/>
          </w:tcPr>
          <w:p w:rsidR="005D189E" w:rsidRDefault="00E050C9">
            <w:pPr>
              <w:jc w:val="center"/>
            </w:pPr>
            <w:r>
              <w:rPr>
                <w:color w:val="000000"/>
                <w:sz w:val="24"/>
              </w:rPr>
              <w:t>中国南车</w:t>
            </w:r>
          </w:p>
        </w:tc>
        <w:tc>
          <w:tcPr>
            <w:tcW w:w="1769" w:type="dxa"/>
            <w:vAlign w:val="center"/>
          </w:tcPr>
          <w:p w:rsidR="005D189E" w:rsidRDefault="00E050C9">
            <w:pPr>
              <w:jc w:val="right"/>
            </w:pPr>
            <w:r>
              <w:rPr>
                <w:color w:val="000000"/>
                <w:sz w:val="24"/>
              </w:rPr>
              <w:t>225,292</w:t>
            </w:r>
          </w:p>
        </w:tc>
        <w:tc>
          <w:tcPr>
            <w:tcW w:w="2211" w:type="dxa"/>
            <w:vAlign w:val="center"/>
          </w:tcPr>
          <w:p w:rsidR="005D189E" w:rsidRDefault="00E050C9">
            <w:pPr>
              <w:jc w:val="right"/>
            </w:pPr>
            <w:r>
              <w:rPr>
                <w:color w:val="000000"/>
                <w:sz w:val="24"/>
              </w:rPr>
              <w:t>1,493,685.96</w:t>
            </w:r>
          </w:p>
        </w:tc>
        <w:tc>
          <w:tcPr>
            <w:tcW w:w="1091" w:type="dxa"/>
            <w:vAlign w:val="center"/>
          </w:tcPr>
          <w:p w:rsidR="005D189E" w:rsidRDefault="00E050C9">
            <w:pPr>
              <w:jc w:val="right"/>
            </w:pPr>
            <w:r>
              <w:rPr>
                <w:color w:val="000000"/>
                <w:sz w:val="24"/>
              </w:rPr>
              <w:t>0.07</w:t>
            </w:r>
          </w:p>
        </w:tc>
      </w:tr>
      <w:tr w:rsidR="005D189E">
        <w:trPr>
          <w:jc w:val="center"/>
        </w:trPr>
        <w:tc>
          <w:tcPr>
            <w:tcW w:w="849" w:type="dxa"/>
            <w:vAlign w:val="center"/>
          </w:tcPr>
          <w:p w:rsidR="005D189E" w:rsidRDefault="00E050C9">
            <w:pPr>
              <w:jc w:val="center"/>
            </w:pPr>
            <w:r>
              <w:rPr>
                <w:color w:val="000000"/>
                <w:sz w:val="24"/>
              </w:rPr>
              <w:t>2</w:t>
            </w:r>
          </w:p>
        </w:tc>
        <w:tc>
          <w:tcPr>
            <w:tcW w:w="1327" w:type="dxa"/>
            <w:vAlign w:val="center"/>
          </w:tcPr>
          <w:p w:rsidR="005D189E" w:rsidRDefault="00E050C9">
            <w:pPr>
              <w:jc w:val="center"/>
            </w:pPr>
            <w:r>
              <w:rPr>
                <w:color w:val="000000"/>
                <w:sz w:val="24"/>
              </w:rPr>
              <w:t>601299</w:t>
            </w:r>
          </w:p>
        </w:tc>
        <w:tc>
          <w:tcPr>
            <w:tcW w:w="1621" w:type="dxa"/>
            <w:vAlign w:val="center"/>
          </w:tcPr>
          <w:p w:rsidR="005D189E" w:rsidRDefault="00E050C9">
            <w:pPr>
              <w:jc w:val="center"/>
            </w:pPr>
            <w:r>
              <w:rPr>
                <w:color w:val="000000"/>
                <w:sz w:val="24"/>
              </w:rPr>
              <w:t>中国北车</w:t>
            </w:r>
          </w:p>
        </w:tc>
        <w:tc>
          <w:tcPr>
            <w:tcW w:w="1769" w:type="dxa"/>
            <w:vAlign w:val="center"/>
          </w:tcPr>
          <w:p w:rsidR="005D189E" w:rsidRDefault="00E050C9">
            <w:pPr>
              <w:jc w:val="right"/>
            </w:pPr>
            <w:r>
              <w:rPr>
                <w:color w:val="000000"/>
                <w:sz w:val="24"/>
              </w:rPr>
              <w:t>203,703</w:t>
            </w:r>
          </w:p>
        </w:tc>
        <w:tc>
          <w:tcPr>
            <w:tcW w:w="2211" w:type="dxa"/>
            <w:vAlign w:val="center"/>
          </w:tcPr>
          <w:p w:rsidR="005D189E" w:rsidRDefault="00E050C9">
            <w:pPr>
              <w:jc w:val="right"/>
            </w:pPr>
            <w:r>
              <w:rPr>
                <w:color w:val="000000"/>
                <w:sz w:val="24"/>
              </w:rPr>
              <w:t>1,446,291.30</w:t>
            </w:r>
          </w:p>
        </w:tc>
        <w:tc>
          <w:tcPr>
            <w:tcW w:w="1091" w:type="dxa"/>
            <w:vAlign w:val="center"/>
          </w:tcPr>
          <w:p w:rsidR="005D189E" w:rsidRDefault="00E050C9">
            <w:pPr>
              <w:jc w:val="right"/>
            </w:pPr>
            <w:r>
              <w:rPr>
                <w:color w:val="000000"/>
                <w:sz w:val="24"/>
              </w:rPr>
              <w:t>0.07</w:t>
            </w:r>
          </w:p>
        </w:tc>
      </w:tr>
      <w:tr w:rsidR="005D189E">
        <w:trPr>
          <w:jc w:val="center"/>
        </w:trPr>
        <w:tc>
          <w:tcPr>
            <w:tcW w:w="849" w:type="dxa"/>
            <w:vAlign w:val="center"/>
          </w:tcPr>
          <w:p w:rsidR="005D189E" w:rsidRDefault="00E050C9">
            <w:pPr>
              <w:jc w:val="center"/>
            </w:pPr>
            <w:r>
              <w:rPr>
                <w:color w:val="000000"/>
                <w:sz w:val="24"/>
              </w:rPr>
              <w:t>3</w:t>
            </w:r>
          </w:p>
        </w:tc>
        <w:tc>
          <w:tcPr>
            <w:tcW w:w="1327" w:type="dxa"/>
            <w:vAlign w:val="center"/>
          </w:tcPr>
          <w:p w:rsidR="005D189E" w:rsidRDefault="00E050C9">
            <w:pPr>
              <w:jc w:val="center"/>
            </w:pPr>
            <w:r>
              <w:rPr>
                <w:color w:val="000000"/>
                <w:sz w:val="24"/>
              </w:rPr>
              <w:t>600332</w:t>
            </w:r>
          </w:p>
        </w:tc>
        <w:tc>
          <w:tcPr>
            <w:tcW w:w="1621" w:type="dxa"/>
            <w:vAlign w:val="center"/>
          </w:tcPr>
          <w:p w:rsidR="005D189E" w:rsidRDefault="00E050C9">
            <w:pPr>
              <w:jc w:val="center"/>
            </w:pPr>
            <w:r>
              <w:rPr>
                <w:color w:val="000000"/>
                <w:sz w:val="24"/>
              </w:rPr>
              <w:t>白云山</w:t>
            </w:r>
          </w:p>
        </w:tc>
        <w:tc>
          <w:tcPr>
            <w:tcW w:w="1769" w:type="dxa"/>
            <w:vAlign w:val="center"/>
          </w:tcPr>
          <w:p w:rsidR="005D189E" w:rsidRDefault="00E050C9">
            <w:pPr>
              <w:jc w:val="right"/>
            </w:pPr>
            <w:r>
              <w:rPr>
                <w:color w:val="000000"/>
                <w:sz w:val="24"/>
              </w:rPr>
              <w:t>51,737</w:t>
            </w:r>
          </w:p>
        </w:tc>
        <w:tc>
          <w:tcPr>
            <w:tcW w:w="2211" w:type="dxa"/>
            <w:vAlign w:val="center"/>
          </w:tcPr>
          <w:p w:rsidR="005D189E" w:rsidRDefault="00E050C9">
            <w:pPr>
              <w:jc w:val="right"/>
            </w:pPr>
            <w:r>
              <w:rPr>
                <w:color w:val="000000"/>
                <w:sz w:val="24"/>
              </w:rPr>
              <w:t>1,402,590.07</w:t>
            </w:r>
          </w:p>
        </w:tc>
        <w:tc>
          <w:tcPr>
            <w:tcW w:w="1091" w:type="dxa"/>
            <w:vAlign w:val="center"/>
          </w:tcPr>
          <w:p w:rsidR="005D189E" w:rsidRDefault="00E050C9">
            <w:pPr>
              <w:jc w:val="right"/>
            </w:pPr>
            <w:r>
              <w:rPr>
                <w:color w:val="000000"/>
                <w:sz w:val="24"/>
              </w:rPr>
              <w:t>0.07</w:t>
            </w:r>
          </w:p>
        </w:tc>
      </w:tr>
      <w:tr w:rsidR="005D189E">
        <w:trPr>
          <w:jc w:val="center"/>
        </w:trPr>
        <w:tc>
          <w:tcPr>
            <w:tcW w:w="849" w:type="dxa"/>
            <w:vAlign w:val="center"/>
          </w:tcPr>
          <w:p w:rsidR="005D189E" w:rsidRDefault="00E050C9">
            <w:pPr>
              <w:jc w:val="center"/>
            </w:pPr>
            <w:r>
              <w:rPr>
                <w:color w:val="000000"/>
                <w:sz w:val="24"/>
              </w:rPr>
              <w:t>4</w:t>
            </w:r>
          </w:p>
        </w:tc>
        <w:tc>
          <w:tcPr>
            <w:tcW w:w="1327" w:type="dxa"/>
            <w:vAlign w:val="center"/>
          </w:tcPr>
          <w:p w:rsidR="005D189E" w:rsidRDefault="00E050C9">
            <w:pPr>
              <w:jc w:val="center"/>
            </w:pPr>
            <w:r>
              <w:rPr>
                <w:color w:val="000000"/>
                <w:sz w:val="24"/>
              </w:rPr>
              <w:t>600649</w:t>
            </w:r>
          </w:p>
        </w:tc>
        <w:tc>
          <w:tcPr>
            <w:tcW w:w="1621" w:type="dxa"/>
            <w:vAlign w:val="center"/>
          </w:tcPr>
          <w:p w:rsidR="005D189E" w:rsidRDefault="00E050C9">
            <w:pPr>
              <w:jc w:val="center"/>
            </w:pPr>
            <w:r>
              <w:rPr>
                <w:color w:val="000000"/>
                <w:sz w:val="24"/>
              </w:rPr>
              <w:t>城投控股</w:t>
            </w:r>
          </w:p>
        </w:tc>
        <w:tc>
          <w:tcPr>
            <w:tcW w:w="1769" w:type="dxa"/>
            <w:vAlign w:val="center"/>
          </w:tcPr>
          <w:p w:rsidR="005D189E" w:rsidRDefault="00E050C9">
            <w:pPr>
              <w:jc w:val="right"/>
            </w:pPr>
            <w:r>
              <w:rPr>
                <w:color w:val="000000"/>
                <w:sz w:val="24"/>
              </w:rPr>
              <w:t>143,579</w:t>
            </w:r>
          </w:p>
        </w:tc>
        <w:tc>
          <w:tcPr>
            <w:tcW w:w="2211" w:type="dxa"/>
            <w:vAlign w:val="center"/>
          </w:tcPr>
          <w:p w:rsidR="005D189E" w:rsidRDefault="00E050C9">
            <w:pPr>
              <w:jc w:val="right"/>
            </w:pPr>
            <w:r>
              <w:rPr>
                <w:color w:val="000000"/>
                <w:sz w:val="24"/>
              </w:rPr>
              <w:t>1,038,076.17</w:t>
            </w:r>
          </w:p>
        </w:tc>
        <w:tc>
          <w:tcPr>
            <w:tcW w:w="1091" w:type="dxa"/>
            <w:vAlign w:val="center"/>
          </w:tcPr>
          <w:p w:rsidR="005D189E" w:rsidRDefault="00E050C9">
            <w:pPr>
              <w:jc w:val="right"/>
            </w:pPr>
            <w:r>
              <w:rPr>
                <w:color w:val="000000"/>
                <w:sz w:val="24"/>
              </w:rPr>
              <w:t>0.05</w:t>
            </w:r>
          </w:p>
        </w:tc>
      </w:tr>
      <w:tr w:rsidR="005D189E">
        <w:trPr>
          <w:jc w:val="center"/>
        </w:trPr>
        <w:tc>
          <w:tcPr>
            <w:tcW w:w="849" w:type="dxa"/>
            <w:vAlign w:val="center"/>
          </w:tcPr>
          <w:p w:rsidR="005D189E" w:rsidRDefault="00E050C9">
            <w:pPr>
              <w:jc w:val="center"/>
            </w:pPr>
            <w:r>
              <w:rPr>
                <w:color w:val="000000"/>
                <w:sz w:val="24"/>
              </w:rPr>
              <w:t>5</w:t>
            </w:r>
          </w:p>
        </w:tc>
        <w:tc>
          <w:tcPr>
            <w:tcW w:w="1327" w:type="dxa"/>
            <w:vAlign w:val="center"/>
          </w:tcPr>
          <w:p w:rsidR="005D189E" w:rsidRDefault="00E050C9">
            <w:pPr>
              <w:jc w:val="center"/>
            </w:pPr>
            <w:r>
              <w:rPr>
                <w:color w:val="000000"/>
                <w:sz w:val="24"/>
              </w:rPr>
              <w:t>601318</w:t>
            </w:r>
          </w:p>
        </w:tc>
        <w:tc>
          <w:tcPr>
            <w:tcW w:w="1621" w:type="dxa"/>
            <w:vAlign w:val="center"/>
          </w:tcPr>
          <w:p w:rsidR="005D189E" w:rsidRDefault="00E050C9">
            <w:pPr>
              <w:jc w:val="center"/>
            </w:pPr>
            <w:r>
              <w:rPr>
                <w:color w:val="000000"/>
                <w:sz w:val="24"/>
              </w:rPr>
              <w:t>中国平安</w:t>
            </w:r>
          </w:p>
        </w:tc>
        <w:tc>
          <w:tcPr>
            <w:tcW w:w="1769" w:type="dxa"/>
            <w:vAlign w:val="center"/>
          </w:tcPr>
          <w:p w:rsidR="005D189E" w:rsidRDefault="00E050C9">
            <w:pPr>
              <w:jc w:val="right"/>
            </w:pPr>
            <w:r>
              <w:rPr>
                <w:color w:val="000000"/>
                <w:sz w:val="24"/>
              </w:rPr>
              <w:t>10,602</w:t>
            </w:r>
          </w:p>
        </w:tc>
        <w:tc>
          <w:tcPr>
            <w:tcW w:w="2211" w:type="dxa"/>
            <w:vAlign w:val="center"/>
          </w:tcPr>
          <w:p w:rsidR="005D189E" w:rsidRDefault="00E050C9">
            <w:pPr>
              <w:jc w:val="right"/>
            </w:pPr>
            <w:r>
              <w:rPr>
                <w:color w:val="000000"/>
                <w:sz w:val="24"/>
              </w:rPr>
              <w:t>792,075.42</w:t>
            </w:r>
          </w:p>
        </w:tc>
        <w:tc>
          <w:tcPr>
            <w:tcW w:w="1091" w:type="dxa"/>
            <w:vAlign w:val="center"/>
          </w:tcPr>
          <w:p w:rsidR="005D189E" w:rsidRDefault="00E050C9">
            <w:pPr>
              <w:jc w:val="right"/>
            </w:pPr>
            <w:r>
              <w:rPr>
                <w:color w:val="000000"/>
                <w:sz w:val="24"/>
              </w:rPr>
              <w:t>0.04</w:t>
            </w:r>
          </w:p>
        </w:tc>
      </w:tr>
      <w:tr w:rsidR="005D189E">
        <w:trPr>
          <w:jc w:val="center"/>
        </w:trPr>
        <w:tc>
          <w:tcPr>
            <w:tcW w:w="849" w:type="dxa"/>
            <w:vAlign w:val="center"/>
          </w:tcPr>
          <w:p w:rsidR="005D189E" w:rsidRDefault="00E050C9">
            <w:pPr>
              <w:jc w:val="center"/>
            </w:pPr>
            <w:r>
              <w:rPr>
                <w:color w:val="000000"/>
                <w:sz w:val="24"/>
              </w:rPr>
              <w:t>6</w:t>
            </w:r>
          </w:p>
        </w:tc>
        <w:tc>
          <w:tcPr>
            <w:tcW w:w="1327" w:type="dxa"/>
            <w:vAlign w:val="center"/>
          </w:tcPr>
          <w:p w:rsidR="005D189E" w:rsidRDefault="00E050C9">
            <w:pPr>
              <w:jc w:val="center"/>
            </w:pPr>
            <w:r>
              <w:rPr>
                <w:color w:val="000000"/>
                <w:sz w:val="24"/>
              </w:rPr>
              <w:t>600016</w:t>
            </w:r>
          </w:p>
        </w:tc>
        <w:tc>
          <w:tcPr>
            <w:tcW w:w="1621" w:type="dxa"/>
            <w:vAlign w:val="center"/>
          </w:tcPr>
          <w:p w:rsidR="005D189E" w:rsidRDefault="00E050C9">
            <w:pPr>
              <w:jc w:val="center"/>
            </w:pPr>
            <w:r>
              <w:rPr>
                <w:color w:val="000000"/>
                <w:sz w:val="24"/>
              </w:rPr>
              <w:t>民生银行</w:t>
            </w:r>
          </w:p>
        </w:tc>
        <w:tc>
          <w:tcPr>
            <w:tcW w:w="1769" w:type="dxa"/>
            <w:vAlign w:val="center"/>
          </w:tcPr>
          <w:p w:rsidR="005D189E" w:rsidRDefault="00E050C9">
            <w:pPr>
              <w:jc w:val="right"/>
            </w:pPr>
            <w:r>
              <w:rPr>
                <w:color w:val="000000"/>
                <w:sz w:val="24"/>
              </w:rPr>
              <w:t>60,039</w:t>
            </w:r>
          </w:p>
        </w:tc>
        <w:tc>
          <w:tcPr>
            <w:tcW w:w="2211" w:type="dxa"/>
            <w:vAlign w:val="center"/>
          </w:tcPr>
          <w:p w:rsidR="005D189E" w:rsidRDefault="00E050C9">
            <w:pPr>
              <w:jc w:val="right"/>
            </w:pPr>
            <w:r>
              <w:rPr>
                <w:color w:val="000000"/>
                <w:sz w:val="24"/>
              </w:rPr>
              <w:t>653,224.32</w:t>
            </w:r>
          </w:p>
        </w:tc>
        <w:tc>
          <w:tcPr>
            <w:tcW w:w="1091" w:type="dxa"/>
            <w:vAlign w:val="center"/>
          </w:tcPr>
          <w:p w:rsidR="005D189E" w:rsidRDefault="00E050C9">
            <w:pPr>
              <w:jc w:val="right"/>
            </w:pPr>
            <w:r>
              <w:rPr>
                <w:color w:val="000000"/>
                <w:sz w:val="24"/>
              </w:rPr>
              <w:t>0.03</w:t>
            </w:r>
          </w:p>
        </w:tc>
      </w:tr>
      <w:tr w:rsidR="005D189E">
        <w:trPr>
          <w:jc w:val="center"/>
        </w:trPr>
        <w:tc>
          <w:tcPr>
            <w:tcW w:w="849" w:type="dxa"/>
            <w:vAlign w:val="center"/>
          </w:tcPr>
          <w:p w:rsidR="005D189E" w:rsidRDefault="00E050C9">
            <w:pPr>
              <w:jc w:val="center"/>
            </w:pPr>
            <w:r>
              <w:rPr>
                <w:color w:val="000000"/>
                <w:sz w:val="24"/>
              </w:rPr>
              <w:t>7</w:t>
            </w:r>
          </w:p>
        </w:tc>
        <w:tc>
          <w:tcPr>
            <w:tcW w:w="1327" w:type="dxa"/>
            <w:vAlign w:val="center"/>
          </w:tcPr>
          <w:p w:rsidR="005D189E" w:rsidRDefault="00E050C9">
            <w:pPr>
              <w:jc w:val="center"/>
            </w:pPr>
            <w:r>
              <w:rPr>
                <w:color w:val="000000"/>
                <w:sz w:val="24"/>
              </w:rPr>
              <w:t>600036</w:t>
            </w:r>
          </w:p>
        </w:tc>
        <w:tc>
          <w:tcPr>
            <w:tcW w:w="1621" w:type="dxa"/>
            <w:vAlign w:val="center"/>
          </w:tcPr>
          <w:p w:rsidR="005D189E" w:rsidRDefault="00E050C9">
            <w:pPr>
              <w:jc w:val="center"/>
            </w:pPr>
            <w:r>
              <w:rPr>
                <w:color w:val="000000"/>
                <w:sz w:val="24"/>
              </w:rPr>
              <w:t>招商银行</w:t>
            </w:r>
          </w:p>
        </w:tc>
        <w:tc>
          <w:tcPr>
            <w:tcW w:w="1769" w:type="dxa"/>
            <w:vAlign w:val="center"/>
          </w:tcPr>
          <w:p w:rsidR="005D189E" w:rsidRDefault="00E050C9">
            <w:pPr>
              <w:jc w:val="right"/>
            </w:pPr>
            <w:r>
              <w:rPr>
                <w:color w:val="000000"/>
                <w:sz w:val="24"/>
              </w:rPr>
              <w:t>36,554</w:t>
            </w:r>
          </w:p>
        </w:tc>
        <w:tc>
          <w:tcPr>
            <w:tcW w:w="2211" w:type="dxa"/>
            <w:vAlign w:val="center"/>
          </w:tcPr>
          <w:p w:rsidR="005D189E" w:rsidRDefault="00E050C9">
            <w:pPr>
              <w:jc w:val="right"/>
            </w:pPr>
            <w:r>
              <w:rPr>
                <w:color w:val="000000"/>
                <w:sz w:val="24"/>
              </w:rPr>
              <w:t>606,430.86</w:t>
            </w:r>
          </w:p>
        </w:tc>
        <w:tc>
          <w:tcPr>
            <w:tcW w:w="1091" w:type="dxa"/>
            <w:vAlign w:val="center"/>
          </w:tcPr>
          <w:p w:rsidR="005D189E" w:rsidRDefault="00E050C9">
            <w:pPr>
              <w:jc w:val="right"/>
            </w:pPr>
            <w:r>
              <w:rPr>
                <w:color w:val="000000"/>
                <w:sz w:val="24"/>
              </w:rPr>
              <w:t>0.03</w:t>
            </w:r>
          </w:p>
        </w:tc>
      </w:tr>
      <w:tr w:rsidR="005D189E">
        <w:trPr>
          <w:jc w:val="center"/>
        </w:trPr>
        <w:tc>
          <w:tcPr>
            <w:tcW w:w="849" w:type="dxa"/>
            <w:vAlign w:val="center"/>
          </w:tcPr>
          <w:p w:rsidR="005D189E" w:rsidRDefault="00E050C9">
            <w:pPr>
              <w:jc w:val="center"/>
            </w:pPr>
            <w:r>
              <w:rPr>
                <w:color w:val="000000"/>
                <w:sz w:val="24"/>
              </w:rPr>
              <w:t>8</w:t>
            </w:r>
          </w:p>
        </w:tc>
        <w:tc>
          <w:tcPr>
            <w:tcW w:w="1327" w:type="dxa"/>
            <w:vAlign w:val="center"/>
          </w:tcPr>
          <w:p w:rsidR="005D189E" w:rsidRDefault="00E050C9">
            <w:pPr>
              <w:jc w:val="center"/>
            </w:pPr>
            <w:r>
              <w:rPr>
                <w:color w:val="000000"/>
                <w:sz w:val="24"/>
              </w:rPr>
              <w:t>600030</w:t>
            </w:r>
          </w:p>
        </w:tc>
        <w:tc>
          <w:tcPr>
            <w:tcW w:w="1621" w:type="dxa"/>
            <w:vAlign w:val="center"/>
          </w:tcPr>
          <w:p w:rsidR="005D189E" w:rsidRDefault="00E050C9">
            <w:pPr>
              <w:jc w:val="center"/>
            </w:pPr>
            <w:r>
              <w:rPr>
                <w:color w:val="000000"/>
                <w:sz w:val="24"/>
              </w:rPr>
              <w:t>中信证券</w:t>
            </w:r>
          </w:p>
        </w:tc>
        <w:tc>
          <w:tcPr>
            <w:tcW w:w="1769" w:type="dxa"/>
            <w:vAlign w:val="center"/>
          </w:tcPr>
          <w:p w:rsidR="005D189E" w:rsidRDefault="00E050C9">
            <w:pPr>
              <w:jc w:val="right"/>
            </w:pPr>
            <w:r>
              <w:rPr>
                <w:color w:val="000000"/>
                <w:sz w:val="24"/>
              </w:rPr>
              <w:t>17,434</w:t>
            </w:r>
          </w:p>
        </w:tc>
        <w:tc>
          <w:tcPr>
            <w:tcW w:w="2211" w:type="dxa"/>
            <w:vAlign w:val="center"/>
          </w:tcPr>
          <w:p w:rsidR="005D189E" w:rsidRDefault="00E050C9">
            <w:pPr>
              <w:jc w:val="right"/>
            </w:pPr>
            <w:r>
              <w:rPr>
                <w:color w:val="000000"/>
                <w:sz w:val="24"/>
              </w:rPr>
              <w:t>591,012.60</w:t>
            </w:r>
          </w:p>
        </w:tc>
        <w:tc>
          <w:tcPr>
            <w:tcW w:w="1091" w:type="dxa"/>
            <w:vAlign w:val="center"/>
          </w:tcPr>
          <w:p w:rsidR="005D189E" w:rsidRDefault="00E050C9">
            <w:pPr>
              <w:jc w:val="right"/>
            </w:pPr>
            <w:r>
              <w:rPr>
                <w:color w:val="000000"/>
                <w:sz w:val="24"/>
              </w:rPr>
              <w:t>0.03</w:t>
            </w:r>
          </w:p>
        </w:tc>
      </w:tr>
      <w:tr w:rsidR="005D189E">
        <w:trPr>
          <w:jc w:val="center"/>
        </w:trPr>
        <w:tc>
          <w:tcPr>
            <w:tcW w:w="849" w:type="dxa"/>
            <w:vAlign w:val="center"/>
          </w:tcPr>
          <w:p w:rsidR="005D189E" w:rsidRDefault="00E050C9">
            <w:pPr>
              <w:jc w:val="center"/>
            </w:pPr>
            <w:r>
              <w:rPr>
                <w:color w:val="000000"/>
                <w:sz w:val="24"/>
              </w:rPr>
              <w:t>9</w:t>
            </w:r>
          </w:p>
        </w:tc>
        <w:tc>
          <w:tcPr>
            <w:tcW w:w="1327" w:type="dxa"/>
            <w:vAlign w:val="center"/>
          </w:tcPr>
          <w:p w:rsidR="005D189E" w:rsidRDefault="00E050C9">
            <w:pPr>
              <w:jc w:val="center"/>
            </w:pPr>
            <w:r>
              <w:rPr>
                <w:color w:val="000000"/>
                <w:sz w:val="24"/>
              </w:rPr>
              <w:t>600837</w:t>
            </w:r>
          </w:p>
        </w:tc>
        <w:tc>
          <w:tcPr>
            <w:tcW w:w="1621" w:type="dxa"/>
            <w:vAlign w:val="center"/>
          </w:tcPr>
          <w:p w:rsidR="005D189E" w:rsidRDefault="00E050C9">
            <w:pPr>
              <w:jc w:val="center"/>
            </w:pPr>
            <w:r>
              <w:rPr>
                <w:color w:val="000000"/>
                <w:sz w:val="24"/>
              </w:rPr>
              <w:t>海通证券</w:t>
            </w:r>
          </w:p>
        </w:tc>
        <w:tc>
          <w:tcPr>
            <w:tcW w:w="1769" w:type="dxa"/>
            <w:vAlign w:val="center"/>
          </w:tcPr>
          <w:p w:rsidR="005D189E" w:rsidRDefault="00E050C9">
            <w:pPr>
              <w:jc w:val="right"/>
            </w:pPr>
            <w:r>
              <w:rPr>
                <w:color w:val="000000"/>
                <w:sz w:val="24"/>
              </w:rPr>
              <w:t>17,924</w:t>
            </w:r>
          </w:p>
        </w:tc>
        <w:tc>
          <w:tcPr>
            <w:tcW w:w="2211" w:type="dxa"/>
            <w:vAlign w:val="center"/>
          </w:tcPr>
          <w:p w:rsidR="005D189E" w:rsidRDefault="00E050C9">
            <w:pPr>
              <w:jc w:val="right"/>
            </w:pPr>
            <w:r>
              <w:rPr>
                <w:color w:val="000000"/>
                <w:sz w:val="24"/>
              </w:rPr>
              <w:t>431,251.44</w:t>
            </w:r>
          </w:p>
        </w:tc>
        <w:tc>
          <w:tcPr>
            <w:tcW w:w="1091" w:type="dxa"/>
            <w:vAlign w:val="center"/>
          </w:tcPr>
          <w:p w:rsidR="005D189E" w:rsidRDefault="00E050C9">
            <w:pPr>
              <w:jc w:val="right"/>
            </w:pPr>
            <w:r>
              <w:rPr>
                <w:color w:val="000000"/>
                <w:sz w:val="24"/>
              </w:rPr>
              <w:t>0.02</w:t>
            </w:r>
          </w:p>
        </w:tc>
      </w:tr>
      <w:tr w:rsidR="005D189E">
        <w:trPr>
          <w:jc w:val="center"/>
        </w:trPr>
        <w:tc>
          <w:tcPr>
            <w:tcW w:w="849" w:type="dxa"/>
            <w:vAlign w:val="center"/>
          </w:tcPr>
          <w:p w:rsidR="005D189E" w:rsidRDefault="00E050C9">
            <w:pPr>
              <w:jc w:val="center"/>
            </w:pPr>
            <w:r>
              <w:rPr>
                <w:color w:val="000000"/>
                <w:sz w:val="24"/>
              </w:rPr>
              <w:t>10</w:t>
            </w:r>
          </w:p>
        </w:tc>
        <w:tc>
          <w:tcPr>
            <w:tcW w:w="1327" w:type="dxa"/>
            <w:vAlign w:val="center"/>
          </w:tcPr>
          <w:p w:rsidR="005D189E" w:rsidRDefault="00E050C9">
            <w:pPr>
              <w:jc w:val="center"/>
            </w:pPr>
            <w:r>
              <w:rPr>
                <w:color w:val="000000"/>
                <w:sz w:val="24"/>
              </w:rPr>
              <w:t>601166</w:t>
            </w:r>
          </w:p>
        </w:tc>
        <w:tc>
          <w:tcPr>
            <w:tcW w:w="1621" w:type="dxa"/>
            <w:vAlign w:val="center"/>
          </w:tcPr>
          <w:p w:rsidR="005D189E" w:rsidRDefault="00E050C9">
            <w:pPr>
              <w:jc w:val="center"/>
            </w:pPr>
            <w:r>
              <w:rPr>
                <w:color w:val="000000"/>
                <w:sz w:val="24"/>
              </w:rPr>
              <w:t>兴业银行</w:t>
            </w:r>
          </w:p>
        </w:tc>
        <w:tc>
          <w:tcPr>
            <w:tcW w:w="1769" w:type="dxa"/>
            <w:vAlign w:val="center"/>
          </w:tcPr>
          <w:p w:rsidR="005D189E" w:rsidRDefault="00E050C9">
            <w:pPr>
              <w:jc w:val="right"/>
            </w:pPr>
            <w:r>
              <w:rPr>
                <w:color w:val="000000"/>
                <w:sz w:val="24"/>
              </w:rPr>
              <w:t>25,320</w:t>
            </w:r>
          </w:p>
        </w:tc>
        <w:tc>
          <w:tcPr>
            <w:tcW w:w="2211" w:type="dxa"/>
            <w:vAlign w:val="center"/>
          </w:tcPr>
          <w:p w:rsidR="005D189E" w:rsidRDefault="00E050C9">
            <w:pPr>
              <w:jc w:val="right"/>
            </w:pPr>
            <w:r>
              <w:rPr>
                <w:color w:val="000000"/>
                <w:sz w:val="24"/>
              </w:rPr>
              <w:t>417,780.00</w:t>
            </w:r>
          </w:p>
        </w:tc>
        <w:tc>
          <w:tcPr>
            <w:tcW w:w="1091" w:type="dxa"/>
            <w:vAlign w:val="center"/>
          </w:tcPr>
          <w:p w:rsidR="005D189E" w:rsidRDefault="00E050C9">
            <w:pPr>
              <w:jc w:val="right"/>
            </w:pPr>
            <w:r>
              <w:rPr>
                <w:color w:val="000000"/>
                <w:sz w:val="24"/>
              </w:rPr>
              <w:t>0.02</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326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债券品种</w:t>
            </w:r>
          </w:p>
        </w:tc>
        <w:tc>
          <w:tcPr>
            <w:tcW w:w="2694"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00E81ABD" w:rsidRPr="00324C76">
              <w:rPr>
                <w:color w:val="000000"/>
                <w:sz w:val="24"/>
              </w:rPr>
              <w:t>（元）</w:t>
            </w:r>
          </w:p>
        </w:tc>
        <w:tc>
          <w:tcPr>
            <w:tcW w:w="175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E81ABD"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1</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国家债券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2</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央行票据</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3</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金融债券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60,058,000.00</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2.95</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其中：政策性金融债</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60,058,000.00</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2.95</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4</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企业债券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5</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企业短期融资</w:t>
            </w:r>
            <w:r w:rsidR="00E147F9" w:rsidRPr="00324C76">
              <w:rPr>
                <w:color w:val="000000"/>
                <w:sz w:val="24"/>
              </w:rPr>
              <w:t>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6</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中期票据</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7</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可转债</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8</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其他</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9</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合计</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60,058,000.00</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2.95</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915"/>
        <w:gridCol w:w="1327"/>
        <w:gridCol w:w="1916"/>
        <w:gridCol w:w="1385"/>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418"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债券代码</w:t>
            </w:r>
          </w:p>
        </w:tc>
        <w:tc>
          <w:tcPr>
            <w:tcW w:w="184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债券名称</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A5725E" w:rsidRPr="00324C76">
              <w:rPr>
                <w:color w:val="000000"/>
                <w:sz w:val="24"/>
              </w:rPr>
              <w:t>（张）</w:t>
            </w:r>
          </w:p>
        </w:tc>
        <w:tc>
          <w:tcPr>
            <w:tcW w:w="1843"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33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D4512" w:rsidRPr="00324C76">
              <w:rPr>
                <w:color w:val="000000"/>
                <w:sz w:val="24"/>
              </w:rPr>
              <w:t>（％）</w:t>
            </w:r>
          </w:p>
        </w:tc>
      </w:tr>
      <w:tr w:rsidR="005D189E">
        <w:trPr>
          <w:jc w:val="center"/>
        </w:trPr>
        <w:tc>
          <w:tcPr>
            <w:tcW w:w="850" w:type="dxa"/>
            <w:vAlign w:val="center"/>
          </w:tcPr>
          <w:p w:rsidR="005D189E" w:rsidRDefault="00E050C9">
            <w:pPr>
              <w:jc w:val="center"/>
            </w:pPr>
            <w:r>
              <w:rPr>
                <w:color w:val="000000"/>
                <w:sz w:val="24"/>
              </w:rPr>
              <w:t>1</w:t>
            </w:r>
          </w:p>
        </w:tc>
        <w:tc>
          <w:tcPr>
            <w:tcW w:w="1475" w:type="dxa"/>
            <w:vAlign w:val="center"/>
          </w:tcPr>
          <w:p w:rsidR="005D189E" w:rsidRDefault="00E050C9">
            <w:pPr>
              <w:jc w:val="center"/>
            </w:pPr>
            <w:r>
              <w:rPr>
                <w:color w:val="000000"/>
                <w:sz w:val="24"/>
              </w:rPr>
              <w:t>140443</w:t>
            </w:r>
          </w:p>
        </w:tc>
        <w:tc>
          <w:tcPr>
            <w:tcW w:w="1915" w:type="dxa"/>
            <w:vAlign w:val="center"/>
          </w:tcPr>
          <w:p w:rsidR="005D189E" w:rsidRDefault="00E050C9">
            <w:pPr>
              <w:jc w:val="center"/>
            </w:pPr>
            <w:r>
              <w:rPr>
                <w:color w:val="000000"/>
                <w:sz w:val="24"/>
              </w:rPr>
              <w:t>14</w:t>
            </w:r>
            <w:r>
              <w:rPr>
                <w:color w:val="000000"/>
                <w:sz w:val="24"/>
              </w:rPr>
              <w:t>农发</w:t>
            </w:r>
            <w:r>
              <w:rPr>
                <w:color w:val="000000"/>
                <w:sz w:val="24"/>
              </w:rPr>
              <w:t>43</w:t>
            </w:r>
          </w:p>
        </w:tc>
        <w:tc>
          <w:tcPr>
            <w:tcW w:w="1327" w:type="dxa"/>
            <w:vAlign w:val="center"/>
          </w:tcPr>
          <w:p w:rsidR="005D189E" w:rsidRDefault="00E050C9">
            <w:pPr>
              <w:jc w:val="right"/>
            </w:pPr>
            <w:r>
              <w:rPr>
                <w:color w:val="000000"/>
                <w:sz w:val="24"/>
              </w:rPr>
              <w:t>200,000</w:t>
            </w:r>
          </w:p>
        </w:tc>
        <w:tc>
          <w:tcPr>
            <w:tcW w:w="1916" w:type="dxa"/>
            <w:vAlign w:val="center"/>
          </w:tcPr>
          <w:p w:rsidR="005D189E" w:rsidRDefault="00E050C9">
            <w:pPr>
              <w:jc w:val="right"/>
            </w:pPr>
            <w:r>
              <w:rPr>
                <w:color w:val="000000"/>
                <w:sz w:val="24"/>
              </w:rPr>
              <w:t>20,028,000.00</w:t>
            </w:r>
          </w:p>
        </w:tc>
        <w:tc>
          <w:tcPr>
            <w:tcW w:w="1385" w:type="dxa"/>
            <w:vAlign w:val="center"/>
          </w:tcPr>
          <w:p w:rsidR="005D189E" w:rsidRDefault="00E050C9">
            <w:pPr>
              <w:jc w:val="right"/>
            </w:pPr>
            <w:r>
              <w:rPr>
                <w:color w:val="000000"/>
                <w:sz w:val="24"/>
              </w:rPr>
              <w:t>0.98</w:t>
            </w:r>
          </w:p>
        </w:tc>
      </w:tr>
      <w:tr w:rsidR="005D189E">
        <w:trPr>
          <w:jc w:val="center"/>
        </w:trPr>
        <w:tc>
          <w:tcPr>
            <w:tcW w:w="850" w:type="dxa"/>
            <w:vAlign w:val="center"/>
          </w:tcPr>
          <w:p w:rsidR="005D189E" w:rsidRDefault="00E050C9">
            <w:pPr>
              <w:jc w:val="center"/>
            </w:pPr>
            <w:r>
              <w:rPr>
                <w:color w:val="000000"/>
                <w:sz w:val="24"/>
              </w:rPr>
              <w:t>2</w:t>
            </w:r>
          </w:p>
        </w:tc>
        <w:tc>
          <w:tcPr>
            <w:tcW w:w="1475" w:type="dxa"/>
            <w:vAlign w:val="center"/>
          </w:tcPr>
          <w:p w:rsidR="005D189E" w:rsidRDefault="00E050C9">
            <w:pPr>
              <w:jc w:val="center"/>
            </w:pPr>
            <w:r>
              <w:rPr>
                <w:color w:val="000000"/>
                <w:sz w:val="24"/>
              </w:rPr>
              <w:t>140436</w:t>
            </w:r>
          </w:p>
        </w:tc>
        <w:tc>
          <w:tcPr>
            <w:tcW w:w="1915" w:type="dxa"/>
            <w:vAlign w:val="center"/>
          </w:tcPr>
          <w:p w:rsidR="005D189E" w:rsidRDefault="00E050C9">
            <w:pPr>
              <w:jc w:val="center"/>
            </w:pPr>
            <w:r>
              <w:rPr>
                <w:color w:val="000000"/>
                <w:sz w:val="24"/>
              </w:rPr>
              <w:t>14</w:t>
            </w:r>
            <w:r>
              <w:rPr>
                <w:color w:val="000000"/>
                <w:sz w:val="24"/>
              </w:rPr>
              <w:t>农发</w:t>
            </w:r>
            <w:r>
              <w:rPr>
                <w:color w:val="000000"/>
                <w:sz w:val="24"/>
              </w:rPr>
              <w:t>36</w:t>
            </w:r>
          </w:p>
        </w:tc>
        <w:tc>
          <w:tcPr>
            <w:tcW w:w="1327" w:type="dxa"/>
            <w:vAlign w:val="center"/>
          </w:tcPr>
          <w:p w:rsidR="005D189E" w:rsidRDefault="00E050C9">
            <w:pPr>
              <w:jc w:val="right"/>
            </w:pPr>
            <w:r>
              <w:rPr>
                <w:color w:val="000000"/>
                <w:sz w:val="24"/>
              </w:rPr>
              <w:t>200,000</w:t>
            </w:r>
          </w:p>
        </w:tc>
        <w:tc>
          <w:tcPr>
            <w:tcW w:w="1916" w:type="dxa"/>
            <w:vAlign w:val="center"/>
          </w:tcPr>
          <w:p w:rsidR="005D189E" w:rsidRDefault="00E050C9">
            <w:pPr>
              <w:jc w:val="right"/>
            </w:pPr>
            <w:r>
              <w:rPr>
                <w:color w:val="000000"/>
                <w:sz w:val="24"/>
              </w:rPr>
              <w:t>20,026,000.00</w:t>
            </w:r>
          </w:p>
        </w:tc>
        <w:tc>
          <w:tcPr>
            <w:tcW w:w="1385" w:type="dxa"/>
            <w:vAlign w:val="center"/>
          </w:tcPr>
          <w:p w:rsidR="005D189E" w:rsidRDefault="00E050C9">
            <w:pPr>
              <w:jc w:val="right"/>
            </w:pPr>
            <w:r>
              <w:rPr>
                <w:color w:val="000000"/>
                <w:sz w:val="24"/>
              </w:rPr>
              <w:t>0.98</w:t>
            </w:r>
          </w:p>
        </w:tc>
      </w:tr>
      <w:tr w:rsidR="005D189E">
        <w:trPr>
          <w:jc w:val="center"/>
        </w:trPr>
        <w:tc>
          <w:tcPr>
            <w:tcW w:w="850" w:type="dxa"/>
            <w:vAlign w:val="center"/>
          </w:tcPr>
          <w:p w:rsidR="005D189E" w:rsidRDefault="00E050C9">
            <w:pPr>
              <w:jc w:val="center"/>
            </w:pPr>
            <w:r>
              <w:rPr>
                <w:color w:val="000000"/>
                <w:sz w:val="24"/>
              </w:rPr>
              <w:t>3</w:t>
            </w:r>
          </w:p>
        </w:tc>
        <w:tc>
          <w:tcPr>
            <w:tcW w:w="1475" w:type="dxa"/>
            <w:vAlign w:val="center"/>
          </w:tcPr>
          <w:p w:rsidR="005D189E" w:rsidRDefault="00E050C9">
            <w:pPr>
              <w:jc w:val="center"/>
            </w:pPr>
            <w:r>
              <w:rPr>
                <w:color w:val="000000"/>
                <w:sz w:val="24"/>
              </w:rPr>
              <w:t>140204</w:t>
            </w:r>
          </w:p>
        </w:tc>
        <w:tc>
          <w:tcPr>
            <w:tcW w:w="1915" w:type="dxa"/>
            <w:vAlign w:val="center"/>
          </w:tcPr>
          <w:p w:rsidR="005D189E" w:rsidRDefault="00E050C9">
            <w:pPr>
              <w:jc w:val="center"/>
            </w:pPr>
            <w:r>
              <w:rPr>
                <w:color w:val="000000"/>
                <w:sz w:val="24"/>
              </w:rPr>
              <w:t>14</w:t>
            </w:r>
            <w:r>
              <w:rPr>
                <w:color w:val="000000"/>
                <w:sz w:val="24"/>
              </w:rPr>
              <w:t>国开</w:t>
            </w:r>
            <w:r>
              <w:rPr>
                <w:color w:val="000000"/>
                <w:sz w:val="24"/>
              </w:rPr>
              <w:t>04</w:t>
            </w:r>
          </w:p>
        </w:tc>
        <w:tc>
          <w:tcPr>
            <w:tcW w:w="1327" w:type="dxa"/>
            <w:vAlign w:val="center"/>
          </w:tcPr>
          <w:p w:rsidR="005D189E" w:rsidRDefault="00E050C9">
            <w:pPr>
              <w:jc w:val="right"/>
            </w:pPr>
            <w:r>
              <w:rPr>
                <w:color w:val="000000"/>
                <w:sz w:val="24"/>
              </w:rPr>
              <w:t>200,000</w:t>
            </w:r>
          </w:p>
        </w:tc>
        <w:tc>
          <w:tcPr>
            <w:tcW w:w="1916" w:type="dxa"/>
            <w:vAlign w:val="center"/>
          </w:tcPr>
          <w:p w:rsidR="005D189E" w:rsidRDefault="00E050C9">
            <w:pPr>
              <w:jc w:val="right"/>
            </w:pPr>
            <w:r>
              <w:rPr>
                <w:color w:val="000000"/>
                <w:sz w:val="24"/>
              </w:rPr>
              <w:t>20,004,000.00</w:t>
            </w:r>
          </w:p>
        </w:tc>
        <w:tc>
          <w:tcPr>
            <w:tcW w:w="1385" w:type="dxa"/>
            <w:vAlign w:val="center"/>
          </w:tcPr>
          <w:p w:rsidR="005D189E" w:rsidRDefault="00E050C9">
            <w:pPr>
              <w:jc w:val="right"/>
            </w:pPr>
            <w:r>
              <w:rPr>
                <w:color w:val="000000"/>
                <w:sz w:val="24"/>
              </w:rPr>
              <w:t>0.98</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324C76" w:rsidRDefault="002A089C" w:rsidP="00B04217">
      <w:pPr>
        <w:autoSpaceDE w:val="0"/>
        <w:autoSpaceDN w:val="0"/>
        <w:adjustRightInd w:val="0"/>
        <w:spacing w:before="29" w:line="288" w:lineRule="auto"/>
        <w:jc w:val="left"/>
        <w:rPr>
          <w:szCs w:val="21"/>
        </w:rPr>
      </w:pPr>
      <w:r w:rsidRPr="00324C76">
        <w:rPr>
          <w:szCs w:val="21"/>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105,562.56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32,274,563.50</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1,791,722.05</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6,656,701.06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40,828,549.17</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324C76" w:rsidTr="00E42623">
        <w:trPr>
          <w:jc w:val="center"/>
        </w:trPr>
        <w:tc>
          <w:tcPr>
            <w:tcW w:w="1083"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02"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01"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0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5D189E">
        <w:trPr>
          <w:jc w:val="center"/>
        </w:trPr>
        <w:tc>
          <w:tcPr>
            <w:tcW w:w="1129" w:type="dxa"/>
            <w:vAlign w:val="center"/>
          </w:tcPr>
          <w:p w:rsidR="005D189E" w:rsidRDefault="00E050C9">
            <w:pPr>
              <w:jc w:val="center"/>
            </w:pPr>
            <w:r>
              <w:rPr>
                <w:color w:val="000000"/>
                <w:sz w:val="24"/>
              </w:rPr>
              <w:t>1</w:t>
            </w:r>
          </w:p>
        </w:tc>
        <w:tc>
          <w:tcPr>
            <w:tcW w:w="1356" w:type="dxa"/>
            <w:vAlign w:val="center"/>
          </w:tcPr>
          <w:p w:rsidR="005D189E" w:rsidRDefault="00E050C9">
            <w:pPr>
              <w:jc w:val="center"/>
            </w:pPr>
            <w:r>
              <w:rPr>
                <w:color w:val="000000"/>
                <w:sz w:val="24"/>
              </w:rPr>
              <w:t>600332</w:t>
            </w:r>
          </w:p>
        </w:tc>
        <w:tc>
          <w:tcPr>
            <w:tcW w:w="1355" w:type="dxa"/>
            <w:vAlign w:val="center"/>
          </w:tcPr>
          <w:p w:rsidR="005D189E" w:rsidRDefault="00E050C9">
            <w:pPr>
              <w:jc w:val="center"/>
            </w:pPr>
            <w:r>
              <w:rPr>
                <w:color w:val="000000"/>
                <w:sz w:val="24"/>
              </w:rPr>
              <w:t>白云山</w:t>
            </w:r>
          </w:p>
        </w:tc>
        <w:tc>
          <w:tcPr>
            <w:tcW w:w="1880" w:type="dxa"/>
            <w:vAlign w:val="center"/>
          </w:tcPr>
          <w:p w:rsidR="005D189E" w:rsidRDefault="00E050C9">
            <w:pPr>
              <w:jc w:val="right"/>
            </w:pPr>
            <w:r>
              <w:rPr>
                <w:color w:val="000000"/>
                <w:sz w:val="24"/>
              </w:rPr>
              <w:t>1,402,590.07</w:t>
            </w:r>
          </w:p>
        </w:tc>
        <w:tc>
          <w:tcPr>
            <w:tcW w:w="1724" w:type="dxa"/>
            <w:vAlign w:val="center"/>
          </w:tcPr>
          <w:p w:rsidR="005D189E" w:rsidRDefault="00E050C9">
            <w:pPr>
              <w:jc w:val="right"/>
            </w:pPr>
            <w:r>
              <w:rPr>
                <w:color w:val="000000"/>
                <w:sz w:val="24"/>
              </w:rPr>
              <w:t>0.07</w:t>
            </w:r>
          </w:p>
        </w:tc>
        <w:tc>
          <w:tcPr>
            <w:tcW w:w="1424" w:type="dxa"/>
            <w:vAlign w:val="center"/>
          </w:tcPr>
          <w:p w:rsidR="005D189E" w:rsidRDefault="00E050C9">
            <w:pPr>
              <w:jc w:val="right"/>
            </w:pPr>
            <w:r>
              <w:rPr>
                <w:color w:val="000000"/>
                <w:sz w:val="24"/>
              </w:rPr>
              <w:t>重大事项</w:t>
            </w:r>
          </w:p>
        </w:tc>
      </w:tr>
      <w:tr w:rsidR="005D189E">
        <w:trPr>
          <w:jc w:val="center"/>
        </w:trPr>
        <w:tc>
          <w:tcPr>
            <w:tcW w:w="1129" w:type="dxa"/>
            <w:vAlign w:val="center"/>
          </w:tcPr>
          <w:p w:rsidR="005D189E" w:rsidRDefault="00E050C9">
            <w:pPr>
              <w:jc w:val="center"/>
            </w:pPr>
            <w:r>
              <w:rPr>
                <w:color w:val="000000"/>
                <w:sz w:val="24"/>
              </w:rPr>
              <w:t>2</w:t>
            </w:r>
          </w:p>
        </w:tc>
        <w:tc>
          <w:tcPr>
            <w:tcW w:w="1356" w:type="dxa"/>
            <w:vAlign w:val="center"/>
          </w:tcPr>
          <w:p w:rsidR="005D189E" w:rsidRDefault="00E050C9">
            <w:pPr>
              <w:jc w:val="center"/>
            </w:pPr>
            <w:r>
              <w:rPr>
                <w:color w:val="000000"/>
                <w:sz w:val="24"/>
              </w:rPr>
              <w:t>600649</w:t>
            </w:r>
          </w:p>
        </w:tc>
        <w:tc>
          <w:tcPr>
            <w:tcW w:w="1355" w:type="dxa"/>
            <w:vAlign w:val="center"/>
          </w:tcPr>
          <w:p w:rsidR="005D189E" w:rsidRDefault="00E050C9">
            <w:pPr>
              <w:jc w:val="center"/>
            </w:pPr>
            <w:r>
              <w:rPr>
                <w:color w:val="000000"/>
                <w:sz w:val="24"/>
              </w:rPr>
              <w:t>城投控股</w:t>
            </w:r>
          </w:p>
        </w:tc>
        <w:tc>
          <w:tcPr>
            <w:tcW w:w="1880" w:type="dxa"/>
            <w:vAlign w:val="center"/>
          </w:tcPr>
          <w:p w:rsidR="005D189E" w:rsidRDefault="00E050C9">
            <w:pPr>
              <w:jc w:val="right"/>
            </w:pPr>
            <w:r>
              <w:rPr>
                <w:color w:val="000000"/>
                <w:sz w:val="24"/>
              </w:rPr>
              <w:t>1,038,076.17</w:t>
            </w:r>
          </w:p>
        </w:tc>
        <w:tc>
          <w:tcPr>
            <w:tcW w:w="1724" w:type="dxa"/>
            <w:vAlign w:val="center"/>
          </w:tcPr>
          <w:p w:rsidR="005D189E" w:rsidRDefault="00E050C9">
            <w:pPr>
              <w:jc w:val="right"/>
            </w:pPr>
            <w:r>
              <w:rPr>
                <w:color w:val="000000"/>
                <w:sz w:val="24"/>
              </w:rPr>
              <w:t>0.05</w:t>
            </w:r>
          </w:p>
        </w:tc>
        <w:tc>
          <w:tcPr>
            <w:tcW w:w="1424" w:type="dxa"/>
            <w:vAlign w:val="center"/>
          </w:tcPr>
          <w:p w:rsidR="005D189E" w:rsidRDefault="00E050C9">
            <w:pPr>
              <w:jc w:val="right"/>
            </w:pPr>
            <w:r>
              <w:rPr>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D621B5">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2,420,780,602.83</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201,961,067.75</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908,160,452.95</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1,714,581,217.63</w:t>
            </w:r>
          </w:p>
        </w:tc>
      </w:tr>
    </w:tbl>
    <w:p w:rsidR="005D189E" w:rsidRDefault="00E050C9">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D621B5">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220542" w:rsidRPr="00324C76" w:rsidRDefault="00220542" w:rsidP="00D621B5">
      <w:pPr>
        <w:pStyle w:val="1"/>
        <w:spacing w:beforeLines="100" w:before="312" w:afterLines="100" w:after="312" w:line="288" w:lineRule="auto"/>
        <w:jc w:val="center"/>
        <w:rPr>
          <w:kern w:val="0"/>
          <w:sz w:val="24"/>
          <w:szCs w:val="24"/>
        </w:rPr>
      </w:pPr>
      <w:r w:rsidRPr="00324C76">
        <w:rPr>
          <w:kern w:val="0"/>
          <w:sz w:val="24"/>
          <w:szCs w:val="24"/>
        </w:rPr>
        <w:t>§</w:t>
      </w:r>
      <w:r w:rsidR="0083066D" w:rsidRPr="00324C76">
        <w:rPr>
          <w:kern w:val="0"/>
          <w:sz w:val="24"/>
          <w:szCs w:val="24"/>
        </w:rPr>
        <w:t>8</w:t>
      </w:r>
      <w:r w:rsidR="0084595F" w:rsidRPr="00324C76">
        <w:rPr>
          <w:kern w:val="0"/>
          <w:sz w:val="24"/>
          <w:szCs w:val="24"/>
        </w:rPr>
        <w:t xml:space="preserve"> </w:t>
      </w:r>
      <w:r w:rsidRPr="00324C76">
        <w:rPr>
          <w:kern w:val="0"/>
          <w:sz w:val="24"/>
          <w:szCs w:val="24"/>
        </w:rPr>
        <w:t>影响投资者决策的其他重要信息</w:t>
      </w:r>
    </w:p>
    <w:p w:rsidR="00220542" w:rsidRPr="00324C76" w:rsidRDefault="00A40C1C" w:rsidP="00B04217">
      <w:pPr>
        <w:spacing w:before="29" w:line="288" w:lineRule="auto"/>
        <w:ind w:firstLineChars="200" w:firstLine="480"/>
        <w:rPr>
          <w:color w:val="000000"/>
          <w:sz w:val="24"/>
        </w:rPr>
      </w:pPr>
      <w:r w:rsidRPr="00324C76">
        <w:rPr>
          <w:color w:val="000000"/>
          <w:sz w:val="24"/>
        </w:rPr>
        <w:t>依据中国证监会《关于进一步规范证券投资基金估值业务的指导意见》（证监会公告</w:t>
      </w:r>
      <w:r w:rsidRPr="00324C76">
        <w:rPr>
          <w:color w:val="000000"/>
          <w:sz w:val="24"/>
        </w:rPr>
        <w:t>[2008]38</w:t>
      </w:r>
      <w:r w:rsidRPr="00324C76">
        <w:rPr>
          <w:color w:val="000000"/>
          <w:sz w:val="24"/>
        </w:rPr>
        <w:t>号）的有关规定和《关于发布中基协（</w:t>
      </w:r>
      <w:r w:rsidRPr="00324C76">
        <w:rPr>
          <w:color w:val="000000"/>
          <w:sz w:val="24"/>
        </w:rPr>
        <w:t>AMAC</w:t>
      </w:r>
      <w:r w:rsidRPr="00324C76">
        <w:rPr>
          <w:color w:val="000000"/>
          <w:sz w:val="24"/>
        </w:rPr>
        <w:t>）基金行业股票估值指数的通知》的指导意见，经与基金托管人协商一致，本基金对其所持有的中国南车（证券代码：</w:t>
      </w:r>
      <w:r w:rsidRPr="00324C76">
        <w:rPr>
          <w:color w:val="000000"/>
          <w:sz w:val="24"/>
        </w:rPr>
        <w:t>601766</w:t>
      </w:r>
      <w:r w:rsidRPr="00324C76">
        <w:rPr>
          <w:color w:val="000000"/>
          <w:sz w:val="24"/>
        </w:rPr>
        <w:t>）股票自</w:t>
      </w:r>
      <w:r w:rsidRPr="00324C76">
        <w:rPr>
          <w:color w:val="000000"/>
          <w:sz w:val="24"/>
        </w:rPr>
        <w:t>2014</w:t>
      </w:r>
      <w:r w:rsidRPr="00324C76">
        <w:rPr>
          <w:color w:val="000000"/>
          <w:sz w:val="24"/>
        </w:rPr>
        <w:t>年</w:t>
      </w:r>
      <w:r w:rsidRPr="00324C76">
        <w:rPr>
          <w:color w:val="000000"/>
          <w:sz w:val="24"/>
        </w:rPr>
        <w:t>12</w:t>
      </w:r>
      <w:r w:rsidRPr="00324C76">
        <w:rPr>
          <w:color w:val="000000"/>
          <w:sz w:val="24"/>
        </w:rPr>
        <w:t>月</w:t>
      </w:r>
      <w:r w:rsidRPr="00324C76">
        <w:rPr>
          <w:color w:val="000000"/>
          <w:sz w:val="24"/>
        </w:rPr>
        <w:t>8</w:t>
      </w:r>
      <w:r w:rsidRPr="00324C76">
        <w:rPr>
          <w:color w:val="000000"/>
          <w:sz w:val="24"/>
        </w:rPr>
        <w:t>日起按照指数收益法进行估值，并已于</w:t>
      </w:r>
      <w:r w:rsidRPr="00324C76">
        <w:rPr>
          <w:color w:val="000000"/>
          <w:sz w:val="24"/>
        </w:rPr>
        <w:t>2015</w:t>
      </w:r>
      <w:r w:rsidRPr="00324C76">
        <w:rPr>
          <w:color w:val="000000"/>
          <w:sz w:val="24"/>
        </w:rPr>
        <w:t>年</w:t>
      </w:r>
      <w:r w:rsidRPr="00324C76">
        <w:rPr>
          <w:color w:val="000000"/>
          <w:sz w:val="24"/>
        </w:rPr>
        <w:t>1</w:t>
      </w:r>
      <w:r w:rsidRPr="00324C76">
        <w:rPr>
          <w:color w:val="000000"/>
          <w:sz w:val="24"/>
        </w:rPr>
        <w:t>月</w:t>
      </w:r>
      <w:r w:rsidRPr="00324C76">
        <w:rPr>
          <w:color w:val="000000"/>
          <w:sz w:val="24"/>
        </w:rPr>
        <w:t>5</w:t>
      </w:r>
      <w:r w:rsidRPr="00324C76">
        <w:rPr>
          <w:color w:val="000000"/>
          <w:sz w:val="24"/>
        </w:rPr>
        <w:t>日起恢复按市场价格进行估值。</w:t>
      </w:r>
    </w:p>
    <w:p w:rsidR="00E42623" w:rsidRPr="00324C76" w:rsidRDefault="00E42623" w:rsidP="00B04217">
      <w:pPr>
        <w:spacing w:before="29" w:line="288" w:lineRule="auto"/>
        <w:ind w:firstLineChars="200" w:firstLine="480"/>
        <w:rPr>
          <w:color w:val="000000"/>
          <w:sz w:val="24"/>
        </w:rPr>
      </w:pPr>
    </w:p>
    <w:p w:rsidR="006A0A24" w:rsidRPr="00495FAB" w:rsidRDefault="00220542" w:rsidP="00D621B5">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9</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9</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5D189E" w:rsidRDefault="00E050C9">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5D189E" w:rsidRDefault="00E050C9">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5D189E" w:rsidRDefault="00E050C9">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5D189E" w:rsidRDefault="00E050C9">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5D189E" w:rsidRDefault="00E050C9">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5D189E" w:rsidRDefault="00E050C9">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5D189E" w:rsidRDefault="00E050C9">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9.3</w:t>
      </w:r>
      <w:r w:rsidR="00446862" w:rsidRPr="00324C76">
        <w:rPr>
          <w:b/>
          <w:sz w:val="24"/>
        </w:rPr>
        <w:t xml:space="preserve"> </w:t>
      </w:r>
      <w:r w:rsidR="00220542" w:rsidRPr="00324C76">
        <w:rPr>
          <w:b/>
          <w:sz w:val="24"/>
        </w:rPr>
        <w:t>查阅方式</w:t>
      </w:r>
    </w:p>
    <w:p w:rsidR="005D189E" w:rsidRDefault="00E050C9">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38E" w:rsidRDefault="0005338E">
      <w:r>
        <w:separator/>
      </w:r>
    </w:p>
  </w:endnote>
  <w:endnote w:type="continuationSeparator" w:id="0">
    <w:p w:rsidR="0005338E" w:rsidRDefault="0005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46057">
      <w:rPr>
        <w:rFonts w:hint="eastAsia"/>
        <w:kern w:val="0"/>
        <w:szCs w:val="21"/>
      </w:rPr>
      <w:t xml:space="preserve"> </w:t>
    </w:r>
    <w:r w:rsidR="009F4FDA">
      <w:rPr>
        <w:kern w:val="0"/>
        <w:szCs w:val="21"/>
      </w:rPr>
      <w:fldChar w:fldCharType="begin"/>
    </w:r>
    <w:r>
      <w:rPr>
        <w:kern w:val="0"/>
        <w:szCs w:val="21"/>
      </w:rPr>
      <w:instrText xml:space="preserve"> PAGE </w:instrText>
    </w:r>
    <w:r w:rsidR="009F4FDA">
      <w:rPr>
        <w:kern w:val="0"/>
        <w:szCs w:val="21"/>
      </w:rPr>
      <w:fldChar w:fldCharType="separate"/>
    </w:r>
    <w:r w:rsidR="00E050C9">
      <w:rPr>
        <w:noProof/>
        <w:kern w:val="0"/>
        <w:szCs w:val="21"/>
      </w:rPr>
      <w:t>1</w:t>
    </w:r>
    <w:r w:rsidR="009F4FDA">
      <w:rPr>
        <w:kern w:val="0"/>
        <w:szCs w:val="21"/>
      </w:rPr>
      <w:fldChar w:fldCharType="end"/>
    </w:r>
    <w:r w:rsidR="00D46057">
      <w:rPr>
        <w:rFonts w:hint="eastAsia"/>
        <w:kern w:val="0"/>
        <w:szCs w:val="21"/>
      </w:rPr>
      <w:t xml:space="preserve"> </w:t>
    </w:r>
    <w:r>
      <w:rPr>
        <w:rFonts w:hint="eastAsia"/>
        <w:kern w:val="0"/>
        <w:szCs w:val="21"/>
      </w:rPr>
      <w:t>页</w:t>
    </w:r>
    <w:r w:rsidR="00D46057">
      <w:rPr>
        <w:rFonts w:hint="eastAsia"/>
        <w:kern w:val="0"/>
        <w:szCs w:val="21"/>
      </w:rPr>
      <w:t xml:space="preserve"> </w:t>
    </w:r>
    <w:r>
      <w:rPr>
        <w:rFonts w:hint="eastAsia"/>
        <w:kern w:val="0"/>
        <w:szCs w:val="21"/>
      </w:rPr>
      <w:t>共</w:t>
    </w:r>
    <w:r w:rsidR="00D46057">
      <w:rPr>
        <w:rFonts w:hint="eastAsia"/>
        <w:kern w:val="0"/>
        <w:szCs w:val="21"/>
      </w:rPr>
      <w:t xml:space="preserve"> </w:t>
    </w:r>
    <w:r w:rsidR="009F4FDA">
      <w:rPr>
        <w:kern w:val="0"/>
        <w:szCs w:val="21"/>
      </w:rPr>
      <w:fldChar w:fldCharType="begin"/>
    </w:r>
    <w:r>
      <w:rPr>
        <w:kern w:val="0"/>
        <w:szCs w:val="21"/>
      </w:rPr>
      <w:instrText xml:space="preserve"> NUMPAGES </w:instrText>
    </w:r>
    <w:r w:rsidR="009F4FDA">
      <w:rPr>
        <w:kern w:val="0"/>
        <w:szCs w:val="21"/>
      </w:rPr>
      <w:fldChar w:fldCharType="separate"/>
    </w:r>
    <w:r w:rsidR="00E050C9">
      <w:rPr>
        <w:noProof/>
        <w:kern w:val="0"/>
        <w:szCs w:val="21"/>
      </w:rPr>
      <w:t>13</w:t>
    </w:r>
    <w:r w:rsidR="009F4FDA">
      <w:rPr>
        <w:kern w:val="0"/>
        <w:szCs w:val="21"/>
      </w:rPr>
      <w:fldChar w:fldCharType="end"/>
    </w:r>
    <w:r w:rsidR="00D4605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9F4FDA">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38E" w:rsidRDefault="0005338E">
      <w:r>
        <w:separator/>
      </w:r>
    </w:p>
  </w:footnote>
  <w:footnote w:type="continuationSeparator" w:id="0">
    <w:p w:rsidR="0005338E" w:rsidRDefault="00053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638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5F7"/>
    <w:rsid w:val="00214463"/>
    <w:rsid w:val="00214756"/>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189E"/>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E48"/>
    <w:rsid w:val="00BA4BD3"/>
    <w:rsid w:val="00BA574A"/>
    <w:rsid w:val="00BA6DE7"/>
    <w:rsid w:val="00BB0187"/>
    <w:rsid w:val="00BB1EB3"/>
    <w:rsid w:val="00BB2678"/>
    <w:rsid w:val="00BB2A42"/>
    <w:rsid w:val="00BC013A"/>
    <w:rsid w:val="00BC2343"/>
    <w:rsid w:val="00BC3740"/>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46057"/>
    <w:rsid w:val="00D5574C"/>
    <w:rsid w:val="00D6057D"/>
    <w:rsid w:val="00D61982"/>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0C9"/>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63841"/>
    <o:shapelayout v:ext="edit">
      <o:idmap v:ext="edit" data="1"/>
    </o:shapelayout>
  </w:shapeDefaults>
  <w:decimalSymbol w:val="."/>
  <w:listSeparator w:val=","/>
  <w15:docId w15:val="{577DD8F2-A8CC-4E10-8574-B47977F1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99AD-D66B-4498-AC0E-45352FA6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317</TotalTime>
  <Pages>13</Pages>
  <Words>1124</Words>
  <Characters>6408</Characters>
  <Application>Microsoft Office Word</Application>
  <DocSecurity>0</DocSecurity>
  <Lines>53</Lines>
  <Paragraphs>15</Paragraphs>
  <ScaleCrop>false</ScaleCrop>
  <Company>TRT. Ltd. Co.</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385</cp:revision>
  <cp:lastPrinted>2007-07-19T00:46:00Z</cp:lastPrinted>
  <dcterms:created xsi:type="dcterms:W3CDTF">2012-11-13T02:08:00Z</dcterms:created>
  <dcterms:modified xsi:type="dcterms:W3CDTF">2015-01-20T03:43:00Z</dcterms:modified>
</cp:coreProperties>
</file>