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2014</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2014</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二〇一五年一月二十二日</w:t>
      </w:r>
    </w:p>
    <w:p w:rsidR="00220542" w:rsidRPr="0036023B" w:rsidRDefault="00220542" w:rsidP="004E1A18">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F73B61" w:rsidRDefault="00544342">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73B61" w:rsidRDefault="0054434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73B61" w:rsidRDefault="0054434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73B61" w:rsidRDefault="0054434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73B61" w:rsidRDefault="00544342">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2014</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4E1A18">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0820A8" w:rsidRPr="0036023B" w:rsidTr="00CF5CF0">
        <w:trPr>
          <w:jc w:val="center"/>
        </w:trPr>
        <w:tc>
          <w:tcPr>
            <w:tcW w:w="2835"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479"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277C30"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77C30" w:rsidRPr="0036023B" w:rsidRDefault="00277C30" w:rsidP="0099526C">
            <w:pPr>
              <w:adjustRightInd w:val="0"/>
              <w:spacing w:before="29" w:line="288" w:lineRule="auto"/>
              <w:ind w:left="17"/>
              <w:jc w:val="left"/>
              <w:rPr>
                <w:kern w:val="0"/>
                <w:sz w:val="24"/>
              </w:rPr>
            </w:pPr>
            <w:r>
              <w:rPr>
                <w:rFonts w:hint="eastAsia"/>
                <w:kern w:val="0"/>
                <w:sz w:val="24"/>
              </w:rPr>
              <w:t>场内简称</w:t>
            </w:r>
          </w:p>
        </w:tc>
        <w:tc>
          <w:tcPr>
            <w:tcW w:w="5479" w:type="dxa"/>
            <w:tcBorders>
              <w:top w:val="single" w:sz="4" w:space="0" w:color="auto"/>
              <w:left w:val="single" w:sz="4" w:space="0" w:color="auto"/>
              <w:bottom w:val="single" w:sz="4" w:space="0" w:color="auto"/>
              <w:right w:val="single" w:sz="4" w:space="0" w:color="auto"/>
            </w:tcBorders>
            <w:vAlign w:val="center"/>
            <w:hideMark/>
          </w:tcPr>
          <w:p w:rsidR="00277C30" w:rsidRPr="0036023B" w:rsidRDefault="00277C30" w:rsidP="0099526C">
            <w:pPr>
              <w:adjustRightInd w:val="0"/>
              <w:spacing w:before="29" w:line="288" w:lineRule="auto"/>
              <w:ind w:left="17"/>
              <w:jc w:val="left"/>
              <w:rPr>
                <w:color w:val="000000"/>
                <w:kern w:val="0"/>
                <w:sz w:val="24"/>
              </w:rPr>
            </w:pPr>
            <w:r w:rsidRPr="0036023B">
              <w:rPr>
                <w:color w:val="000000"/>
                <w:sz w:val="24"/>
              </w:rPr>
              <w:t>治理</w:t>
            </w:r>
            <w:r w:rsidRPr="0036023B">
              <w:rPr>
                <w:color w:val="000000"/>
                <w:sz w:val="24"/>
              </w:rPr>
              <w:t>ETF</w:t>
            </w:r>
          </w:p>
        </w:tc>
      </w:tr>
      <w:tr w:rsidR="00CD319D"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CF5CF0">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1,895,524,362</w:t>
            </w:r>
            <w:r w:rsidRPr="0036023B">
              <w:rPr>
                <w:color w:val="000000"/>
                <w:kern w:val="0"/>
                <w:sz w:val="24"/>
              </w:rPr>
              <w:t>份</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CF5CF0">
        <w:trPr>
          <w:jc w:val="center"/>
        </w:trPr>
        <w:tc>
          <w:tcPr>
            <w:tcW w:w="2835"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479"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F73B61" w:rsidRDefault="00544342">
      <w:pPr>
        <w:autoSpaceDE w:val="0"/>
        <w:autoSpaceDN w:val="0"/>
        <w:adjustRightInd w:val="0"/>
        <w:spacing w:before="29" w:line="288" w:lineRule="auto"/>
        <w:jc w:val="left"/>
        <w:rPr>
          <w:color w:val="000000"/>
          <w:sz w:val="24"/>
        </w:rPr>
      </w:pPr>
      <w:r>
        <w:rPr>
          <w:color w:val="000000"/>
          <w:sz w:val="24"/>
        </w:rPr>
        <w:t>注：本表所列的基金主代码</w:t>
      </w:r>
      <w:r>
        <w:rPr>
          <w:color w:val="000000"/>
          <w:sz w:val="24"/>
        </w:rPr>
        <w:t>510010</w:t>
      </w:r>
      <w:r>
        <w:rPr>
          <w:color w:val="000000"/>
          <w:sz w:val="24"/>
        </w:rPr>
        <w:t>为本基金二级市场交易代码，本基金一级市场申购赎回代码为</w:t>
      </w:r>
      <w:r>
        <w:rPr>
          <w:color w:val="000000"/>
          <w:sz w:val="24"/>
        </w:rPr>
        <w:t>510011</w:t>
      </w:r>
      <w:r>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4E1A18">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C245A" w:rsidRPr="0036023B" w:rsidTr="00FC245A">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(2014</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-2014</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FC245A" w:rsidRPr="0036023B" w:rsidTr="00FC245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532,407,244.62</w:t>
            </w:r>
          </w:p>
        </w:tc>
      </w:tr>
      <w:tr w:rsidR="00FC245A" w:rsidRPr="0036023B" w:rsidTr="00FC245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908,862,083.54</w:t>
            </w:r>
          </w:p>
        </w:tc>
      </w:tr>
      <w:tr w:rsidR="00FC245A" w:rsidRPr="0036023B" w:rsidTr="00FC245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0.3735</w:t>
            </w:r>
          </w:p>
        </w:tc>
      </w:tr>
      <w:tr w:rsidR="00FC245A" w:rsidRPr="0036023B" w:rsidTr="00FC245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2,026,435,361.07</w:t>
            </w:r>
          </w:p>
        </w:tc>
      </w:tr>
      <w:tr w:rsidR="00FC245A" w:rsidRPr="0036023B" w:rsidTr="00FC245A">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1.069</w:t>
            </w:r>
          </w:p>
        </w:tc>
      </w:tr>
    </w:tbl>
    <w:p w:rsidR="00F73B61" w:rsidRDefault="0054434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F73B61">
        <w:trPr>
          <w:jc w:val="center"/>
        </w:trPr>
        <w:tc>
          <w:tcPr>
            <w:tcW w:w="1469" w:type="dxa"/>
            <w:vAlign w:val="center"/>
          </w:tcPr>
          <w:p w:rsidR="00F73B61" w:rsidRDefault="00544342">
            <w:pPr>
              <w:jc w:val="left"/>
            </w:pPr>
            <w:r>
              <w:rPr>
                <w:color w:val="000000"/>
                <w:sz w:val="24"/>
              </w:rPr>
              <w:t>过去三个月</w:t>
            </w:r>
          </w:p>
        </w:tc>
        <w:tc>
          <w:tcPr>
            <w:tcW w:w="1150" w:type="dxa"/>
            <w:vAlign w:val="center"/>
          </w:tcPr>
          <w:p w:rsidR="00F73B61" w:rsidRDefault="00544342">
            <w:pPr>
              <w:jc w:val="center"/>
            </w:pPr>
            <w:r>
              <w:rPr>
                <w:color w:val="000000"/>
                <w:sz w:val="24"/>
              </w:rPr>
              <w:t>57.90%</w:t>
            </w:r>
          </w:p>
        </w:tc>
        <w:tc>
          <w:tcPr>
            <w:tcW w:w="1223" w:type="dxa"/>
            <w:vAlign w:val="center"/>
          </w:tcPr>
          <w:p w:rsidR="00F73B61" w:rsidRDefault="00544342">
            <w:pPr>
              <w:jc w:val="center"/>
            </w:pPr>
            <w:r>
              <w:rPr>
                <w:color w:val="000000"/>
                <w:sz w:val="24"/>
              </w:rPr>
              <w:t>1.95%</w:t>
            </w:r>
          </w:p>
        </w:tc>
        <w:tc>
          <w:tcPr>
            <w:tcW w:w="1244" w:type="dxa"/>
            <w:vAlign w:val="center"/>
          </w:tcPr>
          <w:p w:rsidR="00F73B61" w:rsidRDefault="00544342">
            <w:pPr>
              <w:jc w:val="center"/>
            </w:pPr>
            <w:r>
              <w:rPr>
                <w:color w:val="000000"/>
                <w:sz w:val="24"/>
              </w:rPr>
              <w:t>58.23%</w:t>
            </w:r>
          </w:p>
        </w:tc>
        <w:tc>
          <w:tcPr>
            <w:tcW w:w="1251" w:type="dxa"/>
            <w:vAlign w:val="center"/>
          </w:tcPr>
          <w:p w:rsidR="00F73B61" w:rsidRDefault="00544342">
            <w:pPr>
              <w:jc w:val="center"/>
            </w:pPr>
            <w:r>
              <w:rPr>
                <w:color w:val="000000"/>
                <w:sz w:val="24"/>
              </w:rPr>
              <w:t>1.97%</w:t>
            </w:r>
          </w:p>
        </w:tc>
        <w:tc>
          <w:tcPr>
            <w:tcW w:w="1263" w:type="dxa"/>
            <w:vAlign w:val="center"/>
          </w:tcPr>
          <w:p w:rsidR="00F73B61" w:rsidRDefault="00544342">
            <w:pPr>
              <w:jc w:val="center"/>
            </w:pPr>
            <w:r>
              <w:rPr>
                <w:color w:val="000000"/>
                <w:sz w:val="24"/>
              </w:rPr>
              <w:t>-0.33%</w:t>
            </w:r>
          </w:p>
        </w:tc>
        <w:tc>
          <w:tcPr>
            <w:tcW w:w="1268" w:type="dxa"/>
            <w:vAlign w:val="center"/>
          </w:tcPr>
          <w:p w:rsidR="00F73B61" w:rsidRDefault="00544342">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2014</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4E1A18">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F73B61">
        <w:trPr>
          <w:jc w:val="center"/>
        </w:trPr>
        <w:tc>
          <w:tcPr>
            <w:tcW w:w="846" w:type="dxa"/>
            <w:vAlign w:val="center"/>
          </w:tcPr>
          <w:p w:rsidR="00F73B61" w:rsidRDefault="00544342">
            <w:pPr>
              <w:jc w:val="center"/>
            </w:pPr>
            <w:r>
              <w:rPr>
                <w:color w:val="000000"/>
                <w:sz w:val="24"/>
              </w:rPr>
              <w:t>蔡铮</w:t>
            </w:r>
          </w:p>
        </w:tc>
        <w:tc>
          <w:tcPr>
            <w:tcW w:w="845" w:type="dxa"/>
            <w:vAlign w:val="center"/>
          </w:tcPr>
          <w:p w:rsidR="00F73B61" w:rsidRDefault="00544342">
            <w:pPr>
              <w:jc w:val="center"/>
            </w:pPr>
            <w:r>
              <w:rPr>
                <w:color w:val="000000"/>
                <w:sz w:val="24"/>
              </w:rPr>
              <w:t>本基金及其联接基金、交银深证</w:t>
            </w:r>
            <w:r>
              <w:rPr>
                <w:color w:val="000000"/>
                <w:sz w:val="24"/>
              </w:rPr>
              <w:t>300</w:t>
            </w:r>
            <w:r>
              <w:rPr>
                <w:color w:val="000000"/>
                <w:sz w:val="24"/>
              </w:rPr>
              <w:t>价值</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49" w:type="dxa"/>
            <w:vAlign w:val="center"/>
          </w:tcPr>
          <w:p w:rsidR="00F73B61" w:rsidRDefault="00544342">
            <w:pPr>
              <w:jc w:val="center"/>
            </w:pPr>
            <w:r>
              <w:rPr>
                <w:color w:val="000000"/>
                <w:sz w:val="24"/>
              </w:rPr>
              <w:t>2012-12-27</w:t>
            </w:r>
          </w:p>
        </w:tc>
        <w:tc>
          <w:tcPr>
            <w:tcW w:w="1548" w:type="dxa"/>
            <w:vAlign w:val="center"/>
          </w:tcPr>
          <w:p w:rsidR="00F73B61" w:rsidRDefault="00544342">
            <w:pPr>
              <w:jc w:val="center"/>
            </w:pPr>
            <w:r>
              <w:rPr>
                <w:color w:val="000000"/>
                <w:sz w:val="24"/>
              </w:rPr>
              <w:t>-</w:t>
            </w:r>
          </w:p>
        </w:tc>
        <w:tc>
          <w:tcPr>
            <w:tcW w:w="1407" w:type="dxa"/>
            <w:vAlign w:val="center"/>
          </w:tcPr>
          <w:p w:rsidR="00F73B61" w:rsidRDefault="00544342">
            <w:pPr>
              <w:jc w:val="center"/>
            </w:pPr>
            <w:r>
              <w:rPr>
                <w:color w:val="000000"/>
                <w:sz w:val="24"/>
              </w:rPr>
              <w:t>5</w:t>
            </w:r>
            <w:r>
              <w:rPr>
                <w:color w:val="000000"/>
                <w:sz w:val="24"/>
              </w:rPr>
              <w:t>年</w:t>
            </w:r>
          </w:p>
        </w:tc>
        <w:tc>
          <w:tcPr>
            <w:tcW w:w="2673" w:type="dxa"/>
            <w:vAlign w:val="center"/>
          </w:tcPr>
          <w:p w:rsidR="00F73B61" w:rsidRDefault="00544342">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F73B61" w:rsidRDefault="0054434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73B61" w:rsidRDefault="0054434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73B61" w:rsidRDefault="0054434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F73B61" w:rsidRDefault="00544342">
      <w:pPr>
        <w:spacing w:before="29" w:line="288" w:lineRule="auto"/>
        <w:ind w:firstLineChars="200" w:firstLine="480"/>
        <w:rPr>
          <w:color w:val="000000"/>
          <w:sz w:val="24"/>
        </w:rPr>
      </w:pPr>
      <w:r>
        <w:rPr>
          <w:color w:val="000000"/>
          <w:sz w:val="24"/>
        </w:rPr>
        <w:t>2014</w:t>
      </w:r>
      <w:r>
        <w:rPr>
          <w:color w:val="000000"/>
          <w:sz w:val="24"/>
        </w:rPr>
        <w:t>年四季度资本市场表现相当强劲，大小盘分化严重，代表低估值蓝筹股的指数表现较为突出，增量资金入市引发的低估值板块价值重估是市场表现的主要线索。本基金为跟踪基准指数的指数基金，在本报告期内获得较为可喜的上涨。</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在微刺激的经济政策背景下，预计货币政策仍将保持相对稳定，经济增速较为平稳，股市在温和的外部环境下预计整体风险不大。在整体政策着力于改革与结构调整的大趋势下，预期市场或仍将延续价值修复的过程。</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2014</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日，本基金份额净值</w:t>
      </w:r>
      <w:r w:rsidRPr="0036023B">
        <w:rPr>
          <w:color w:val="000000"/>
          <w:sz w:val="24"/>
        </w:rPr>
        <w:t>1.069</w:t>
      </w:r>
      <w:r w:rsidRPr="0036023B">
        <w:rPr>
          <w:color w:val="000000"/>
          <w:sz w:val="24"/>
        </w:rPr>
        <w:t>元，本报告期份额净值增长率为</w:t>
      </w:r>
      <w:r w:rsidRPr="0036023B">
        <w:rPr>
          <w:color w:val="000000"/>
          <w:sz w:val="24"/>
        </w:rPr>
        <w:t>57.90%</w:t>
      </w:r>
      <w:r w:rsidRPr="0036023B">
        <w:rPr>
          <w:color w:val="000000"/>
          <w:sz w:val="24"/>
        </w:rPr>
        <w:t>，同期业绩比较基准增长率为</w:t>
      </w:r>
      <w:r w:rsidRPr="0036023B">
        <w:rPr>
          <w:color w:val="000000"/>
          <w:sz w:val="24"/>
        </w:rPr>
        <w:t>58.23%</w:t>
      </w:r>
      <w:r w:rsidRPr="0036023B">
        <w:rPr>
          <w:color w:val="000000"/>
          <w:sz w:val="24"/>
        </w:rPr>
        <w:t>。本报告期内本基金的日均跟踪偏离度为</w:t>
      </w:r>
      <w:r w:rsidRPr="0036023B">
        <w:rPr>
          <w:color w:val="000000"/>
          <w:sz w:val="24"/>
        </w:rPr>
        <w:t>0.07%</w:t>
      </w:r>
      <w:r w:rsidRPr="0036023B">
        <w:rPr>
          <w:color w:val="000000"/>
          <w:sz w:val="24"/>
        </w:rPr>
        <w:t>，跟踪误差为</w:t>
      </w:r>
      <w:r w:rsidRPr="0036023B">
        <w:rPr>
          <w:color w:val="000000"/>
          <w:sz w:val="24"/>
        </w:rPr>
        <w:t>0.09%</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4E1A18">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781A66">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49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948"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8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781A66">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2,008,335,799.47</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99.01</w:t>
            </w:r>
          </w:p>
        </w:tc>
      </w:tr>
      <w:tr w:rsidR="000820A8" w:rsidRPr="0036023B" w:rsidTr="00781A66">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2,008,335,799.47</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99.01</w:t>
            </w:r>
          </w:p>
        </w:tc>
      </w:tr>
      <w:tr w:rsidR="000820A8" w:rsidRPr="0036023B" w:rsidTr="00781A66">
        <w:trPr>
          <w:jc w:val="center"/>
        </w:trPr>
        <w:tc>
          <w:tcPr>
            <w:tcW w:w="749"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781A66">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781A66">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781A66">
        <w:trPr>
          <w:jc w:val="center"/>
        </w:trPr>
        <w:tc>
          <w:tcPr>
            <w:tcW w:w="749"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491"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948"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781A66">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781A66">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781A66">
        <w:trPr>
          <w:jc w:val="center"/>
        </w:trPr>
        <w:tc>
          <w:tcPr>
            <w:tcW w:w="749" w:type="dxa"/>
            <w:vAlign w:val="center"/>
          </w:tcPr>
          <w:p w:rsidR="000820A8" w:rsidRPr="0036023B" w:rsidRDefault="000820A8" w:rsidP="0099526C">
            <w:pPr>
              <w:spacing w:before="29" w:line="288" w:lineRule="auto"/>
              <w:ind w:left="17"/>
              <w:jc w:val="center"/>
              <w:rPr>
                <w:color w:val="000000"/>
                <w:sz w:val="24"/>
              </w:rPr>
            </w:pP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781A66">
        <w:trPr>
          <w:jc w:val="center"/>
        </w:trPr>
        <w:tc>
          <w:tcPr>
            <w:tcW w:w="749"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491"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948"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19,223,309.89</w:t>
            </w:r>
          </w:p>
        </w:tc>
        <w:tc>
          <w:tcPr>
            <w:tcW w:w="1680"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0.95</w:t>
            </w:r>
          </w:p>
        </w:tc>
      </w:tr>
      <w:tr w:rsidR="00781A66" w:rsidRPr="0036023B" w:rsidTr="00781A66">
        <w:trPr>
          <w:jc w:val="center"/>
        </w:trPr>
        <w:tc>
          <w:tcPr>
            <w:tcW w:w="749" w:type="dxa"/>
            <w:vAlign w:val="center"/>
          </w:tcPr>
          <w:p w:rsidR="00781A66" w:rsidRPr="0036023B" w:rsidRDefault="00781A66" w:rsidP="0099526C">
            <w:pPr>
              <w:spacing w:before="29" w:line="288" w:lineRule="auto"/>
              <w:ind w:left="17"/>
              <w:jc w:val="center"/>
              <w:rPr>
                <w:color w:val="000000"/>
                <w:sz w:val="24"/>
              </w:rPr>
            </w:pPr>
            <w:r w:rsidRPr="0036023B">
              <w:rPr>
                <w:rFonts w:eastAsiaTheme="minorEastAsia"/>
                <w:color w:val="000000"/>
                <w:sz w:val="24"/>
              </w:rPr>
              <w:t>7</w:t>
            </w:r>
          </w:p>
        </w:tc>
        <w:tc>
          <w:tcPr>
            <w:tcW w:w="3491" w:type="dxa"/>
            <w:vAlign w:val="center"/>
          </w:tcPr>
          <w:p w:rsidR="00781A66" w:rsidRPr="0036023B" w:rsidRDefault="00781A66" w:rsidP="0099526C">
            <w:pPr>
              <w:spacing w:before="29" w:line="288" w:lineRule="auto"/>
              <w:jc w:val="left"/>
              <w:rPr>
                <w:sz w:val="24"/>
              </w:rPr>
            </w:pPr>
            <w:r w:rsidRPr="0036023B">
              <w:rPr>
                <w:color w:val="000000"/>
                <w:sz w:val="24"/>
              </w:rPr>
              <w:t>其他资产</w:t>
            </w:r>
          </w:p>
        </w:tc>
        <w:tc>
          <w:tcPr>
            <w:tcW w:w="2948" w:type="dxa"/>
            <w:vAlign w:val="center"/>
          </w:tcPr>
          <w:p w:rsidR="00AD3177" w:rsidRDefault="00AD3177" w:rsidP="00985FE4">
            <w:pPr>
              <w:spacing w:before="29" w:line="288" w:lineRule="auto"/>
              <w:ind w:left="17"/>
              <w:jc w:val="right"/>
              <w:rPr>
                <w:color w:val="000000"/>
                <w:sz w:val="24"/>
              </w:rPr>
            </w:pPr>
            <w:r w:rsidRPr="00985FE4">
              <w:rPr>
                <w:color w:val="000000"/>
                <w:sz w:val="24"/>
              </w:rPr>
              <w:t>765,908.67</w:t>
            </w:r>
          </w:p>
        </w:tc>
        <w:tc>
          <w:tcPr>
            <w:tcW w:w="1680" w:type="dxa"/>
            <w:vAlign w:val="center"/>
          </w:tcPr>
          <w:p w:rsidR="00781A66" w:rsidRPr="0036023B" w:rsidRDefault="00781A66" w:rsidP="0099526C">
            <w:pPr>
              <w:spacing w:before="29" w:line="288" w:lineRule="auto"/>
              <w:jc w:val="right"/>
              <w:rPr>
                <w:color w:val="000000"/>
                <w:sz w:val="24"/>
              </w:rPr>
            </w:pPr>
            <w:r w:rsidRPr="0036023B">
              <w:rPr>
                <w:color w:val="000000"/>
                <w:sz w:val="24"/>
              </w:rPr>
              <w:t>0.04</w:t>
            </w:r>
          </w:p>
        </w:tc>
      </w:tr>
      <w:tr w:rsidR="00781A66" w:rsidRPr="0036023B" w:rsidTr="00781A66">
        <w:trPr>
          <w:jc w:val="center"/>
        </w:trPr>
        <w:tc>
          <w:tcPr>
            <w:tcW w:w="749" w:type="dxa"/>
            <w:vAlign w:val="center"/>
          </w:tcPr>
          <w:p w:rsidR="00781A66" w:rsidRPr="0036023B" w:rsidRDefault="00781A66" w:rsidP="0099526C">
            <w:pPr>
              <w:spacing w:before="29" w:line="288" w:lineRule="auto"/>
              <w:ind w:left="17"/>
              <w:jc w:val="center"/>
              <w:rPr>
                <w:color w:val="000000"/>
                <w:sz w:val="24"/>
              </w:rPr>
            </w:pPr>
            <w:r w:rsidRPr="0036023B">
              <w:rPr>
                <w:color w:val="000000"/>
                <w:sz w:val="24"/>
              </w:rPr>
              <w:t>8</w:t>
            </w:r>
          </w:p>
        </w:tc>
        <w:tc>
          <w:tcPr>
            <w:tcW w:w="3491" w:type="dxa"/>
            <w:vAlign w:val="center"/>
          </w:tcPr>
          <w:p w:rsidR="00781A66" w:rsidRPr="0036023B" w:rsidRDefault="00781A66" w:rsidP="0099526C">
            <w:pPr>
              <w:spacing w:before="29" w:line="288" w:lineRule="auto"/>
              <w:jc w:val="left"/>
              <w:rPr>
                <w:sz w:val="24"/>
              </w:rPr>
            </w:pPr>
            <w:r w:rsidRPr="0036023B">
              <w:rPr>
                <w:color w:val="000000"/>
                <w:sz w:val="24"/>
              </w:rPr>
              <w:t>合计</w:t>
            </w:r>
          </w:p>
        </w:tc>
        <w:tc>
          <w:tcPr>
            <w:tcW w:w="2948" w:type="dxa"/>
            <w:vAlign w:val="center"/>
          </w:tcPr>
          <w:p w:rsidR="00AD3177" w:rsidRDefault="00AD3177" w:rsidP="00985FE4">
            <w:pPr>
              <w:spacing w:before="29" w:line="288" w:lineRule="auto"/>
              <w:ind w:left="17"/>
              <w:jc w:val="right"/>
              <w:rPr>
                <w:color w:val="000000"/>
                <w:sz w:val="24"/>
              </w:rPr>
            </w:pPr>
            <w:r w:rsidRPr="00985FE4">
              <w:rPr>
                <w:color w:val="000000"/>
                <w:sz w:val="24"/>
              </w:rPr>
              <w:t>2,028,325,018.03</w:t>
            </w:r>
          </w:p>
        </w:tc>
        <w:tc>
          <w:tcPr>
            <w:tcW w:w="1680" w:type="dxa"/>
            <w:vAlign w:val="center"/>
          </w:tcPr>
          <w:p w:rsidR="00781A66" w:rsidRPr="0036023B" w:rsidRDefault="00781A66" w:rsidP="0099526C">
            <w:pPr>
              <w:spacing w:before="29" w:line="288" w:lineRule="auto"/>
              <w:jc w:val="right"/>
              <w:rPr>
                <w:color w:val="000000"/>
                <w:sz w:val="24"/>
              </w:rPr>
            </w:pPr>
            <w:r w:rsidRPr="0036023B">
              <w:rPr>
                <w:color w:val="000000"/>
                <w:sz w:val="24"/>
              </w:rPr>
              <w:t>100.00</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注：本表权益投资股票项中含可退替代款估值增值，而</w:t>
      </w:r>
      <w:r w:rsidRPr="0036023B">
        <w:rPr>
          <w:color w:val="000000"/>
          <w:sz w:val="24"/>
        </w:rPr>
        <w:t>5.2.2</w:t>
      </w:r>
      <w:r w:rsidRPr="0036023B">
        <w:rPr>
          <w:color w:val="000000"/>
          <w:sz w:val="24"/>
        </w:rPr>
        <w:t>合计项中不含可退替代款估值增值，因此二者存在上述差异。</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4,484,225.12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90,950,033.59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4.49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340,162,900.10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16.79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82,599,982.66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4.08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127,133,576.55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6.27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20,765,829.38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62,828,392.80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3.10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49,534,476.51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2.44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1,150,849,383.00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56.79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62,423,711.36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16,585,964.40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2,008,318,475.47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99.11</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F73B61">
        <w:trPr>
          <w:jc w:val="center"/>
        </w:trPr>
        <w:tc>
          <w:tcPr>
            <w:tcW w:w="850" w:type="dxa"/>
            <w:vAlign w:val="center"/>
          </w:tcPr>
          <w:p w:rsidR="00F73B61" w:rsidRDefault="00544342">
            <w:pPr>
              <w:jc w:val="center"/>
            </w:pPr>
            <w:r>
              <w:rPr>
                <w:color w:val="000000"/>
                <w:sz w:val="24"/>
              </w:rPr>
              <w:t>1</w:t>
            </w:r>
          </w:p>
        </w:tc>
        <w:tc>
          <w:tcPr>
            <w:tcW w:w="1327" w:type="dxa"/>
            <w:vAlign w:val="center"/>
          </w:tcPr>
          <w:p w:rsidR="00F73B61" w:rsidRDefault="00544342">
            <w:pPr>
              <w:jc w:val="center"/>
            </w:pPr>
            <w:r>
              <w:rPr>
                <w:color w:val="000000"/>
                <w:sz w:val="24"/>
              </w:rPr>
              <w:t>601318</w:t>
            </w:r>
          </w:p>
        </w:tc>
        <w:tc>
          <w:tcPr>
            <w:tcW w:w="1769" w:type="dxa"/>
            <w:vAlign w:val="center"/>
          </w:tcPr>
          <w:p w:rsidR="00F73B61" w:rsidRDefault="00544342">
            <w:pPr>
              <w:jc w:val="center"/>
            </w:pPr>
            <w:r>
              <w:rPr>
                <w:color w:val="000000"/>
                <w:sz w:val="24"/>
              </w:rPr>
              <w:t>中国平安</w:t>
            </w:r>
          </w:p>
        </w:tc>
        <w:tc>
          <w:tcPr>
            <w:tcW w:w="1327" w:type="dxa"/>
            <w:vAlign w:val="center"/>
          </w:tcPr>
          <w:p w:rsidR="00F73B61" w:rsidRDefault="00544342">
            <w:pPr>
              <w:jc w:val="right"/>
            </w:pPr>
            <w:r>
              <w:rPr>
                <w:color w:val="000000"/>
                <w:sz w:val="24"/>
              </w:rPr>
              <w:t>2,116,948</w:t>
            </w:r>
          </w:p>
        </w:tc>
        <w:tc>
          <w:tcPr>
            <w:tcW w:w="1915" w:type="dxa"/>
            <w:vAlign w:val="center"/>
          </w:tcPr>
          <w:p w:rsidR="00F73B61" w:rsidRDefault="00544342">
            <w:pPr>
              <w:jc w:val="right"/>
            </w:pPr>
            <w:r>
              <w:rPr>
                <w:color w:val="000000"/>
                <w:sz w:val="24"/>
              </w:rPr>
              <w:t>158,157,185.08</w:t>
            </w:r>
          </w:p>
        </w:tc>
        <w:tc>
          <w:tcPr>
            <w:tcW w:w="1680" w:type="dxa"/>
            <w:vAlign w:val="center"/>
          </w:tcPr>
          <w:p w:rsidR="00F73B61" w:rsidRDefault="00544342">
            <w:pPr>
              <w:jc w:val="right"/>
            </w:pPr>
            <w:r>
              <w:rPr>
                <w:color w:val="000000"/>
                <w:sz w:val="24"/>
              </w:rPr>
              <w:t>7.80</w:t>
            </w:r>
          </w:p>
        </w:tc>
      </w:tr>
      <w:tr w:rsidR="00F73B61">
        <w:trPr>
          <w:jc w:val="center"/>
        </w:trPr>
        <w:tc>
          <w:tcPr>
            <w:tcW w:w="850" w:type="dxa"/>
            <w:vAlign w:val="center"/>
          </w:tcPr>
          <w:p w:rsidR="00F73B61" w:rsidRDefault="00544342">
            <w:pPr>
              <w:jc w:val="center"/>
            </w:pPr>
            <w:r>
              <w:rPr>
                <w:color w:val="000000"/>
                <w:sz w:val="24"/>
              </w:rPr>
              <w:t>2</w:t>
            </w:r>
          </w:p>
        </w:tc>
        <w:tc>
          <w:tcPr>
            <w:tcW w:w="1327" w:type="dxa"/>
            <w:vAlign w:val="center"/>
          </w:tcPr>
          <w:p w:rsidR="00F73B61" w:rsidRDefault="00544342">
            <w:pPr>
              <w:jc w:val="center"/>
            </w:pPr>
            <w:r>
              <w:rPr>
                <w:color w:val="000000"/>
                <w:sz w:val="24"/>
              </w:rPr>
              <w:t>600016</w:t>
            </w:r>
          </w:p>
        </w:tc>
        <w:tc>
          <w:tcPr>
            <w:tcW w:w="1769" w:type="dxa"/>
            <w:vAlign w:val="center"/>
          </w:tcPr>
          <w:p w:rsidR="00F73B61" w:rsidRDefault="00544342">
            <w:pPr>
              <w:jc w:val="center"/>
            </w:pPr>
            <w:r>
              <w:rPr>
                <w:color w:val="000000"/>
                <w:sz w:val="24"/>
              </w:rPr>
              <w:t>民生银行</w:t>
            </w:r>
          </w:p>
        </w:tc>
        <w:tc>
          <w:tcPr>
            <w:tcW w:w="1327" w:type="dxa"/>
            <w:vAlign w:val="center"/>
          </w:tcPr>
          <w:p w:rsidR="00F73B61" w:rsidRDefault="00544342">
            <w:pPr>
              <w:jc w:val="right"/>
            </w:pPr>
            <w:r>
              <w:rPr>
                <w:color w:val="000000"/>
                <w:sz w:val="24"/>
              </w:rPr>
              <w:t>11,949,866</w:t>
            </w:r>
          </w:p>
        </w:tc>
        <w:tc>
          <w:tcPr>
            <w:tcW w:w="1915" w:type="dxa"/>
            <w:vAlign w:val="center"/>
          </w:tcPr>
          <w:p w:rsidR="00F73B61" w:rsidRDefault="00544342">
            <w:pPr>
              <w:jc w:val="right"/>
            </w:pPr>
            <w:r>
              <w:rPr>
                <w:color w:val="000000"/>
                <w:sz w:val="24"/>
              </w:rPr>
              <w:t>130,014,542.08</w:t>
            </w:r>
          </w:p>
        </w:tc>
        <w:tc>
          <w:tcPr>
            <w:tcW w:w="1680" w:type="dxa"/>
            <w:vAlign w:val="center"/>
          </w:tcPr>
          <w:p w:rsidR="00F73B61" w:rsidRDefault="00544342">
            <w:pPr>
              <w:jc w:val="right"/>
            </w:pPr>
            <w:r>
              <w:rPr>
                <w:color w:val="000000"/>
                <w:sz w:val="24"/>
              </w:rPr>
              <w:t>6.42</w:t>
            </w:r>
          </w:p>
        </w:tc>
      </w:tr>
      <w:tr w:rsidR="00F73B61">
        <w:trPr>
          <w:jc w:val="center"/>
        </w:trPr>
        <w:tc>
          <w:tcPr>
            <w:tcW w:w="850" w:type="dxa"/>
            <w:vAlign w:val="center"/>
          </w:tcPr>
          <w:p w:rsidR="00F73B61" w:rsidRDefault="00544342">
            <w:pPr>
              <w:jc w:val="center"/>
            </w:pPr>
            <w:r>
              <w:rPr>
                <w:color w:val="000000"/>
                <w:sz w:val="24"/>
              </w:rPr>
              <w:t>3</w:t>
            </w:r>
          </w:p>
        </w:tc>
        <w:tc>
          <w:tcPr>
            <w:tcW w:w="1327" w:type="dxa"/>
            <w:vAlign w:val="center"/>
          </w:tcPr>
          <w:p w:rsidR="00F73B61" w:rsidRDefault="00544342">
            <w:pPr>
              <w:jc w:val="center"/>
            </w:pPr>
            <w:r>
              <w:rPr>
                <w:color w:val="000000"/>
                <w:sz w:val="24"/>
              </w:rPr>
              <w:t>600036</w:t>
            </w:r>
          </w:p>
        </w:tc>
        <w:tc>
          <w:tcPr>
            <w:tcW w:w="1769" w:type="dxa"/>
            <w:vAlign w:val="center"/>
          </w:tcPr>
          <w:p w:rsidR="00F73B61" w:rsidRDefault="00544342">
            <w:pPr>
              <w:jc w:val="center"/>
            </w:pPr>
            <w:r>
              <w:rPr>
                <w:color w:val="000000"/>
                <w:sz w:val="24"/>
              </w:rPr>
              <w:t>招商银行</w:t>
            </w:r>
          </w:p>
        </w:tc>
        <w:tc>
          <w:tcPr>
            <w:tcW w:w="1327" w:type="dxa"/>
            <w:vAlign w:val="center"/>
          </w:tcPr>
          <w:p w:rsidR="00F73B61" w:rsidRDefault="00544342">
            <w:pPr>
              <w:jc w:val="right"/>
            </w:pPr>
            <w:r>
              <w:rPr>
                <w:color w:val="000000"/>
                <w:sz w:val="24"/>
              </w:rPr>
              <w:t>7,286,000</w:t>
            </w:r>
          </w:p>
        </w:tc>
        <w:tc>
          <w:tcPr>
            <w:tcW w:w="1915" w:type="dxa"/>
            <w:vAlign w:val="center"/>
          </w:tcPr>
          <w:p w:rsidR="00F73B61" w:rsidRDefault="00544342">
            <w:pPr>
              <w:jc w:val="right"/>
            </w:pPr>
            <w:r>
              <w:rPr>
                <w:color w:val="000000"/>
                <w:sz w:val="24"/>
              </w:rPr>
              <w:t>120,874,740.00</w:t>
            </w:r>
          </w:p>
        </w:tc>
        <w:tc>
          <w:tcPr>
            <w:tcW w:w="1680" w:type="dxa"/>
            <w:vAlign w:val="center"/>
          </w:tcPr>
          <w:p w:rsidR="00F73B61" w:rsidRDefault="00544342">
            <w:pPr>
              <w:jc w:val="right"/>
            </w:pPr>
            <w:r>
              <w:rPr>
                <w:color w:val="000000"/>
                <w:sz w:val="24"/>
              </w:rPr>
              <w:t>5.96</w:t>
            </w:r>
          </w:p>
        </w:tc>
      </w:tr>
      <w:tr w:rsidR="00F73B61">
        <w:trPr>
          <w:jc w:val="center"/>
        </w:trPr>
        <w:tc>
          <w:tcPr>
            <w:tcW w:w="850" w:type="dxa"/>
            <w:vAlign w:val="center"/>
          </w:tcPr>
          <w:p w:rsidR="00F73B61" w:rsidRDefault="00544342">
            <w:pPr>
              <w:jc w:val="center"/>
            </w:pPr>
            <w:r>
              <w:rPr>
                <w:color w:val="000000"/>
                <w:sz w:val="24"/>
              </w:rPr>
              <w:t>4</w:t>
            </w:r>
          </w:p>
        </w:tc>
        <w:tc>
          <w:tcPr>
            <w:tcW w:w="1327" w:type="dxa"/>
            <w:vAlign w:val="center"/>
          </w:tcPr>
          <w:p w:rsidR="00F73B61" w:rsidRDefault="00544342">
            <w:pPr>
              <w:jc w:val="center"/>
            </w:pPr>
            <w:r>
              <w:rPr>
                <w:color w:val="000000"/>
                <w:sz w:val="24"/>
              </w:rPr>
              <w:t>600030</w:t>
            </w:r>
          </w:p>
        </w:tc>
        <w:tc>
          <w:tcPr>
            <w:tcW w:w="1769" w:type="dxa"/>
            <w:vAlign w:val="center"/>
          </w:tcPr>
          <w:p w:rsidR="00F73B61" w:rsidRDefault="00544342">
            <w:pPr>
              <w:jc w:val="center"/>
            </w:pPr>
            <w:r>
              <w:rPr>
                <w:color w:val="000000"/>
                <w:sz w:val="24"/>
              </w:rPr>
              <w:t>中信证券</w:t>
            </w:r>
          </w:p>
        </w:tc>
        <w:tc>
          <w:tcPr>
            <w:tcW w:w="1327" w:type="dxa"/>
            <w:vAlign w:val="center"/>
          </w:tcPr>
          <w:p w:rsidR="00F73B61" w:rsidRDefault="00544342">
            <w:pPr>
              <w:jc w:val="right"/>
            </w:pPr>
            <w:r>
              <w:rPr>
                <w:color w:val="000000"/>
                <w:sz w:val="24"/>
              </w:rPr>
              <w:t>3,381,683</w:t>
            </w:r>
          </w:p>
        </w:tc>
        <w:tc>
          <w:tcPr>
            <w:tcW w:w="1915" w:type="dxa"/>
            <w:vAlign w:val="center"/>
          </w:tcPr>
          <w:p w:rsidR="00F73B61" w:rsidRDefault="00544342">
            <w:pPr>
              <w:jc w:val="right"/>
            </w:pPr>
            <w:r>
              <w:rPr>
                <w:color w:val="000000"/>
                <w:sz w:val="24"/>
              </w:rPr>
              <w:t>114,639,053.70</w:t>
            </w:r>
          </w:p>
        </w:tc>
        <w:tc>
          <w:tcPr>
            <w:tcW w:w="1680" w:type="dxa"/>
            <w:vAlign w:val="center"/>
          </w:tcPr>
          <w:p w:rsidR="00F73B61" w:rsidRDefault="00544342">
            <w:pPr>
              <w:jc w:val="right"/>
            </w:pPr>
            <w:r>
              <w:rPr>
                <w:color w:val="000000"/>
                <w:sz w:val="24"/>
              </w:rPr>
              <w:t>5.66</w:t>
            </w:r>
          </w:p>
        </w:tc>
      </w:tr>
      <w:tr w:rsidR="00F73B61">
        <w:trPr>
          <w:jc w:val="center"/>
        </w:trPr>
        <w:tc>
          <w:tcPr>
            <w:tcW w:w="850" w:type="dxa"/>
            <w:vAlign w:val="center"/>
          </w:tcPr>
          <w:p w:rsidR="00F73B61" w:rsidRDefault="00544342">
            <w:pPr>
              <w:jc w:val="center"/>
            </w:pPr>
            <w:r>
              <w:rPr>
                <w:color w:val="000000"/>
                <w:sz w:val="24"/>
              </w:rPr>
              <w:t>5</w:t>
            </w:r>
          </w:p>
        </w:tc>
        <w:tc>
          <w:tcPr>
            <w:tcW w:w="1327" w:type="dxa"/>
            <w:vAlign w:val="center"/>
          </w:tcPr>
          <w:p w:rsidR="00F73B61" w:rsidRDefault="00544342">
            <w:pPr>
              <w:jc w:val="center"/>
            </w:pPr>
            <w:r>
              <w:rPr>
                <w:color w:val="000000"/>
                <w:sz w:val="24"/>
              </w:rPr>
              <w:t>600837</w:t>
            </w:r>
          </w:p>
        </w:tc>
        <w:tc>
          <w:tcPr>
            <w:tcW w:w="1769" w:type="dxa"/>
            <w:vAlign w:val="center"/>
          </w:tcPr>
          <w:p w:rsidR="00F73B61" w:rsidRDefault="00544342">
            <w:pPr>
              <w:jc w:val="center"/>
            </w:pPr>
            <w:r>
              <w:rPr>
                <w:color w:val="000000"/>
                <w:sz w:val="24"/>
              </w:rPr>
              <w:t>海通证券</w:t>
            </w:r>
          </w:p>
        </w:tc>
        <w:tc>
          <w:tcPr>
            <w:tcW w:w="1327" w:type="dxa"/>
            <w:vAlign w:val="center"/>
          </w:tcPr>
          <w:p w:rsidR="00F73B61" w:rsidRDefault="00544342">
            <w:pPr>
              <w:jc w:val="right"/>
            </w:pPr>
            <w:r>
              <w:rPr>
                <w:color w:val="000000"/>
                <w:sz w:val="24"/>
              </w:rPr>
              <w:t>3,573,028</w:t>
            </w:r>
          </w:p>
        </w:tc>
        <w:tc>
          <w:tcPr>
            <w:tcW w:w="1915" w:type="dxa"/>
            <w:vAlign w:val="center"/>
          </w:tcPr>
          <w:p w:rsidR="00F73B61" w:rsidRDefault="00544342">
            <w:pPr>
              <w:jc w:val="right"/>
            </w:pPr>
            <w:r>
              <w:rPr>
                <w:color w:val="000000"/>
                <w:sz w:val="24"/>
              </w:rPr>
              <w:t>85,967,053.68</w:t>
            </w:r>
          </w:p>
        </w:tc>
        <w:tc>
          <w:tcPr>
            <w:tcW w:w="1680" w:type="dxa"/>
            <w:vAlign w:val="center"/>
          </w:tcPr>
          <w:p w:rsidR="00F73B61" w:rsidRDefault="00544342">
            <w:pPr>
              <w:jc w:val="right"/>
            </w:pPr>
            <w:r>
              <w:rPr>
                <w:color w:val="000000"/>
                <w:sz w:val="24"/>
              </w:rPr>
              <w:t>4.24</w:t>
            </w:r>
          </w:p>
        </w:tc>
      </w:tr>
      <w:tr w:rsidR="00F73B61">
        <w:trPr>
          <w:jc w:val="center"/>
        </w:trPr>
        <w:tc>
          <w:tcPr>
            <w:tcW w:w="850" w:type="dxa"/>
            <w:vAlign w:val="center"/>
          </w:tcPr>
          <w:p w:rsidR="00F73B61" w:rsidRDefault="00544342">
            <w:pPr>
              <w:jc w:val="center"/>
            </w:pPr>
            <w:r>
              <w:rPr>
                <w:color w:val="000000"/>
                <w:sz w:val="24"/>
              </w:rPr>
              <w:t>6</w:t>
            </w:r>
          </w:p>
        </w:tc>
        <w:tc>
          <w:tcPr>
            <w:tcW w:w="1327" w:type="dxa"/>
            <w:vAlign w:val="center"/>
          </w:tcPr>
          <w:p w:rsidR="00F73B61" w:rsidRDefault="00544342">
            <w:pPr>
              <w:jc w:val="center"/>
            </w:pPr>
            <w:r>
              <w:rPr>
                <w:color w:val="000000"/>
                <w:sz w:val="24"/>
              </w:rPr>
              <w:t>601166</w:t>
            </w:r>
          </w:p>
        </w:tc>
        <w:tc>
          <w:tcPr>
            <w:tcW w:w="1769" w:type="dxa"/>
            <w:vAlign w:val="center"/>
          </w:tcPr>
          <w:p w:rsidR="00F73B61" w:rsidRDefault="00544342">
            <w:pPr>
              <w:jc w:val="center"/>
            </w:pPr>
            <w:r>
              <w:rPr>
                <w:color w:val="000000"/>
                <w:sz w:val="24"/>
              </w:rPr>
              <w:t>兴业银行</w:t>
            </w:r>
          </w:p>
        </w:tc>
        <w:tc>
          <w:tcPr>
            <w:tcW w:w="1327" w:type="dxa"/>
            <w:vAlign w:val="center"/>
          </w:tcPr>
          <w:p w:rsidR="00F73B61" w:rsidRDefault="00544342">
            <w:pPr>
              <w:jc w:val="right"/>
            </w:pPr>
            <w:r>
              <w:rPr>
                <w:color w:val="000000"/>
                <w:sz w:val="24"/>
              </w:rPr>
              <w:t>5,047,091</w:t>
            </w:r>
          </w:p>
        </w:tc>
        <w:tc>
          <w:tcPr>
            <w:tcW w:w="1915" w:type="dxa"/>
            <w:vAlign w:val="center"/>
          </w:tcPr>
          <w:p w:rsidR="00F73B61" w:rsidRDefault="00544342">
            <w:pPr>
              <w:jc w:val="right"/>
            </w:pPr>
            <w:r>
              <w:rPr>
                <w:color w:val="000000"/>
                <w:sz w:val="24"/>
              </w:rPr>
              <w:t>83,277,001.50</w:t>
            </w:r>
          </w:p>
        </w:tc>
        <w:tc>
          <w:tcPr>
            <w:tcW w:w="1680" w:type="dxa"/>
            <w:vAlign w:val="center"/>
          </w:tcPr>
          <w:p w:rsidR="00F73B61" w:rsidRDefault="00544342">
            <w:pPr>
              <w:jc w:val="right"/>
            </w:pPr>
            <w:r>
              <w:rPr>
                <w:color w:val="000000"/>
                <w:sz w:val="24"/>
              </w:rPr>
              <w:t>4.11</w:t>
            </w:r>
          </w:p>
        </w:tc>
      </w:tr>
      <w:tr w:rsidR="00F73B61">
        <w:trPr>
          <w:jc w:val="center"/>
        </w:trPr>
        <w:tc>
          <w:tcPr>
            <w:tcW w:w="850" w:type="dxa"/>
            <w:vAlign w:val="center"/>
          </w:tcPr>
          <w:p w:rsidR="00F73B61" w:rsidRDefault="00544342">
            <w:pPr>
              <w:jc w:val="center"/>
            </w:pPr>
            <w:r>
              <w:rPr>
                <w:color w:val="000000"/>
                <w:sz w:val="24"/>
              </w:rPr>
              <w:t>7</w:t>
            </w:r>
          </w:p>
        </w:tc>
        <w:tc>
          <w:tcPr>
            <w:tcW w:w="1327" w:type="dxa"/>
            <w:vAlign w:val="center"/>
          </w:tcPr>
          <w:p w:rsidR="00F73B61" w:rsidRDefault="00544342">
            <w:pPr>
              <w:jc w:val="center"/>
            </w:pPr>
            <w:r>
              <w:rPr>
                <w:color w:val="000000"/>
                <w:sz w:val="24"/>
              </w:rPr>
              <w:t>600000</w:t>
            </w:r>
          </w:p>
        </w:tc>
        <w:tc>
          <w:tcPr>
            <w:tcW w:w="1769" w:type="dxa"/>
            <w:vAlign w:val="center"/>
          </w:tcPr>
          <w:p w:rsidR="00F73B61" w:rsidRDefault="00544342">
            <w:pPr>
              <w:jc w:val="center"/>
            </w:pPr>
            <w:r>
              <w:rPr>
                <w:color w:val="000000"/>
                <w:sz w:val="24"/>
              </w:rPr>
              <w:t>浦发银行</w:t>
            </w:r>
          </w:p>
        </w:tc>
        <w:tc>
          <w:tcPr>
            <w:tcW w:w="1327" w:type="dxa"/>
            <w:vAlign w:val="center"/>
          </w:tcPr>
          <w:p w:rsidR="00F73B61" w:rsidRDefault="00544342">
            <w:pPr>
              <w:jc w:val="right"/>
            </w:pPr>
            <w:r>
              <w:rPr>
                <w:color w:val="000000"/>
                <w:sz w:val="24"/>
              </w:rPr>
              <w:t>4,948,211</w:t>
            </w:r>
          </w:p>
        </w:tc>
        <w:tc>
          <w:tcPr>
            <w:tcW w:w="1915" w:type="dxa"/>
            <w:vAlign w:val="center"/>
          </w:tcPr>
          <w:p w:rsidR="00F73B61" w:rsidRDefault="00544342">
            <w:pPr>
              <w:jc w:val="right"/>
            </w:pPr>
            <w:r>
              <w:rPr>
                <w:color w:val="000000"/>
                <w:sz w:val="24"/>
              </w:rPr>
              <w:t>77,637,430.59</w:t>
            </w:r>
          </w:p>
        </w:tc>
        <w:tc>
          <w:tcPr>
            <w:tcW w:w="1680" w:type="dxa"/>
            <w:vAlign w:val="center"/>
          </w:tcPr>
          <w:p w:rsidR="00F73B61" w:rsidRDefault="00544342">
            <w:pPr>
              <w:jc w:val="right"/>
            </w:pPr>
            <w:r>
              <w:rPr>
                <w:color w:val="000000"/>
                <w:sz w:val="24"/>
              </w:rPr>
              <w:t>3.83</w:t>
            </w:r>
          </w:p>
        </w:tc>
      </w:tr>
      <w:tr w:rsidR="00F73B61">
        <w:trPr>
          <w:jc w:val="center"/>
        </w:trPr>
        <w:tc>
          <w:tcPr>
            <w:tcW w:w="850" w:type="dxa"/>
            <w:vAlign w:val="center"/>
          </w:tcPr>
          <w:p w:rsidR="00F73B61" w:rsidRDefault="00544342">
            <w:pPr>
              <w:jc w:val="center"/>
            </w:pPr>
            <w:r>
              <w:rPr>
                <w:color w:val="000000"/>
                <w:sz w:val="24"/>
              </w:rPr>
              <w:t>8</w:t>
            </w:r>
          </w:p>
        </w:tc>
        <w:tc>
          <w:tcPr>
            <w:tcW w:w="1327" w:type="dxa"/>
            <w:vAlign w:val="center"/>
          </w:tcPr>
          <w:p w:rsidR="00F73B61" w:rsidRDefault="00544342">
            <w:pPr>
              <w:jc w:val="center"/>
            </w:pPr>
            <w:r>
              <w:rPr>
                <w:color w:val="000000"/>
                <w:sz w:val="24"/>
              </w:rPr>
              <w:t>601668</w:t>
            </w:r>
          </w:p>
        </w:tc>
        <w:tc>
          <w:tcPr>
            <w:tcW w:w="1769" w:type="dxa"/>
            <w:vAlign w:val="center"/>
          </w:tcPr>
          <w:p w:rsidR="00F73B61" w:rsidRDefault="00544342">
            <w:pPr>
              <w:jc w:val="center"/>
            </w:pPr>
            <w:r>
              <w:rPr>
                <w:color w:val="000000"/>
                <w:sz w:val="24"/>
              </w:rPr>
              <w:t>中国建筑</w:t>
            </w:r>
          </w:p>
        </w:tc>
        <w:tc>
          <w:tcPr>
            <w:tcW w:w="1327" w:type="dxa"/>
            <w:vAlign w:val="center"/>
          </w:tcPr>
          <w:p w:rsidR="00F73B61" w:rsidRDefault="00544342">
            <w:pPr>
              <w:jc w:val="right"/>
            </w:pPr>
            <w:r>
              <w:rPr>
                <w:color w:val="000000"/>
                <w:sz w:val="24"/>
              </w:rPr>
              <w:t>6,618,855</w:t>
            </w:r>
          </w:p>
        </w:tc>
        <w:tc>
          <w:tcPr>
            <w:tcW w:w="1915" w:type="dxa"/>
            <w:vAlign w:val="center"/>
          </w:tcPr>
          <w:p w:rsidR="00F73B61" w:rsidRDefault="00544342">
            <w:pPr>
              <w:jc w:val="right"/>
            </w:pPr>
            <w:r>
              <w:rPr>
                <w:color w:val="000000"/>
                <w:sz w:val="24"/>
              </w:rPr>
              <w:t>48,185,264.40</w:t>
            </w:r>
          </w:p>
        </w:tc>
        <w:tc>
          <w:tcPr>
            <w:tcW w:w="1680" w:type="dxa"/>
            <w:vAlign w:val="center"/>
          </w:tcPr>
          <w:p w:rsidR="00F73B61" w:rsidRDefault="00544342">
            <w:pPr>
              <w:jc w:val="right"/>
            </w:pPr>
            <w:r>
              <w:rPr>
                <w:color w:val="000000"/>
                <w:sz w:val="24"/>
              </w:rPr>
              <w:t>2.38</w:t>
            </w:r>
          </w:p>
        </w:tc>
      </w:tr>
      <w:tr w:rsidR="00F73B61">
        <w:trPr>
          <w:jc w:val="center"/>
        </w:trPr>
        <w:tc>
          <w:tcPr>
            <w:tcW w:w="850" w:type="dxa"/>
            <w:vAlign w:val="center"/>
          </w:tcPr>
          <w:p w:rsidR="00F73B61" w:rsidRDefault="00544342">
            <w:pPr>
              <w:jc w:val="center"/>
            </w:pPr>
            <w:r>
              <w:rPr>
                <w:color w:val="000000"/>
                <w:sz w:val="24"/>
              </w:rPr>
              <w:t>9</w:t>
            </w:r>
          </w:p>
        </w:tc>
        <w:tc>
          <w:tcPr>
            <w:tcW w:w="1327" w:type="dxa"/>
            <w:vAlign w:val="center"/>
          </w:tcPr>
          <w:p w:rsidR="00F73B61" w:rsidRDefault="00544342">
            <w:pPr>
              <w:jc w:val="center"/>
            </w:pPr>
            <w:r>
              <w:rPr>
                <w:color w:val="000000"/>
                <w:sz w:val="24"/>
              </w:rPr>
              <w:t>601601</w:t>
            </w:r>
          </w:p>
        </w:tc>
        <w:tc>
          <w:tcPr>
            <w:tcW w:w="1769" w:type="dxa"/>
            <w:vAlign w:val="center"/>
          </w:tcPr>
          <w:p w:rsidR="00F73B61" w:rsidRDefault="00544342">
            <w:pPr>
              <w:jc w:val="center"/>
            </w:pPr>
            <w:r>
              <w:rPr>
                <w:color w:val="000000"/>
                <w:sz w:val="24"/>
              </w:rPr>
              <w:t>中国太保</w:t>
            </w:r>
          </w:p>
        </w:tc>
        <w:tc>
          <w:tcPr>
            <w:tcW w:w="1327" w:type="dxa"/>
            <w:vAlign w:val="center"/>
          </w:tcPr>
          <w:p w:rsidR="00F73B61" w:rsidRDefault="00544342">
            <w:pPr>
              <w:jc w:val="right"/>
            </w:pPr>
            <w:r>
              <w:rPr>
                <w:color w:val="000000"/>
                <w:sz w:val="24"/>
              </w:rPr>
              <w:t>1,390,944</w:t>
            </w:r>
          </w:p>
        </w:tc>
        <w:tc>
          <w:tcPr>
            <w:tcW w:w="1915" w:type="dxa"/>
            <w:vAlign w:val="center"/>
          </w:tcPr>
          <w:p w:rsidR="00F73B61" w:rsidRDefault="00544342">
            <w:pPr>
              <w:jc w:val="right"/>
            </w:pPr>
            <w:r>
              <w:rPr>
                <w:color w:val="000000"/>
                <w:sz w:val="24"/>
              </w:rPr>
              <w:t>44,927,491.20</w:t>
            </w:r>
          </w:p>
        </w:tc>
        <w:tc>
          <w:tcPr>
            <w:tcW w:w="1680" w:type="dxa"/>
            <w:vAlign w:val="center"/>
          </w:tcPr>
          <w:p w:rsidR="00F73B61" w:rsidRDefault="00544342">
            <w:pPr>
              <w:jc w:val="right"/>
            </w:pPr>
            <w:r>
              <w:rPr>
                <w:color w:val="000000"/>
                <w:sz w:val="24"/>
              </w:rPr>
              <w:t>2.22</w:t>
            </w:r>
          </w:p>
        </w:tc>
      </w:tr>
      <w:tr w:rsidR="00F73B61">
        <w:trPr>
          <w:jc w:val="center"/>
        </w:trPr>
        <w:tc>
          <w:tcPr>
            <w:tcW w:w="850" w:type="dxa"/>
            <w:vAlign w:val="center"/>
          </w:tcPr>
          <w:p w:rsidR="00F73B61" w:rsidRDefault="00544342">
            <w:pPr>
              <w:jc w:val="center"/>
            </w:pPr>
            <w:r>
              <w:rPr>
                <w:color w:val="000000"/>
                <w:sz w:val="24"/>
              </w:rPr>
              <w:t>10</w:t>
            </w:r>
          </w:p>
        </w:tc>
        <w:tc>
          <w:tcPr>
            <w:tcW w:w="1327" w:type="dxa"/>
            <w:vAlign w:val="center"/>
          </w:tcPr>
          <w:p w:rsidR="00F73B61" w:rsidRDefault="00544342">
            <w:pPr>
              <w:jc w:val="center"/>
            </w:pPr>
            <w:r>
              <w:rPr>
                <w:color w:val="000000"/>
                <w:sz w:val="24"/>
              </w:rPr>
              <w:t>601818</w:t>
            </w:r>
          </w:p>
        </w:tc>
        <w:tc>
          <w:tcPr>
            <w:tcW w:w="1769" w:type="dxa"/>
            <w:vAlign w:val="center"/>
          </w:tcPr>
          <w:p w:rsidR="00F73B61" w:rsidRDefault="00544342">
            <w:pPr>
              <w:jc w:val="center"/>
            </w:pPr>
            <w:r>
              <w:rPr>
                <w:color w:val="000000"/>
                <w:sz w:val="24"/>
              </w:rPr>
              <w:t>光大银行</w:t>
            </w:r>
          </w:p>
        </w:tc>
        <w:tc>
          <w:tcPr>
            <w:tcW w:w="1327" w:type="dxa"/>
            <w:vAlign w:val="center"/>
          </w:tcPr>
          <w:p w:rsidR="00F73B61" w:rsidRDefault="00544342">
            <w:pPr>
              <w:jc w:val="right"/>
            </w:pPr>
            <w:r>
              <w:rPr>
                <w:color w:val="000000"/>
                <w:sz w:val="24"/>
              </w:rPr>
              <w:t>8,788,582</w:t>
            </w:r>
          </w:p>
        </w:tc>
        <w:tc>
          <w:tcPr>
            <w:tcW w:w="1915" w:type="dxa"/>
            <w:vAlign w:val="center"/>
          </w:tcPr>
          <w:p w:rsidR="00F73B61" w:rsidRDefault="00544342">
            <w:pPr>
              <w:jc w:val="right"/>
            </w:pPr>
            <w:r>
              <w:rPr>
                <w:color w:val="000000"/>
                <w:sz w:val="24"/>
              </w:rPr>
              <w:t>42,888,280.16</w:t>
            </w:r>
          </w:p>
        </w:tc>
        <w:tc>
          <w:tcPr>
            <w:tcW w:w="1680" w:type="dxa"/>
            <w:vAlign w:val="center"/>
          </w:tcPr>
          <w:p w:rsidR="00F73B61" w:rsidRDefault="00544342">
            <w:pPr>
              <w:jc w:val="right"/>
            </w:pPr>
            <w:r>
              <w:rPr>
                <w:color w:val="000000"/>
                <w:sz w:val="24"/>
              </w:rPr>
              <w:t>2.12</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D450A9" w:rsidRDefault="00AD3177" w:rsidP="00985FE4">
      <w:pPr>
        <w:autoSpaceDE w:val="0"/>
        <w:autoSpaceDN w:val="0"/>
        <w:adjustRightInd w:val="0"/>
        <w:spacing w:before="29" w:line="288" w:lineRule="auto"/>
        <w:jc w:val="left"/>
        <w:rPr>
          <w:color w:val="000000"/>
          <w:sz w:val="24"/>
        </w:rPr>
      </w:pPr>
      <w:r w:rsidRPr="00985FE4">
        <w:rPr>
          <w:rFonts w:hint="eastAsia"/>
          <w:color w:val="000000"/>
          <w:sz w:val="24"/>
        </w:rPr>
        <w:t>本基金本报告期末未持有积极投资的股票。</w:t>
      </w:r>
    </w:p>
    <w:p w:rsidR="00FC245A" w:rsidRPr="0036023B" w:rsidRDefault="00FC245A"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18,235.16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AD3177" w:rsidP="0099526C">
            <w:pPr>
              <w:autoSpaceDE w:val="0"/>
              <w:autoSpaceDN w:val="0"/>
              <w:adjustRightInd w:val="0"/>
              <w:spacing w:before="29" w:line="288" w:lineRule="auto"/>
              <w:ind w:left="15"/>
              <w:jc w:val="right"/>
              <w:rPr>
                <w:color w:val="000000"/>
                <w:kern w:val="0"/>
                <w:sz w:val="24"/>
              </w:rPr>
            </w:pPr>
            <w:r w:rsidRPr="00985FE4">
              <w:rPr>
                <w:color w:val="000000"/>
                <w:kern w:val="0"/>
                <w:sz w:val="24"/>
              </w:rPr>
              <w:t>732,953.15</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2,663.46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985FE4" w:rsidRDefault="00AD3177" w:rsidP="0099526C">
            <w:pPr>
              <w:autoSpaceDE w:val="0"/>
              <w:autoSpaceDN w:val="0"/>
              <w:adjustRightInd w:val="0"/>
              <w:spacing w:before="29" w:line="288" w:lineRule="auto"/>
              <w:ind w:left="15"/>
              <w:jc w:val="right"/>
              <w:rPr>
                <w:color w:val="000000"/>
                <w:kern w:val="0"/>
                <w:sz w:val="24"/>
              </w:rPr>
            </w:pPr>
            <w:r w:rsidRPr="00985FE4">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12,056.90</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AD3177" w:rsidP="0099526C">
            <w:pPr>
              <w:autoSpaceDE w:val="0"/>
              <w:autoSpaceDN w:val="0"/>
              <w:adjustRightInd w:val="0"/>
              <w:spacing w:before="29" w:line="288" w:lineRule="auto"/>
              <w:ind w:left="15"/>
              <w:jc w:val="right"/>
              <w:rPr>
                <w:color w:val="000000"/>
                <w:kern w:val="0"/>
                <w:sz w:val="24"/>
              </w:rPr>
            </w:pPr>
            <w:r w:rsidRPr="00985FE4">
              <w:rPr>
                <w:color w:val="000000"/>
                <w:kern w:val="0"/>
                <w:sz w:val="24"/>
              </w:rPr>
              <w:t>765,908.67</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本基金本报告期末指数投资前十名股票中不存在流通受限的情况。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4E1A18">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2,673,524,362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2,621,000,000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3,399,000,000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1,895,524,362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4E1A18">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4E1A18">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F73B61" w:rsidRDefault="00544342">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F73B61" w:rsidRDefault="00544342">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F73B61" w:rsidRDefault="00544342">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F73B61" w:rsidRDefault="00544342">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F73B61" w:rsidRDefault="00544342">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F73B61" w:rsidRDefault="00544342">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F73B61" w:rsidRDefault="00544342">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F73B61" w:rsidRDefault="0054434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2AE" w:rsidRDefault="005162AE">
      <w:r>
        <w:separator/>
      </w:r>
    </w:p>
  </w:endnote>
  <w:endnote w:type="continuationSeparator" w:id="0">
    <w:p w:rsidR="005162AE" w:rsidRDefault="0051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AD3177">
      <w:rPr>
        <w:kern w:val="0"/>
        <w:szCs w:val="21"/>
      </w:rPr>
      <w:fldChar w:fldCharType="begin"/>
    </w:r>
    <w:r>
      <w:rPr>
        <w:kern w:val="0"/>
        <w:szCs w:val="21"/>
      </w:rPr>
      <w:instrText xml:space="preserve"> PAGE </w:instrText>
    </w:r>
    <w:r w:rsidR="00AD3177">
      <w:rPr>
        <w:kern w:val="0"/>
        <w:szCs w:val="21"/>
      </w:rPr>
      <w:fldChar w:fldCharType="separate"/>
    </w:r>
    <w:r w:rsidR="00985FE4">
      <w:rPr>
        <w:noProof/>
        <w:kern w:val="0"/>
        <w:szCs w:val="21"/>
      </w:rPr>
      <w:t>1</w:t>
    </w:r>
    <w:r w:rsidR="00AD3177">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AD3177">
      <w:rPr>
        <w:kern w:val="0"/>
        <w:szCs w:val="21"/>
      </w:rPr>
      <w:fldChar w:fldCharType="begin"/>
    </w:r>
    <w:r>
      <w:rPr>
        <w:kern w:val="0"/>
        <w:szCs w:val="21"/>
      </w:rPr>
      <w:instrText xml:space="preserve"> NUMPAGES </w:instrText>
    </w:r>
    <w:r w:rsidR="00AD3177">
      <w:rPr>
        <w:kern w:val="0"/>
        <w:szCs w:val="21"/>
      </w:rPr>
      <w:fldChar w:fldCharType="separate"/>
    </w:r>
    <w:r w:rsidR="00985FE4">
      <w:rPr>
        <w:noProof/>
        <w:kern w:val="0"/>
        <w:szCs w:val="21"/>
      </w:rPr>
      <w:t>11</w:t>
    </w:r>
    <w:r w:rsidR="00AD3177">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AD3177">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2AE" w:rsidRDefault="005162AE">
      <w:r>
        <w:separator/>
      </w:r>
    </w:p>
  </w:footnote>
  <w:footnote w:type="continuationSeparator" w:id="0">
    <w:p w:rsidR="005162AE" w:rsidRDefault="00516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58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35016"/>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77C30"/>
    <w:rsid w:val="00283272"/>
    <w:rsid w:val="0028459B"/>
    <w:rsid w:val="00284C5F"/>
    <w:rsid w:val="00285127"/>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1A18"/>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2AE"/>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4342"/>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1342"/>
    <w:rsid w:val="005F43B9"/>
    <w:rsid w:val="005F68CB"/>
    <w:rsid w:val="005F6A4A"/>
    <w:rsid w:val="00602154"/>
    <w:rsid w:val="006033E3"/>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1A66"/>
    <w:rsid w:val="007847EB"/>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4567"/>
    <w:rsid w:val="009547A9"/>
    <w:rsid w:val="009548FE"/>
    <w:rsid w:val="00956F0B"/>
    <w:rsid w:val="00957466"/>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85FE4"/>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3177"/>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450A9"/>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3B61"/>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45A"/>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8721"/>
    <o:shapelayout v:ext="edit">
      <o:idmap v:ext="edit" data="1"/>
    </o:shapelayout>
  </w:shapeDefaults>
  <w:decimalSymbol w:val="."/>
  <w:listSeparator w:val=","/>
  <w15:docId w15:val="{5687C4CD-45AD-499D-B0F2-678CBC64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2125379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11</Pages>
  <Words>963</Words>
  <Characters>5494</Characters>
  <Application>Microsoft Office Word</Application>
  <DocSecurity>0</DocSecurity>
  <Lines>45</Lines>
  <Paragraphs>12</Paragraphs>
  <ScaleCrop>false</ScaleCrop>
  <Company>TRT. Ltd. Co.</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381</cp:revision>
  <cp:lastPrinted>2007-07-19T00:46:00Z</cp:lastPrinted>
  <dcterms:created xsi:type="dcterms:W3CDTF">2012-11-21T04:46:00Z</dcterms:created>
  <dcterms:modified xsi:type="dcterms:W3CDTF">2015-01-20T03:43:00Z</dcterms:modified>
</cp:coreProperties>
</file>